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44"/>
          <w:szCs w:val="44"/>
        </w:rPr>
      </w:pPr>
    </w:p>
    <w:p w14:paraId="3FEC3508">
      <w:pPr>
        <w:spacing w:line="600" w:lineRule="exact"/>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2024年度炎陵县征地工作协调服务中心</w:t>
      </w:r>
    </w:p>
    <w:p w14:paraId="0DFB6BB4">
      <w:pPr>
        <w:spacing w:line="600" w:lineRule="exact"/>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整体支出绩效</w:t>
      </w:r>
      <w:bookmarkStart w:id="0" w:name="_GoBack"/>
      <w:bookmarkEnd w:id="0"/>
      <w:r>
        <w:rPr>
          <w:rFonts w:hint="eastAsia" w:ascii="宋体" w:hAnsi="宋体" w:eastAsia="宋体" w:cs="宋体"/>
          <w:b w:val="0"/>
          <w:bCs w:val="0"/>
          <w:sz w:val="44"/>
          <w:szCs w:val="44"/>
          <w:lang w:val="en-US" w:eastAsia="zh-CN"/>
        </w:rPr>
        <w:t>自评报告</w:t>
      </w:r>
    </w:p>
    <w:p w14:paraId="17F58897">
      <w:pPr>
        <w:spacing w:line="600" w:lineRule="exact"/>
        <w:jc w:val="center"/>
        <w:rPr>
          <w:rFonts w:hint="eastAsia" w:ascii="方正小标宋简体" w:hAnsi="方正小标宋简体" w:eastAsia="方正小标宋简体" w:cs="方正小标宋简体"/>
          <w:b w:val="0"/>
          <w:bCs w:val="0"/>
          <w:sz w:val="44"/>
          <w:szCs w:val="44"/>
          <w:lang w:val="en-US" w:eastAsia="zh-CN"/>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宋体" w:hAnsi="宋体" w:eastAsia="宋体" w:cs="宋体"/>
          <w:sz w:val="36"/>
          <w:szCs w:val="36"/>
          <w:lang w:val="en-US" w:eastAsia="zh-CN"/>
        </w:rPr>
      </w:pPr>
    </w:p>
    <w:p w14:paraId="70828991">
      <w:pPr>
        <w:spacing w:line="600" w:lineRule="exact"/>
        <w:jc w:val="center"/>
        <w:rPr>
          <w:rFonts w:hint="eastAsia" w:ascii="宋体" w:hAnsi="宋体" w:eastAsia="宋体" w:cs="宋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（一）部门（单位）基本情况</w:t>
      </w:r>
    </w:p>
    <w:p w14:paraId="0D82E115">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1、主要职能。</w:t>
      </w:r>
    </w:p>
    <w:p w14:paraId="352EFC8F">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提供征地拆迁方面公益类服务工作，负责拆迁政策宣传解释和督促落实；协调做好土地征收和房屋拆迁工作；负责拆迁测量测绘和补偿计算工作；协调征拆矛盾；负责征拆资金收支和核算及安置工作等。</w:t>
      </w:r>
    </w:p>
    <w:p w14:paraId="5CF3CE5B">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2、机构情况。</w:t>
      </w:r>
    </w:p>
    <w:p w14:paraId="12DAF766">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根据《关于炎陵县机构改革涉改科级事业单位调整的通知（炎编[2019]4号）》文件，将土地征收安置所所承担的行政职能划入自然资源局，改为炎陵县征地工作协调服务中心，为县政府直属正科级公益一类事业单位，炎陵县征地工作协调服务中心2019年3月成立，2020年1月正式启账，现有机构编制数11个，1个内部核算机构，财务独立。</w:t>
      </w:r>
    </w:p>
    <w:p w14:paraId="134282F8">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3、人员情况。</w:t>
      </w:r>
    </w:p>
    <w:p w14:paraId="7A93DD31">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现有在编在岗人员10人。</w:t>
      </w:r>
    </w:p>
    <w:p w14:paraId="1F732446">
      <w:pPr>
        <w:keepNext w:val="0"/>
        <w:keepLines w:val="0"/>
        <w:pageBreakBefore w:val="0"/>
        <w:wordWrap/>
        <w:overflowPunct/>
        <w:topLinePunct w:val="0"/>
        <w:bidi w:val="0"/>
        <w:snapToGrid w:val="0"/>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（二）部门</w:t>
      </w:r>
      <w:r>
        <w:rPr>
          <w:rFonts w:hint="eastAsia" w:ascii="宋体" w:hAnsi="宋体" w:eastAsia="宋体" w:cs="宋体"/>
          <w:bCs/>
          <w:sz w:val="28"/>
          <w:szCs w:val="28"/>
          <w:lang w:eastAsia="zh-CN"/>
        </w:rPr>
        <w:t>年度整体支出绩效目标，专项资金绩效目标</w:t>
      </w:r>
    </w:p>
    <w:p w14:paraId="1A7D594B">
      <w:pPr>
        <w:keepNext w:val="0"/>
        <w:keepLines w:val="0"/>
        <w:pageBreakBefore w:val="0"/>
        <w:wordWrap/>
        <w:overflowPunct/>
        <w:topLinePunct w:val="0"/>
        <w:bidi w:val="0"/>
        <w:spacing w:line="560" w:lineRule="exact"/>
        <w:ind w:firstLine="640" w:firstLineChars="200"/>
        <w:jc w:val="both"/>
        <w:rPr>
          <w:rFonts w:hint="eastAsia" w:ascii="宋体" w:hAnsi="宋体" w:eastAsia="宋体" w:cs="宋体"/>
          <w:b w:val="0"/>
          <w:bCs w:val="0"/>
          <w:color w:val="auto"/>
          <w:sz w:val="28"/>
          <w:szCs w:val="28"/>
          <w:lang w:val="en-US" w:eastAsia="zh-CN"/>
        </w:rPr>
      </w:pPr>
      <w:r>
        <w:rPr>
          <w:rFonts w:hint="eastAsia" w:ascii="仿宋_GB2312" w:hAnsi="仿宋" w:eastAsia="仿宋_GB2312"/>
          <w:sz w:val="32"/>
          <w:szCs w:val="32"/>
          <w:lang w:val="en-US" w:eastAsia="zh-CN"/>
        </w:rPr>
        <w:t>1、</w:t>
      </w:r>
      <w:r>
        <w:rPr>
          <w:rFonts w:hint="eastAsia" w:ascii="宋体" w:hAnsi="宋体" w:eastAsia="宋体" w:cs="宋体"/>
          <w:b w:val="0"/>
          <w:bCs w:val="0"/>
          <w:color w:val="auto"/>
          <w:sz w:val="28"/>
          <w:szCs w:val="28"/>
        </w:rPr>
        <w:t>部门</w:t>
      </w:r>
      <w:r>
        <w:rPr>
          <w:rFonts w:hint="eastAsia" w:ascii="宋体" w:hAnsi="宋体" w:eastAsia="宋体" w:cs="宋体"/>
          <w:b w:val="0"/>
          <w:bCs w:val="0"/>
          <w:color w:val="auto"/>
          <w:sz w:val="28"/>
          <w:szCs w:val="28"/>
          <w:lang w:eastAsia="zh-CN"/>
        </w:rPr>
        <w:t>年度整体支出绩效目标：6584786.94元</w:t>
      </w:r>
      <w:r>
        <w:rPr>
          <w:rFonts w:hint="eastAsia" w:ascii="宋体" w:hAnsi="宋体" w:eastAsia="宋体" w:cs="宋体"/>
          <w:b w:val="0"/>
          <w:bCs w:val="0"/>
          <w:color w:val="auto"/>
          <w:sz w:val="28"/>
          <w:szCs w:val="28"/>
          <w:lang w:val="en-US" w:eastAsia="zh-CN"/>
        </w:rPr>
        <w:t>。</w:t>
      </w:r>
    </w:p>
    <w:p w14:paraId="36F00572">
      <w:pPr>
        <w:keepNext w:val="0"/>
        <w:keepLines w:val="0"/>
        <w:pageBreakBefore w:val="0"/>
        <w:wordWrap/>
        <w:overflowPunct/>
        <w:topLinePunct w:val="0"/>
        <w:bidi w:val="0"/>
        <w:spacing w:line="560" w:lineRule="exact"/>
        <w:ind w:firstLine="640" w:firstLineChars="200"/>
        <w:jc w:val="both"/>
        <w:rPr>
          <w:rFonts w:hint="eastAsia" w:ascii="宋体" w:hAnsi="宋体" w:eastAsia="宋体" w:cs="宋体"/>
          <w:b w:val="0"/>
          <w:bCs w:val="0"/>
          <w:color w:val="auto"/>
          <w:sz w:val="28"/>
          <w:szCs w:val="28"/>
          <w:lang w:val="en-US" w:eastAsia="zh-CN"/>
        </w:rPr>
      </w:pPr>
      <w:r>
        <w:rPr>
          <w:rFonts w:hint="eastAsia" w:ascii="仿宋_GB2312" w:hAnsi="仿宋" w:eastAsia="仿宋_GB2312"/>
          <w:sz w:val="32"/>
          <w:szCs w:val="32"/>
          <w:lang w:val="en-US" w:eastAsia="zh-CN"/>
        </w:rPr>
        <w:t>2、专</w:t>
      </w:r>
      <w:r>
        <w:rPr>
          <w:rFonts w:hint="eastAsia" w:ascii="宋体" w:hAnsi="宋体" w:eastAsia="宋体" w:cs="宋体"/>
          <w:b w:val="0"/>
          <w:bCs w:val="0"/>
          <w:color w:val="auto"/>
          <w:sz w:val="28"/>
          <w:szCs w:val="28"/>
          <w:lang w:eastAsia="zh-CN"/>
        </w:rPr>
        <w:t>项资金绩效目标：无</w:t>
      </w:r>
      <w:r>
        <w:rPr>
          <w:rFonts w:hint="eastAsia" w:ascii="宋体" w:hAnsi="宋体" w:eastAsia="宋体" w:cs="宋体"/>
          <w:b w:val="0"/>
          <w:bCs w:val="0"/>
          <w:color w:val="auto"/>
          <w:sz w:val="28"/>
          <w:szCs w:val="28"/>
          <w:lang w:val="en-US" w:eastAsia="zh-CN"/>
        </w:rPr>
        <w:t>。</w:t>
      </w:r>
    </w:p>
    <w:p w14:paraId="7587B28A">
      <w:pPr>
        <w:pStyle w:val="6"/>
        <w:widowControl/>
        <w:numPr>
          <w:ilvl w:val="0"/>
          <w:numId w:val="0"/>
        </w:numPr>
        <w:spacing w:line="520" w:lineRule="exact"/>
        <w:ind w:leftChars="200" w:firstLine="320" w:firstLineChars="1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宋体" w:hAnsi="宋体" w:eastAsia="宋体" w:cs="宋体"/>
          <w:snapToGrid w:val="0"/>
          <w:color w:val="auto"/>
          <w:kern w:val="0"/>
          <w:sz w:val="28"/>
          <w:szCs w:val="28"/>
          <w:lang w:val="en-US" w:eastAsia="en-US" w:bidi="ar-SA"/>
        </w:rPr>
      </w:pPr>
      <w:r>
        <w:rPr>
          <w:rFonts w:hint="eastAsia" w:ascii="宋体" w:hAnsi="宋体" w:eastAsia="宋体" w:cs="宋体"/>
          <w:snapToGrid w:val="0"/>
          <w:color w:val="auto"/>
          <w:kern w:val="0"/>
          <w:sz w:val="28"/>
          <w:szCs w:val="28"/>
          <w:lang w:val="en-US" w:eastAsia="en-US" w:bidi="ar-SA"/>
        </w:rPr>
        <w:t>（一）基本支出情况</w:t>
      </w:r>
    </w:p>
    <w:p w14:paraId="2AA3BBAB">
      <w:pPr>
        <w:widowControl/>
        <w:spacing w:line="520" w:lineRule="exact"/>
        <w:ind w:firstLine="560" w:firstLineChars="200"/>
        <w:jc w:val="left"/>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zh-CN" w:bidi="ar-SA"/>
        </w:rPr>
        <w:t>基本支出</w:t>
      </w:r>
      <w:r>
        <w:rPr>
          <w:rFonts w:hint="eastAsia" w:ascii="宋体" w:hAnsi="宋体" w:eastAsia="宋体" w:cs="宋体"/>
          <w:snapToGrid w:val="0"/>
          <w:color w:val="000000"/>
          <w:kern w:val="0"/>
          <w:sz w:val="28"/>
          <w:szCs w:val="28"/>
          <w:lang w:val="en-US" w:eastAsia="en-US" w:bidi="ar-SA"/>
        </w:rPr>
        <w:t>1483587.04</w:t>
      </w:r>
      <w:r>
        <w:rPr>
          <w:rFonts w:hint="eastAsia" w:ascii="宋体" w:hAnsi="宋体" w:eastAsia="宋体" w:cs="宋体"/>
          <w:snapToGrid w:val="0"/>
          <w:color w:val="000000"/>
          <w:kern w:val="0"/>
          <w:sz w:val="28"/>
          <w:szCs w:val="28"/>
          <w:lang w:val="en-US" w:eastAsia="zh-CN" w:bidi="ar-SA"/>
        </w:rPr>
        <w:t>元。其中：人员经费</w:t>
      </w:r>
      <w:r>
        <w:rPr>
          <w:rFonts w:hint="eastAsia" w:ascii="宋体" w:hAnsi="宋体" w:eastAsia="宋体" w:cs="宋体"/>
          <w:snapToGrid w:val="0"/>
          <w:color w:val="000000"/>
          <w:kern w:val="0"/>
          <w:sz w:val="28"/>
          <w:szCs w:val="28"/>
          <w:lang w:val="en-US" w:eastAsia="en-US" w:bidi="ar-SA"/>
        </w:rPr>
        <w:t>1268442.04</w:t>
      </w:r>
      <w:r>
        <w:rPr>
          <w:rFonts w:hint="eastAsia" w:ascii="宋体" w:hAnsi="宋体" w:eastAsia="宋体" w:cs="宋体"/>
          <w:snapToGrid w:val="0"/>
          <w:color w:val="000000"/>
          <w:kern w:val="0"/>
          <w:sz w:val="28"/>
          <w:szCs w:val="28"/>
          <w:lang w:val="en-US" w:eastAsia="zh-CN" w:bidi="ar-SA"/>
        </w:rPr>
        <w:t>元，占基本支出的85.50%，主要包括基本工资436032元、津贴补贴220800元、奖金277974元、养老保险137377.04元、医疗保险55924元、公务员医疗补助1472.10元、失业保险及工伤保险25410.90元、住房公积金112552元、医疗费900元；日常公用经费215145元，占基本支出的14.50%，主要包括办公费169974元、其他交通费用22920元、工会经费11251元、其他商品和服务支出11000元。对个人和家庭的补助0元，占基本支出的0%，主要是生活补助0元。</w:t>
      </w:r>
    </w:p>
    <w:p w14:paraId="3CF9E557">
      <w:pPr>
        <w:pStyle w:val="6"/>
        <w:widowControl/>
        <w:spacing w:line="520" w:lineRule="exact"/>
        <w:ind w:left="640" w:firstLine="0" w:firstLineChars="0"/>
        <w:rPr>
          <w:rFonts w:hint="eastAsia" w:ascii="Calibri" w:hAnsi="Calibri" w:eastAsia="仿宋_GB2312" w:cs="Times New Roman"/>
          <w:snapToGrid w:val="0"/>
          <w:color w:val="000000"/>
          <w:kern w:val="0"/>
          <w:sz w:val="32"/>
          <w:szCs w:val="32"/>
          <w:lang w:val="en-US" w:eastAsia="zh-CN" w:bidi="ar-SA"/>
        </w:rPr>
      </w:pPr>
      <w:r>
        <w:rPr>
          <w:rFonts w:hint="eastAsia" w:ascii="楷体_GB2312" w:hAnsi="楷体_GB2312" w:eastAsia="楷体_GB2312" w:cs="楷体_GB2312"/>
          <w:sz w:val="32"/>
          <w:szCs w:val="32"/>
        </w:rPr>
        <w:t>（二）项目支出情况</w:t>
      </w:r>
    </w:p>
    <w:p w14:paraId="25A3980B">
      <w:pPr>
        <w:widowControl/>
        <w:spacing w:line="520" w:lineRule="exact"/>
        <w:ind w:firstLine="560" w:firstLineChars="200"/>
        <w:jc w:val="left"/>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t>1、资金安排。</w:t>
      </w:r>
    </w:p>
    <w:p w14:paraId="5DAB328D">
      <w:pPr>
        <w:widowControl/>
        <w:spacing w:line="520" w:lineRule="exact"/>
        <w:ind w:firstLine="560" w:firstLineChars="200"/>
        <w:jc w:val="left"/>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t>20</w:t>
      </w:r>
      <w:r>
        <w:rPr>
          <w:rFonts w:hint="eastAsia" w:ascii="宋体" w:hAnsi="宋体" w:eastAsia="宋体" w:cs="宋体"/>
          <w:snapToGrid w:val="0"/>
          <w:color w:val="000000"/>
          <w:kern w:val="0"/>
          <w:sz w:val="28"/>
          <w:szCs w:val="28"/>
          <w:lang w:val="en-US" w:eastAsia="zh-CN" w:bidi="ar-SA"/>
        </w:rPr>
        <w:t>24</w:t>
      </w:r>
      <w:r>
        <w:rPr>
          <w:rFonts w:hint="eastAsia" w:ascii="宋体" w:hAnsi="宋体" w:eastAsia="宋体" w:cs="宋体"/>
          <w:snapToGrid w:val="0"/>
          <w:color w:val="000000"/>
          <w:kern w:val="0"/>
          <w:sz w:val="28"/>
          <w:szCs w:val="28"/>
          <w:lang w:val="en-US" w:eastAsia="en-US" w:bidi="ar-SA"/>
        </w:rPr>
        <w:t>年各项项目资金共投入</w:t>
      </w:r>
      <w:r>
        <w:rPr>
          <w:rFonts w:hint="eastAsia" w:ascii="宋体" w:hAnsi="宋体" w:eastAsia="宋体" w:cs="宋体"/>
          <w:snapToGrid w:val="0"/>
          <w:color w:val="000000"/>
          <w:kern w:val="0"/>
          <w:sz w:val="28"/>
          <w:szCs w:val="28"/>
          <w:lang w:val="en-US" w:eastAsia="zh-CN" w:bidi="ar-SA"/>
        </w:rPr>
        <w:t>2358161.94</w:t>
      </w:r>
      <w:r>
        <w:rPr>
          <w:rFonts w:hint="eastAsia" w:ascii="宋体" w:hAnsi="宋体" w:eastAsia="宋体" w:cs="宋体"/>
          <w:snapToGrid w:val="0"/>
          <w:color w:val="000000"/>
          <w:kern w:val="0"/>
          <w:sz w:val="28"/>
          <w:szCs w:val="28"/>
          <w:lang w:val="en-US" w:eastAsia="en-US" w:bidi="ar-SA"/>
        </w:rPr>
        <w:t>元。</w:t>
      </w:r>
    </w:p>
    <w:p w14:paraId="226F2B2A">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en-US" w:bidi="ar-SA"/>
        </w:rPr>
        <w:t>2、资金实际使用情况分析</w:t>
      </w:r>
      <w:r>
        <w:rPr>
          <w:rFonts w:hint="eastAsia" w:ascii="宋体" w:hAnsi="宋体" w:eastAsia="宋体" w:cs="宋体"/>
          <w:snapToGrid w:val="0"/>
          <w:color w:val="000000"/>
          <w:kern w:val="0"/>
          <w:sz w:val="28"/>
          <w:szCs w:val="28"/>
          <w:lang w:val="en-US" w:eastAsia="zh-CN" w:bidi="ar-SA"/>
        </w:rPr>
        <w:t>。</w:t>
      </w:r>
    </w:p>
    <w:p w14:paraId="2E307919">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en-US" w:bidi="ar-SA"/>
        </w:rPr>
        <w:t>项目支出</w:t>
      </w:r>
      <w:r>
        <w:rPr>
          <w:rFonts w:hint="eastAsia" w:ascii="宋体" w:hAnsi="宋体" w:eastAsia="宋体" w:cs="宋体"/>
          <w:snapToGrid w:val="0"/>
          <w:color w:val="000000"/>
          <w:kern w:val="0"/>
          <w:sz w:val="28"/>
          <w:szCs w:val="28"/>
          <w:lang w:val="en-US" w:eastAsia="zh-CN" w:bidi="ar-SA"/>
        </w:rPr>
        <w:t>2358161.94</w:t>
      </w:r>
      <w:r>
        <w:rPr>
          <w:rFonts w:hint="eastAsia" w:ascii="宋体" w:hAnsi="宋体" w:eastAsia="宋体" w:cs="宋体"/>
          <w:snapToGrid w:val="0"/>
          <w:color w:val="000000"/>
          <w:kern w:val="0"/>
          <w:sz w:val="28"/>
          <w:szCs w:val="28"/>
          <w:lang w:val="en-US" w:eastAsia="en-US" w:bidi="ar-SA"/>
        </w:rPr>
        <w:t>元。主要是用于</w:t>
      </w:r>
      <w:r>
        <w:rPr>
          <w:rFonts w:hint="eastAsia" w:ascii="宋体" w:hAnsi="宋体" w:eastAsia="宋体" w:cs="宋体"/>
          <w:snapToGrid w:val="0"/>
          <w:color w:val="000000"/>
          <w:kern w:val="0"/>
          <w:sz w:val="28"/>
          <w:szCs w:val="28"/>
          <w:lang w:val="en-US" w:eastAsia="zh-CN" w:bidi="ar-SA"/>
        </w:rPr>
        <w:t>解决征地拆迁历史遗留问题，其中：安置户重建宅基地桩基础超深补助款（第一期）500000元，安置户重建宅基地桩基础超深补助款（第二期）720000元，霞阳镇马道村江下组征地补偿款款653218元，神农谷旅游服务区二期项目款484943.94元。</w:t>
      </w:r>
    </w:p>
    <w:p w14:paraId="751A51C8">
      <w:pPr>
        <w:pStyle w:val="6"/>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41F1D5C2">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en-US" w:bidi="ar-SA"/>
        </w:rPr>
        <w:t>202</w:t>
      </w:r>
      <w:r>
        <w:rPr>
          <w:rFonts w:hint="eastAsia" w:ascii="宋体" w:hAnsi="宋体" w:eastAsia="宋体" w:cs="宋体"/>
          <w:snapToGrid w:val="0"/>
          <w:color w:val="000000"/>
          <w:kern w:val="0"/>
          <w:sz w:val="28"/>
          <w:szCs w:val="28"/>
          <w:lang w:val="en-US" w:eastAsia="zh-CN" w:bidi="ar-SA"/>
        </w:rPr>
        <w:t>4</w:t>
      </w:r>
      <w:r>
        <w:rPr>
          <w:rFonts w:hint="eastAsia" w:ascii="宋体" w:hAnsi="宋体" w:eastAsia="宋体" w:cs="宋体"/>
          <w:snapToGrid w:val="0"/>
          <w:color w:val="000000"/>
          <w:kern w:val="0"/>
          <w:sz w:val="28"/>
          <w:szCs w:val="28"/>
          <w:lang w:val="en-US" w:eastAsia="en-US" w:bidi="ar-SA"/>
        </w:rPr>
        <w:t>年</w:t>
      </w:r>
      <w:r>
        <w:rPr>
          <w:rFonts w:hint="eastAsia" w:ascii="宋体" w:hAnsi="宋体" w:eastAsia="宋体" w:cs="宋体"/>
          <w:snapToGrid w:val="0"/>
          <w:color w:val="000000"/>
          <w:kern w:val="0"/>
          <w:sz w:val="28"/>
          <w:szCs w:val="28"/>
          <w:lang w:val="en-US" w:eastAsia="zh-CN" w:bidi="ar-SA"/>
        </w:rPr>
        <w:t>政府性基金预算财政拨款2743037.96元，占总收入的41.66%。</w:t>
      </w:r>
    </w:p>
    <w:p w14:paraId="22949B19">
      <w:pPr>
        <w:widowControl/>
        <w:spacing w:line="520" w:lineRule="exact"/>
        <w:ind w:firstLine="560" w:firstLineChars="200"/>
        <w:jc w:val="left"/>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t>20</w:t>
      </w:r>
      <w:r>
        <w:rPr>
          <w:rFonts w:hint="eastAsia" w:ascii="宋体" w:hAnsi="宋体" w:eastAsia="宋体" w:cs="宋体"/>
          <w:snapToGrid w:val="0"/>
          <w:color w:val="000000"/>
          <w:kern w:val="0"/>
          <w:sz w:val="28"/>
          <w:szCs w:val="28"/>
          <w:lang w:val="en-US" w:eastAsia="zh-CN" w:bidi="ar-SA"/>
        </w:rPr>
        <w:t>24</w:t>
      </w:r>
      <w:r>
        <w:rPr>
          <w:rFonts w:hint="eastAsia" w:ascii="宋体" w:hAnsi="宋体" w:eastAsia="宋体" w:cs="宋体"/>
          <w:snapToGrid w:val="0"/>
          <w:color w:val="000000"/>
          <w:kern w:val="0"/>
          <w:sz w:val="28"/>
          <w:szCs w:val="28"/>
          <w:lang w:val="en-US" w:eastAsia="en-US" w:bidi="ar-SA"/>
        </w:rPr>
        <w:t>年年初政府性基金的预算为0，决算数为</w:t>
      </w:r>
      <w:r>
        <w:rPr>
          <w:rFonts w:hint="eastAsia" w:ascii="宋体" w:hAnsi="宋体" w:eastAsia="宋体" w:cs="宋体"/>
          <w:snapToGrid w:val="0"/>
          <w:color w:val="000000"/>
          <w:kern w:val="0"/>
          <w:sz w:val="28"/>
          <w:szCs w:val="28"/>
          <w:lang w:val="en-US" w:eastAsia="zh-CN" w:bidi="ar-SA"/>
        </w:rPr>
        <w:t>2743037.96</w:t>
      </w:r>
      <w:r>
        <w:rPr>
          <w:rFonts w:hint="eastAsia" w:ascii="宋体" w:hAnsi="宋体" w:eastAsia="宋体" w:cs="宋体"/>
          <w:snapToGrid w:val="0"/>
          <w:color w:val="000000"/>
          <w:kern w:val="0"/>
          <w:sz w:val="28"/>
          <w:szCs w:val="28"/>
          <w:lang w:val="en-US" w:eastAsia="en-US" w:bidi="ar-SA"/>
        </w:rPr>
        <w:t>元，</w:t>
      </w:r>
      <w:r>
        <w:rPr>
          <w:rFonts w:hint="eastAsia" w:ascii="宋体" w:hAnsi="宋体" w:eastAsia="宋体" w:cs="宋体"/>
          <w:snapToGrid w:val="0"/>
          <w:color w:val="000000"/>
          <w:kern w:val="0"/>
          <w:sz w:val="28"/>
          <w:szCs w:val="28"/>
          <w:lang w:val="en-US" w:eastAsia="zh-CN" w:bidi="ar-SA"/>
        </w:rPr>
        <w:t>主要</w:t>
      </w:r>
      <w:r>
        <w:rPr>
          <w:rFonts w:hint="eastAsia" w:ascii="宋体" w:hAnsi="宋体" w:eastAsia="宋体" w:cs="宋体"/>
          <w:snapToGrid w:val="0"/>
          <w:color w:val="000000"/>
          <w:kern w:val="0"/>
          <w:sz w:val="28"/>
          <w:szCs w:val="28"/>
          <w:lang w:val="en-US" w:eastAsia="en-US" w:bidi="ar-SA"/>
        </w:rPr>
        <w:t>用于</w:t>
      </w:r>
      <w:r>
        <w:rPr>
          <w:rFonts w:hint="eastAsia" w:ascii="宋体" w:hAnsi="宋体" w:eastAsia="宋体" w:cs="宋体"/>
          <w:snapToGrid w:val="0"/>
          <w:color w:val="000000"/>
          <w:kern w:val="0"/>
          <w:sz w:val="28"/>
          <w:szCs w:val="28"/>
          <w:lang w:val="en-US" w:eastAsia="zh-CN" w:bidi="ar-SA"/>
        </w:rPr>
        <w:t>支付</w:t>
      </w:r>
      <w:r>
        <w:rPr>
          <w:rFonts w:hint="eastAsia" w:ascii="宋体" w:hAnsi="宋体" w:eastAsia="宋体" w:cs="宋体"/>
          <w:snapToGrid w:val="0"/>
          <w:color w:val="000000"/>
          <w:kern w:val="0"/>
          <w:sz w:val="28"/>
          <w:szCs w:val="28"/>
          <w:lang w:val="en-US" w:eastAsia="en-US" w:bidi="ar-SA"/>
        </w:rPr>
        <w:t>S204炎陵县观景平台项目征地拆迁</w:t>
      </w:r>
      <w:r>
        <w:rPr>
          <w:rFonts w:hint="eastAsia" w:ascii="宋体" w:hAnsi="宋体" w:eastAsia="宋体" w:cs="宋体"/>
          <w:snapToGrid w:val="0"/>
          <w:color w:val="000000"/>
          <w:kern w:val="0"/>
          <w:sz w:val="28"/>
          <w:szCs w:val="28"/>
          <w:lang w:val="en-US" w:eastAsia="zh-CN" w:bidi="ar-SA"/>
        </w:rPr>
        <w:t>补偿款和公变华苑生态小区规划外线部分工程款。</w:t>
      </w:r>
      <w:r>
        <w:rPr>
          <w:rFonts w:hint="eastAsia" w:ascii="宋体" w:hAnsi="宋体" w:eastAsia="宋体" w:cs="宋体"/>
          <w:snapToGrid w:val="0"/>
          <w:color w:val="000000"/>
          <w:kern w:val="0"/>
          <w:sz w:val="28"/>
          <w:szCs w:val="28"/>
          <w:lang w:val="en-US" w:eastAsia="en-US" w:bidi="ar-SA"/>
        </w:rPr>
        <w:t>预算数小于决算数的主要原因是</w:t>
      </w:r>
      <w:r>
        <w:rPr>
          <w:rFonts w:hint="eastAsia" w:ascii="宋体" w:hAnsi="宋体" w:eastAsia="宋体" w:cs="宋体"/>
          <w:snapToGrid w:val="0"/>
          <w:color w:val="000000"/>
          <w:kern w:val="0"/>
          <w:sz w:val="28"/>
          <w:szCs w:val="28"/>
          <w:lang w:val="en-US" w:eastAsia="zh-CN" w:bidi="ar-SA"/>
        </w:rPr>
        <w:t>年中</w:t>
      </w:r>
      <w:r>
        <w:rPr>
          <w:rFonts w:hint="eastAsia" w:ascii="宋体" w:hAnsi="宋体" w:eastAsia="宋体" w:cs="宋体"/>
          <w:snapToGrid w:val="0"/>
          <w:color w:val="000000"/>
          <w:kern w:val="0"/>
          <w:sz w:val="28"/>
          <w:szCs w:val="28"/>
          <w:lang w:val="en-US" w:eastAsia="en-US" w:bidi="ar-SA"/>
        </w:rPr>
        <w:t>追加</w:t>
      </w:r>
      <w:r>
        <w:rPr>
          <w:rFonts w:hint="eastAsia" w:ascii="宋体" w:hAnsi="宋体" w:eastAsia="宋体" w:cs="宋体"/>
          <w:snapToGrid w:val="0"/>
          <w:color w:val="000000"/>
          <w:kern w:val="0"/>
          <w:sz w:val="28"/>
          <w:szCs w:val="28"/>
          <w:lang w:val="en-US" w:eastAsia="zh-CN" w:bidi="ar-SA"/>
        </w:rPr>
        <w:t>征地拆迁款和工程款。</w:t>
      </w:r>
    </w:p>
    <w:p w14:paraId="216101D4">
      <w:pPr>
        <w:pStyle w:val="6"/>
        <w:widowControl/>
        <w:numPr>
          <w:ilvl w:val="0"/>
          <w:numId w:val="0"/>
        </w:numPr>
        <w:spacing w:line="520" w:lineRule="exact"/>
        <w:ind w:firstLine="640" w:firstLineChars="20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四、国有资本经营预算支出情况</w:t>
      </w:r>
    </w:p>
    <w:p w14:paraId="579A2BBF">
      <w:pPr>
        <w:pStyle w:val="6"/>
        <w:keepNext w:val="0"/>
        <w:keepLines w:val="0"/>
        <w:pageBreakBefore w:val="0"/>
        <w:widowControl/>
        <w:numPr>
          <w:ilvl w:val="0"/>
          <w:numId w:val="0"/>
        </w:numPr>
        <w:wordWrap/>
        <w:overflowPunct/>
        <w:topLinePunct w:val="0"/>
        <w:bidi w:val="0"/>
        <w:spacing w:line="560" w:lineRule="exact"/>
        <w:ind w:left="640" w:leftChars="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无</w:t>
      </w:r>
    </w:p>
    <w:p w14:paraId="690EE68D">
      <w:pPr>
        <w:pStyle w:val="6"/>
        <w:widowControl/>
        <w:numPr>
          <w:ilvl w:val="0"/>
          <w:numId w:val="0"/>
        </w:numPr>
        <w:spacing w:line="520" w:lineRule="exact"/>
        <w:ind w:leftChars="200" w:firstLine="320" w:firstLineChars="100"/>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65BD4D1B">
      <w:pPr>
        <w:pStyle w:val="6"/>
        <w:keepNext w:val="0"/>
        <w:keepLines w:val="0"/>
        <w:pageBreakBefore w:val="0"/>
        <w:widowControl/>
        <w:numPr>
          <w:ilvl w:val="0"/>
          <w:numId w:val="0"/>
        </w:numPr>
        <w:wordWrap/>
        <w:overflowPunct/>
        <w:topLinePunct w:val="0"/>
        <w:bidi w:val="0"/>
        <w:spacing w:line="560" w:lineRule="exact"/>
        <w:ind w:left="640" w:leftChars="0"/>
        <w:jc w:val="both"/>
        <w:rPr>
          <w:rFonts w:hint="eastAsia" w:ascii="仿宋_GB2312" w:hAnsi="仿宋" w:eastAsia="仿宋_GB2312"/>
          <w:sz w:val="32"/>
          <w:szCs w:val="32"/>
          <w:lang w:val="en-US" w:eastAsia="zh-CN"/>
        </w:rPr>
      </w:pPr>
      <w:r>
        <w:rPr>
          <w:rFonts w:hint="eastAsia" w:ascii="宋体" w:hAnsi="宋体" w:eastAsia="宋体" w:cs="宋体"/>
          <w:b w:val="0"/>
          <w:bCs w:val="0"/>
          <w:sz w:val="28"/>
          <w:szCs w:val="28"/>
          <w:lang w:val="en-US" w:eastAsia="zh-CN"/>
        </w:rPr>
        <w:t>无</w:t>
      </w:r>
    </w:p>
    <w:p w14:paraId="7074D3E2">
      <w:pPr>
        <w:widowControl/>
        <w:numPr>
          <w:ilvl w:val="0"/>
          <w:numId w:val="0"/>
        </w:numPr>
        <w:spacing w:line="520" w:lineRule="exact"/>
        <w:ind w:leftChars="200" w:firstLine="320" w:firstLineChars="100"/>
        <w:jc w:val="left"/>
        <w:rPr>
          <w:rFonts w:eastAsia="黑体"/>
          <w:sz w:val="32"/>
          <w:szCs w:val="32"/>
        </w:rPr>
      </w:pPr>
      <w:r>
        <w:rPr>
          <w:rFonts w:hint="eastAsia" w:eastAsia="黑体"/>
          <w:sz w:val="32"/>
          <w:szCs w:val="32"/>
          <w:lang w:eastAsia="zh-CN"/>
        </w:rPr>
        <w:t>六、</w:t>
      </w:r>
      <w:r>
        <w:rPr>
          <w:rFonts w:eastAsia="黑体"/>
          <w:sz w:val="32"/>
          <w:szCs w:val="32"/>
        </w:rPr>
        <w:t>部门整体支出绩效情况</w:t>
      </w:r>
    </w:p>
    <w:p w14:paraId="6FA4C1E7">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1、征拆协调股、安置服务股2024年年度完成任务。已做好炎陵县垄溪乡风力发电项目征拆外业、土地报批等工作；已完成远山蓝森林康养基地旅游开发一期项目、远山蓝森林康养基地旅游开发项目（观景平台）项目征拆外业、土地报批等其他收尾工作；做好炎陵县罗萍江抽水蓄能电站进场道路等项目征拆外业工作和完成领导交办的其他任务，2024年完成集体土地征收面积2200亩，占全年目标任务的 258%，完成国有土地上房屋征收面积3640平方米，占全年目标任务的104%，全年目标任务超额完成。</w:t>
      </w:r>
    </w:p>
    <w:p w14:paraId="48BA07EE">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2、综合办公室2024年年度完成任务。一是做好2024年征地拆迁项目补偿计算工作和征拆矛盾协调和历史遗留问题的处理工作。今年来，受理和处理市长热线涉及征拆问题3起，接待来访群众24人次，解决了炎陵高速石子坝段何况全户安置地、北门垅拆迁户罗光发安置地路面混凝土硬化等历史遗留问题，化解了一批信访矛盾，维护了社会稳定。二是完成县委县政府安排的其他工作任务。</w:t>
      </w:r>
    </w:p>
    <w:p w14:paraId="679F973C">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部门整体支出绩效评价得分100分，圆满地完成了征地工作协调服务中心预期工作要点和工作计划。</w:t>
      </w:r>
    </w:p>
    <w:p w14:paraId="40A07C61">
      <w:pPr>
        <w:pStyle w:val="6"/>
        <w:widowControl/>
        <w:numPr>
          <w:ilvl w:val="0"/>
          <w:numId w:val="0"/>
        </w:numPr>
        <w:spacing w:line="520" w:lineRule="exact"/>
        <w:ind w:left="640" w:left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B0915A0">
      <w:pPr>
        <w:widowControl/>
        <w:spacing w:line="520" w:lineRule="exact"/>
        <w:ind w:firstLine="560" w:firstLineChars="200"/>
        <w:jc w:val="left"/>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年初预算和决算数的差异较大，调整预算数大于年初预算数主要原因是单位财政拨款预算中追加了征地拆迁补偿款和工程款。</w:t>
      </w:r>
    </w:p>
    <w:p w14:paraId="455796B8">
      <w:pPr>
        <w:widowControl/>
        <w:numPr>
          <w:ilvl w:val="0"/>
          <w:numId w:val="2"/>
        </w:numPr>
        <w:spacing w:line="520" w:lineRule="exact"/>
        <w:ind w:firstLine="640" w:firstLineChars="200"/>
        <w:jc w:val="left"/>
        <w:rPr>
          <w:rFonts w:eastAsia="黑体"/>
          <w:sz w:val="32"/>
          <w:szCs w:val="32"/>
        </w:rPr>
      </w:pPr>
      <w:r>
        <w:rPr>
          <w:rFonts w:eastAsia="黑体"/>
          <w:sz w:val="32"/>
          <w:szCs w:val="32"/>
        </w:rPr>
        <w:t>下一步改进措施</w:t>
      </w:r>
    </w:p>
    <w:p w14:paraId="1DDA5135">
      <w:pPr>
        <w:widowControl/>
        <w:spacing w:line="520" w:lineRule="exact"/>
        <w:ind w:firstLine="560" w:firstLineChars="200"/>
        <w:jc w:val="left"/>
        <w:rPr>
          <w:rFonts w:eastAsia="黑体"/>
          <w:sz w:val="32"/>
          <w:szCs w:val="32"/>
        </w:rPr>
      </w:pPr>
      <w:r>
        <w:rPr>
          <w:rFonts w:hint="eastAsia" w:ascii="宋体" w:hAnsi="宋体" w:eastAsia="宋体" w:cs="宋体"/>
          <w:snapToGrid w:val="0"/>
          <w:color w:val="000000"/>
          <w:kern w:val="0"/>
          <w:sz w:val="28"/>
          <w:szCs w:val="28"/>
          <w:lang w:val="en-US" w:eastAsia="zh-CN" w:bidi="ar-SA"/>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缩小预决算差异率，提高资金效益。进一步完善财政预决算编制、公开等工作。使重大项目管理制度更加科学合理，程序更加规范透明，分配更加公平公正，资金更加安全高效。</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pStyle w:val="6"/>
        <w:keepNext w:val="0"/>
        <w:keepLines w:val="0"/>
        <w:pageBreakBefore w:val="0"/>
        <w:widowControl/>
        <w:numPr>
          <w:ilvl w:val="0"/>
          <w:numId w:val="0"/>
        </w:numPr>
        <w:wordWrap/>
        <w:overflowPunct/>
        <w:topLinePunct w:val="0"/>
        <w:bidi w:val="0"/>
        <w:spacing w:line="560" w:lineRule="exact"/>
        <w:ind w:left="640" w:leftChars="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310B5"/>
    <w:multiLevelType w:val="singleLevel"/>
    <w:tmpl w:val="FDC310B5"/>
    <w:lvl w:ilvl="0" w:tentative="0">
      <w:start w:val="1"/>
      <w:numFmt w:val="chineseCounting"/>
      <w:suff w:val="nothing"/>
      <w:lvlText w:val="%1、"/>
      <w:lvlJc w:val="left"/>
      <w:rPr>
        <w:rFonts w:hint="eastAsia"/>
      </w:rPr>
    </w:lvl>
  </w:abstractNum>
  <w:abstractNum w:abstractNumId="1">
    <w:nsid w:val="2CDA55FB"/>
    <w:multiLevelType w:val="singleLevel"/>
    <w:tmpl w:val="2CDA55F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2E80CD2"/>
    <w:rsid w:val="03FB03BA"/>
    <w:rsid w:val="043B2FCA"/>
    <w:rsid w:val="04EE4C43"/>
    <w:rsid w:val="05553205"/>
    <w:rsid w:val="06284903"/>
    <w:rsid w:val="0A1B64C5"/>
    <w:rsid w:val="0A252635"/>
    <w:rsid w:val="0A6B75FC"/>
    <w:rsid w:val="0B674587"/>
    <w:rsid w:val="0D80424E"/>
    <w:rsid w:val="0DB5782C"/>
    <w:rsid w:val="0FBC70B3"/>
    <w:rsid w:val="11040E45"/>
    <w:rsid w:val="12837EF9"/>
    <w:rsid w:val="13160513"/>
    <w:rsid w:val="14DC5FE6"/>
    <w:rsid w:val="14ED0282"/>
    <w:rsid w:val="15BF56EC"/>
    <w:rsid w:val="17E32D32"/>
    <w:rsid w:val="19BA3F4C"/>
    <w:rsid w:val="19DB686C"/>
    <w:rsid w:val="1E5135A1"/>
    <w:rsid w:val="23211E65"/>
    <w:rsid w:val="260B2287"/>
    <w:rsid w:val="2A960359"/>
    <w:rsid w:val="2AEB1285"/>
    <w:rsid w:val="2B397896"/>
    <w:rsid w:val="2C721A69"/>
    <w:rsid w:val="324F5BF1"/>
    <w:rsid w:val="32DD4FAB"/>
    <w:rsid w:val="337551E4"/>
    <w:rsid w:val="35CB6416"/>
    <w:rsid w:val="36A209E6"/>
    <w:rsid w:val="36A93B22"/>
    <w:rsid w:val="36F34D9D"/>
    <w:rsid w:val="389B1F7E"/>
    <w:rsid w:val="38D70631"/>
    <w:rsid w:val="39730417"/>
    <w:rsid w:val="399F1F67"/>
    <w:rsid w:val="39A011A2"/>
    <w:rsid w:val="3A52418E"/>
    <w:rsid w:val="3CC7395A"/>
    <w:rsid w:val="3CE11597"/>
    <w:rsid w:val="3D4E0F7F"/>
    <w:rsid w:val="3E486228"/>
    <w:rsid w:val="40D53766"/>
    <w:rsid w:val="423050F8"/>
    <w:rsid w:val="461865CE"/>
    <w:rsid w:val="46463620"/>
    <w:rsid w:val="47791740"/>
    <w:rsid w:val="47962389"/>
    <w:rsid w:val="4B41769E"/>
    <w:rsid w:val="4B4334AB"/>
    <w:rsid w:val="4CBB5F06"/>
    <w:rsid w:val="4E8D051A"/>
    <w:rsid w:val="53487DC7"/>
    <w:rsid w:val="5403276E"/>
    <w:rsid w:val="548155DF"/>
    <w:rsid w:val="54C57A37"/>
    <w:rsid w:val="569E48CE"/>
    <w:rsid w:val="594D4389"/>
    <w:rsid w:val="59EE60A6"/>
    <w:rsid w:val="5BC528FD"/>
    <w:rsid w:val="5C3E277E"/>
    <w:rsid w:val="62A36529"/>
    <w:rsid w:val="62FB0AEB"/>
    <w:rsid w:val="633474DC"/>
    <w:rsid w:val="639B5253"/>
    <w:rsid w:val="658A7CDF"/>
    <w:rsid w:val="66717D67"/>
    <w:rsid w:val="672F1572"/>
    <w:rsid w:val="67452E4F"/>
    <w:rsid w:val="67C223E6"/>
    <w:rsid w:val="6BB87D88"/>
    <w:rsid w:val="6CD650E1"/>
    <w:rsid w:val="6D1A412B"/>
    <w:rsid w:val="6E5622CF"/>
    <w:rsid w:val="6ED933BC"/>
    <w:rsid w:val="709017D1"/>
    <w:rsid w:val="70AB011F"/>
    <w:rsid w:val="72A46970"/>
    <w:rsid w:val="74324AFF"/>
    <w:rsid w:val="757271FA"/>
    <w:rsid w:val="78C47DA6"/>
    <w:rsid w:val="7AD8650C"/>
    <w:rsid w:val="7AFD7566"/>
    <w:rsid w:val="7B1B5C3E"/>
    <w:rsid w:val="7BB74544"/>
    <w:rsid w:val="7C7A6994"/>
    <w:rsid w:val="7F567244"/>
    <w:rsid w:val="7F76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NormalIndent"/>
    <w:basedOn w:val="1"/>
    <w:qFormat/>
    <w:uiPriority w:val="0"/>
    <w:pPr>
      <w:ind w:firstLine="420" w:firstLineChars="200"/>
    </w:pPr>
    <w:rPr>
      <w:rFonts w:ascii="Times New Roman" w:hAnsi="Times New Roman" w:eastAsia="宋体" w:cs="Times New Roman"/>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1758</Words>
  <Characters>1985</Characters>
  <Lines>0</Lines>
  <Paragraphs>0</Paragraphs>
  <TotalTime>7</TotalTime>
  <ScaleCrop>false</ScaleCrop>
  <LinksUpToDate>false</LinksUpToDate>
  <CharactersWithSpaces>1986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沈沈沈</cp:lastModifiedBy>
  <dcterms:modified xsi:type="dcterms:W3CDTF">2025-07-28T03:40:25Z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eyJoZGlkIjoiMjlkZGNiNDkyMmEwM2Q1NjYzYmE2OWFmZjAwM2M1YzAiLCJ1c2VySWQiOiIyMjMxMjU0MjEifQ==</vt:lpwstr>
  </property>
</Properties>
</file>