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val="0"/>
        <w:wordWrap/>
        <w:overflowPunct/>
        <w:topLinePunct w:val="0"/>
        <w:autoSpaceDE w:val="0"/>
        <w:autoSpaceDN w:val="0"/>
        <w:bidi w:val="0"/>
        <w:adjustRightInd w:val="0"/>
        <w:snapToGrid w:val="0"/>
        <w:spacing w:before="162" w:line="360" w:lineRule="auto"/>
        <w:ind w:firstLine="736" w:firstLineChars="200"/>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44"/>
          <w:szCs w:val="44"/>
        </w:rPr>
      </w:pPr>
    </w:p>
    <w:p>
      <w:pPr>
        <w:keepNext w:val="0"/>
        <w:keepLines w:val="0"/>
        <w:pageBreakBefore w:val="0"/>
        <w:widowControl/>
        <w:tabs>
          <w:tab w:val="left" w:pos="82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44"/>
          <w:szCs w:val="44"/>
          <w:lang w:eastAsia="zh-CN"/>
        </w:rPr>
      </w:pPr>
    </w:p>
    <w:p>
      <w:pPr>
        <w:keepNext w:val="0"/>
        <w:keepLines w:val="0"/>
        <w:pageBreakBefore w:val="0"/>
        <w:wordWrap/>
        <w:bidi w:val="0"/>
        <w:spacing w:line="360" w:lineRule="auto"/>
        <w:ind w:firstLine="880" w:firstLineChars="2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2024年度炎陵县交通运输局</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lang w:eastAsia="zh-CN"/>
        </w:rPr>
        <w:t>）</w:t>
      </w:r>
    </w:p>
    <w:p>
      <w:pPr>
        <w:keepNext w:val="0"/>
        <w:keepLines w:val="0"/>
        <w:pageBreakBefore w:val="0"/>
        <w:wordWrap/>
        <w:bidi w:val="0"/>
        <w:spacing w:line="360" w:lineRule="auto"/>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keepNext w:val="0"/>
        <w:keepLines w:val="0"/>
        <w:pageBreakBefore w:val="0"/>
        <w:wordWrap/>
        <w:bidi w:val="0"/>
        <w:spacing w:line="360" w:lineRule="auto"/>
        <w:ind w:firstLine="640" w:firstLineChars="200"/>
        <w:jc w:val="center"/>
        <w:rPr>
          <w:rFonts w:eastAsia="楷体_GB2312"/>
          <w:sz w:val="32"/>
          <w:szCs w:val="32"/>
        </w:rPr>
      </w:pPr>
      <w:r>
        <w:rPr>
          <w:rFonts w:eastAsia="楷体_GB2312"/>
          <w:sz w:val="32"/>
          <w:szCs w:val="32"/>
        </w:rPr>
        <w:t>（参考</w:t>
      </w:r>
      <w:r>
        <w:rPr>
          <w:rFonts w:hint="eastAsia" w:eastAsia="楷体_GB2312"/>
          <w:sz w:val="32"/>
          <w:szCs w:val="32"/>
          <w:lang w:val="en-US" w:eastAsia="zh-CN"/>
        </w:rPr>
        <w:t>格式</w:t>
      </w:r>
      <w:r>
        <w:rPr>
          <w:rFonts w:eastAsia="楷体_GB2312"/>
          <w:sz w:val="32"/>
          <w:szCs w:val="32"/>
        </w:rPr>
        <w:t>）</w:t>
      </w:r>
    </w:p>
    <w:p>
      <w:pPr>
        <w:keepNext w:val="0"/>
        <w:keepLines w:val="0"/>
        <w:pageBreakBefore w:val="0"/>
        <w:wordWrap/>
        <w:bidi w:val="0"/>
        <w:spacing w:line="360" w:lineRule="auto"/>
        <w:ind w:firstLine="640" w:firstLineChars="200"/>
        <w:jc w:val="center"/>
        <w:rPr>
          <w:rFonts w:eastAsia="楷体_GB2312"/>
          <w:sz w:val="32"/>
          <w:szCs w:val="32"/>
        </w:rPr>
      </w:pPr>
    </w:p>
    <w:p>
      <w:pPr>
        <w:keepNext w:val="0"/>
        <w:keepLines w:val="0"/>
        <w:pageBreakBefore w:val="0"/>
        <w:wordWrap/>
        <w:bidi w:val="0"/>
        <w:spacing w:line="360" w:lineRule="auto"/>
        <w:ind w:firstLine="640" w:firstLineChars="200"/>
        <w:jc w:val="center"/>
        <w:rPr>
          <w:rFonts w:eastAsia="楷体_GB2312"/>
          <w:sz w:val="32"/>
          <w:szCs w:val="32"/>
        </w:rPr>
      </w:pPr>
    </w:p>
    <w:p>
      <w:pPr>
        <w:keepNext w:val="0"/>
        <w:keepLines w:val="0"/>
        <w:pageBreakBefore w:val="0"/>
        <w:wordWrap/>
        <w:bidi w:val="0"/>
        <w:spacing w:line="360" w:lineRule="auto"/>
        <w:ind w:firstLine="640" w:firstLineChars="200"/>
        <w:jc w:val="center"/>
        <w:rPr>
          <w:rFonts w:eastAsia="楷体_GB2312"/>
          <w:sz w:val="32"/>
          <w:szCs w:val="32"/>
        </w:rPr>
      </w:pPr>
    </w:p>
    <w:p>
      <w:pPr>
        <w:keepNext w:val="0"/>
        <w:keepLines w:val="0"/>
        <w:pageBreakBefore w:val="0"/>
        <w:wordWrap/>
        <w:bidi w:val="0"/>
        <w:spacing w:line="360" w:lineRule="auto"/>
        <w:ind w:firstLine="640" w:firstLineChars="200"/>
        <w:jc w:val="center"/>
        <w:rPr>
          <w:rFonts w:eastAsia="楷体_GB2312"/>
          <w:sz w:val="32"/>
          <w:szCs w:val="32"/>
        </w:rPr>
      </w:pPr>
    </w:p>
    <w:p>
      <w:pPr>
        <w:keepNext w:val="0"/>
        <w:keepLines w:val="0"/>
        <w:pageBreakBefore w:val="0"/>
        <w:wordWrap/>
        <w:bidi w:val="0"/>
        <w:spacing w:line="360" w:lineRule="auto"/>
        <w:ind w:firstLine="640" w:firstLineChars="200"/>
        <w:jc w:val="center"/>
        <w:rPr>
          <w:rFonts w:eastAsia="楷体_GB2312"/>
          <w:sz w:val="32"/>
          <w:szCs w:val="32"/>
        </w:rPr>
      </w:pPr>
    </w:p>
    <w:p>
      <w:pPr>
        <w:keepNext w:val="0"/>
        <w:keepLines w:val="0"/>
        <w:pageBreakBefore w:val="0"/>
        <w:wordWrap/>
        <w:bidi w:val="0"/>
        <w:spacing w:line="360" w:lineRule="auto"/>
        <w:ind w:firstLine="640" w:firstLineChars="200"/>
        <w:jc w:val="center"/>
        <w:rPr>
          <w:rFonts w:eastAsia="楷体_GB2312"/>
          <w:sz w:val="32"/>
          <w:szCs w:val="32"/>
        </w:rPr>
      </w:pPr>
    </w:p>
    <w:p>
      <w:pPr>
        <w:keepNext w:val="0"/>
        <w:keepLines w:val="0"/>
        <w:pageBreakBefore w:val="0"/>
        <w:wordWrap/>
        <w:bidi w:val="0"/>
        <w:spacing w:line="360" w:lineRule="auto"/>
        <w:ind w:firstLine="640" w:firstLineChars="200"/>
        <w:jc w:val="center"/>
        <w:rPr>
          <w:rFonts w:eastAsia="楷体_GB2312"/>
          <w:sz w:val="32"/>
          <w:szCs w:val="32"/>
        </w:rPr>
      </w:pPr>
    </w:p>
    <w:p>
      <w:pPr>
        <w:keepNext w:val="0"/>
        <w:keepLines w:val="0"/>
        <w:pageBreakBefore w:val="0"/>
        <w:wordWrap/>
        <w:bidi w:val="0"/>
        <w:spacing w:line="360" w:lineRule="auto"/>
        <w:ind w:firstLine="720" w:firstLineChars="20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keepNext w:val="0"/>
        <w:keepLines w:val="0"/>
        <w:pageBreakBefore w:val="0"/>
        <w:wordWrap/>
        <w:bidi w:val="0"/>
        <w:spacing w:line="360" w:lineRule="auto"/>
        <w:ind w:firstLine="720" w:firstLineChars="200"/>
        <w:jc w:val="center"/>
        <w:rPr>
          <w:rFonts w:hint="eastAsia" w:ascii="黑体" w:hAnsi="黑体" w:eastAsia="黑体" w:cs="黑体"/>
          <w:sz w:val="36"/>
          <w:szCs w:val="36"/>
          <w:lang w:val="en-US" w:eastAsia="zh-CN"/>
        </w:rPr>
      </w:pPr>
    </w:p>
    <w:p>
      <w:pPr>
        <w:keepNext w:val="0"/>
        <w:keepLines w:val="0"/>
        <w:pageBreakBefore w:val="0"/>
        <w:wordWrap/>
        <w:bidi w:val="0"/>
        <w:spacing w:line="360" w:lineRule="auto"/>
        <w:ind w:firstLine="720" w:firstLineChars="200"/>
        <w:jc w:val="center"/>
        <w:rPr>
          <w:rFonts w:hint="eastAsia" w:ascii="黑体" w:hAnsi="黑体" w:eastAsia="黑体" w:cs="黑体"/>
          <w:sz w:val="36"/>
          <w:szCs w:val="36"/>
          <w:lang w:val="en-US" w:eastAsia="zh-CN"/>
        </w:rPr>
      </w:pPr>
    </w:p>
    <w:p>
      <w:pPr>
        <w:keepNext w:val="0"/>
        <w:keepLines w:val="0"/>
        <w:pageBreakBefore w:val="0"/>
        <w:wordWrap/>
        <w:bidi w:val="0"/>
        <w:spacing w:line="360" w:lineRule="auto"/>
        <w:ind w:firstLine="720" w:firstLineChars="200"/>
        <w:jc w:val="center"/>
        <w:rPr>
          <w:rFonts w:hint="eastAsia" w:ascii="黑体" w:hAnsi="黑体" w:eastAsia="黑体" w:cs="黑体"/>
          <w:sz w:val="36"/>
          <w:szCs w:val="36"/>
          <w:lang w:val="en-US" w:eastAsia="zh-CN"/>
        </w:rPr>
      </w:pPr>
    </w:p>
    <w:p>
      <w:pPr>
        <w:keepNext w:val="0"/>
        <w:keepLines w:val="0"/>
        <w:pageBreakBefore w:val="0"/>
        <w:wordWrap/>
        <w:bidi w:val="0"/>
        <w:spacing w:line="360" w:lineRule="auto"/>
        <w:ind w:firstLine="720" w:firstLineChars="200"/>
        <w:jc w:val="center"/>
        <w:rPr>
          <w:rFonts w:hint="eastAsia" w:ascii="黑体" w:hAnsi="黑体" w:eastAsia="黑体" w:cs="黑体"/>
          <w:sz w:val="36"/>
          <w:szCs w:val="36"/>
          <w:lang w:val="en-US" w:eastAsia="zh-CN"/>
        </w:rPr>
      </w:pPr>
    </w:p>
    <w:p>
      <w:pPr>
        <w:keepNext w:val="0"/>
        <w:keepLines w:val="0"/>
        <w:pageBreakBefore w:val="0"/>
        <w:wordWrap/>
        <w:bidi w:val="0"/>
        <w:spacing w:line="360" w:lineRule="auto"/>
        <w:ind w:firstLine="720" w:firstLineChars="200"/>
        <w:jc w:val="center"/>
        <w:rPr>
          <w:rFonts w:hint="eastAsia" w:ascii="黑体" w:hAnsi="黑体" w:eastAsia="黑体" w:cs="黑体"/>
          <w:sz w:val="36"/>
          <w:szCs w:val="36"/>
          <w:lang w:val="en-US" w:eastAsia="zh-CN"/>
        </w:rPr>
      </w:pPr>
    </w:p>
    <w:p>
      <w:pPr>
        <w:keepNext w:val="0"/>
        <w:keepLines w:val="0"/>
        <w:pageBreakBefore w:val="0"/>
        <w:wordWrap/>
        <w:bidi w:val="0"/>
        <w:spacing w:line="360" w:lineRule="auto"/>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pPr>
        <w:keepNext w:val="0"/>
        <w:keepLines w:val="0"/>
        <w:pageBreakBefore w:val="0"/>
        <w:wordWrap/>
        <w:bidi w:val="0"/>
        <w:spacing w:line="360" w:lineRule="auto"/>
        <w:ind w:firstLine="640" w:firstLineChars="200"/>
        <w:rPr>
          <w:rFonts w:eastAsia="楷体_GB2312"/>
          <w:sz w:val="32"/>
          <w:szCs w:val="32"/>
        </w:rPr>
      </w:pPr>
      <w:r>
        <w:rPr>
          <w:rFonts w:hint="eastAsia" w:ascii="仿宋_GB2312" w:hAnsi="仿宋_GB2312" w:eastAsia="仿宋_GB2312" w:cs="仿宋_GB2312"/>
          <w:sz w:val="32"/>
          <w:szCs w:val="32"/>
          <w:lang w:val="en-US" w:eastAsia="zh-CN"/>
        </w:rPr>
        <w:br w:type="page"/>
      </w:r>
    </w:p>
    <w:p>
      <w:pPr>
        <w:pStyle w:val="8"/>
        <w:keepNext w:val="0"/>
        <w:keepLines w:val="0"/>
        <w:pageBreakBefore w:val="0"/>
        <w:widowControl/>
        <w:numPr>
          <w:ilvl w:val="0"/>
          <w:numId w:val="1"/>
        </w:numPr>
        <w:wordWrap/>
        <w:bidi w:val="0"/>
        <w:spacing w:line="360" w:lineRule="auto"/>
        <w:ind w:firstLine="640" w:firstLineChars="200"/>
        <w:rPr>
          <w:rFonts w:ascii="Times New Roman" w:hAnsi="Times New Roman" w:eastAsia="黑体"/>
          <w:sz w:val="32"/>
          <w:szCs w:val="32"/>
        </w:rPr>
      </w:pPr>
      <w:r>
        <w:rPr>
          <w:rFonts w:ascii="Times New Roman" w:hAnsi="Times New Roman" w:eastAsia="黑体"/>
          <w:sz w:val="32"/>
          <w:szCs w:val="32"/>
        </w:rPr>
        <w:t>基本情况</w:t>
      </w:r>
    </w:p>
    <w:p>
      <w:pPr>
        <w:pStyle w:val="8"/>
        <w:keepNext w:val="0"/>
        <w:keepLines w:val="0"/>
        <w:pageBreakBefore w:val="0"/>
        <w:widowControl/>
        <w:numPr>
          <w:ilvl w:val="0"/>
          <w:numId w:val="2"/>
        </w:numPr>
        <w:wordWrap/>
        <w:bidi w:val="0"/>
        <w:spacing w:line="360" w:lineRule="auto"/>
        <w:ind w:left="-220" w:leftChars="0"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pStyle w:val="8"/>
        <w:keepNext w:val="0"/>
        <w:keepLines w:val="0"/>
        <w:pageBreakBefore w:val="0"/>
        <w:widowControl/>
        <w:numPr>
          <w:ilvl w:val="0"/>
          <w:numId w:val="0"/>
        </w:numPr>
        <w:wordWrap/>
        <w:bidi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1、主要职能：</w:t>
      </w:r>
      <w:r>
        <w:rPr>
          <w:rFonts w:hint="eastAsia" w:ascii="仿宋" w:hAnsi="仿宋" w:eastAsia="仿宋" w:cs="仿宋"/>
          <w:sz w:val="32"/>
          <w:szCs w:val="32"/>
          <w:lang w:eastAsia="zh-CN"/>
        </w:rPr>
        <w:t>贯彻执行国家、省、市有关交通运输管理的法律、法规和方针、政策，负责全县交通运输行政管理、执法监督、服务工作；组织拟订全县综合交通运输发展战略、政策和规范性文件，统筹公路、水路、铁路、民航和城市公共交通、邮政运输、物流相关行业发展，指导全县交通运输行业有关体制改革工作等；组织拟订全县综合交通运输体系发展规划和年度计划，承担相关协调工作；组织拟订全县交通运输行业发展规划与年度计划、产业政策、行业标准与规范并监督实施；参与编制邮政运输、物流业发展战略、规划、有关政策并监督实施；参与对公路两侧新建村镇、开发区等规划管理；负责全县交通运输行政管理。负责全县交通运输建设市场管理，承担交通运输基础设施建设项目的前期研究、项目论证、项目申报和权限内的行政审批、行政许可、行政裁决；负责交通运输建设项目库建设，提出交通运输固定资产投资规模和方向、县级财政性资金安排和有关财政、土地、价格等政策意见、建议；负责交通运输建设项目造价控制和工程质量、安全生产的监督管理；负责全县范围内国家、省、市交通运输重点工程建设协调和县交通运输重点工程建设管理、绩效监督等</w:t>
      </w:r>
      <w:r>
        <w:rPr>
          <w:rFonts w:hint="eastAsia" w:ascii="仿宋" w:hAnsi="仿宋" w:eastAsia="仿宋" w:cs="仿宋"/>
          <w:sz w:val="32"/>
          <w:szCs w:val="32"/>
        </w:rPr>
        <w:t>工作。</w:t>
      </w:r>
    </w:p>
    <w:p>
      <w:pPr>
        <w:keepNext w:val="0"/>
        <w:keepLines w:val="0"/>
        <w:pageBreakBefore w:val="0"/>
        <w:tabs>
          <w:tab w:val="left" w:pos="0"/>
        </w:tabs>
        <w:wordWrap/>
        <w:bidi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2、机构情况：</w:t>
      </w:r>
      <w:r>
        <w:rPr>
          <w:rFonts w:hint="eastAsia" w:ascii="仿宋_GB2312" w:hAnsi="仿宋_GB2312" w:eastAsia="仿宋_GB2312" w:cs="仿宋_GB2312"/>
          <w:sz w:val="32"/>
          <w:szCs w:val="32"/>
          <w:lang w:eastAsia="zh-CN"/>
        </w:rPr>
        <w:t>根据上述职责，交通运输局内设内设办公室、综合管理股（应急维稳股）、行政审批股（安全法制股）、基本建设和公路养护股、机关党委（人事股）共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个股室，属于财政全额拨款的一级预算单位，下设二级机构交通运输综合服务中心和交通运输综合行政执法大队，交通运输综合服务中心和交通运输综合行政执法大队是副科级事业单位，属于财政全额拨款的二级预算单位，与交通运输局并账，执行政府会计制度。</w:t>
      </w:r>
      <w:bookmarkStart w:id="1" w:name="_GoBack"/>
      <w:bookmarkEnd w:id="1"/>
    </w:p>
    <w:p>
      <w:pPr>
        <w:keepNext w:val="0"/>
        <w:keepLines w:val="0"/>
        <w:pageBreakBefore w:val="0"/>
        <w:tabs>
          <w:tab w:val="left" w:pos="0"/>
        </w:tabs>
        <w:kinsoku/>
        <w:wordWrap/>
        <w:bidi w:val="0"/>
        <w:adjustRightInd/>
        <w:spacing w:line="360" w:lineRule="auto"/>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3、</w:t>
      </w:r>
      <w:r>
        <w:rPr>
          <w:rFonts w:hint="eastAsia" w:ascii="仿宋" w:hAnsi="仿宋" w:eastAsia="仿宋" w:cs="仿宋"/>
          <w:color w:val="000000" w:themeColor="text1"/>
          <w:sz w:val="32"/>
          <w:szCs w:val="32"/>
          <w:lang w:val="en-US" w:eastAsia="zh-CN"/>
          <w14:textFill>
            <w14:solidFill>
              <w14:schemeClr w14:val="tx1"/>
            </w14:solidFill>
          </w14:textFill>
        </w:rPr>
        <w:t>人员情况：</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年12月底，交通运输局人员编制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人（行政编</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人、机关后勤编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 xml:space="preserve">人、全额事业编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人），实有在职人员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人，退</w:t>
      </w:r>
      <w:r>
        <w:rPr>
          <w:rFonts w:hint="eastAsia" w:ascii="仿宋_GB2312" w:hAnsi="仿宋_GB2312" w:eastAsia="仿宋_GB2312" w:cs="仿宋_GB2312"/>
          <w:color w:val="auto"/>
          <w:sz w:val="32"/>
          <w:szCs w:val="32"/>
          <w:lang w:eastAsia="zh-CN"/>
        </w:rPr>
        <w:t>休</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交通运输综合服务中心编制</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人（行政编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人、机关后勤编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人、全额事业编</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人），实有在职人员</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人，退休</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eastAsia="zh-CN"/>
        </w:rPr>
        <w:t>人。交通运输综合行政执法大队编制</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lang w:eastAsia="zh-CN"/>
        </w:rPr>
        <w:t>人（行政编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人、机关后勤编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人、全额事业编</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lang w:eastAsia="zh-CN"/>
        </w:rPr>
        <w:t>人），实有在职人员</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lang w:eastAsia="zh-CN"/>
        </w:rPr>
        <w:t>人，退休</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lang w:eastAsia="zh-CN"/>
        </w:rPr>
        <w:t>人。</w:t>
      </w:r>
    </w:p>
    <w:p>
      <w:pPr>
        <w:pStyle w:val="8"/>
        <w:keepNext w:val="0"/>
        <w:keepLines w:val="0"/>
        <w:pageBreakBefore w:val="0"/>
        <w:widowControl/>
        <w:numPr>
          <w:ilvl w:val="0"/>
          <w:numId w:val="2"/>
        </w:numPr>
        <w:wordWrap/>
        <w:bidi w:val="0"/>
        <w:spacing w:line="360" w:lineRule="auto"/>
        <w:ind w:left="-220" w:leftChars="0" w:firstLine="640" w:firstLineChars="200"/>
        <w:rPr>
          <w:rFonts w:hint="default" w:ascii="楷体_GB2312" w:hAnsi="楷体_GB2312" w:eastAsia="仿宋" w:cs="楷体_GB2312"/>
          <w:b w:val="0"/>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w:t>
      </w:r>
      <w:r>
        <w:rPr>
          <w:rFonts w:hint="eastAsia" w:ascii="楷体_GB2312" w:hAnsi="楷体_GB2312" w:eastAsia="仿宋" w:cs="楷体_GB2312"/>
          <w:sz w:val="32"/>
          <w:szCs w:val="32"/>
          <w:highlight w:val="none"/>
          <w:lang w:val="en-US" w:eastAsia="zh-CN"/>
        </w:rPr>
        <w:t>新建</w:t>
      </w:r>
      <w:r>
        <w:rPr>
          <w:rFonts w:hint="eastAsia" w:ascii="楷体_GB2312" w:hAnsi="楷体_GB2312" w:eastAsia="仿宋" w:cs="楷体_GB2312"/>
          <w:sz w:val="32"/>
          <w:szCs w:val="32"/>
          <w:lang w:val="en-US" w:eastAsia="zh-CN"/>
        </w:rPr>
        <w:t>改建公路里程28.16公里，交通项目合格率100%，任务完成及时率100%，道路补助标准符合行业标准，直接或间接增加当地群众收入大于20万元，受益人口大于5000人，新建公路列养率100%，群众满意度96%。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专项资金绩效目标、其他项目支出（除专项资金以外）绩效目标：</w:t>
      </w:r>
      <w:r>
        <w:rPr>
          <w:rFonts w:hint="eastAsia" w:ascii="仿宋" w:hAnsi="仿宋" w:eastAsia="仿宋" w:cs="仿宋"/>
          <w:sz w:val="32"/>
          <w:szCs w:val="32"/>
          <w:lang w:val="en-US" w:eastAsia="zh-CN"/>
        </w:rPr>
        <w:t>专项资金项目为炎帝陵旅游专线专项运营补贴，</w:t>
      </w:r>
      <w:r>
        <w:rPr>
          <w:rFonts w:hint="eastAsia" w:ascii="仿宋_GB2312" w:hAnsi="仿宋_GB2312" w:eastAsia="仿宋_GB2312" w:cs="仿宋_GB2312"/>
          <w:sz w:val="32"/>
          <w:szCs w:val="32"/>
          <w:lang w:val="en-US" w:eastAsia="zh-CN"/>
        </w:rPr>
        <w:t>2024年度本绩效项目涉及列入补贴范围的车辆为13台，共369个座位。炎帝陵旅游专线车，通过加强管理每日往返运营服务于炎陵县汽车东站至炎帝陵游客服务中心，以及运营服务在主要途经地霞阳镇之蔬菜村、九龙村、星潮村、霍家村等和炎帝陵周边之玉江村、湖田等行政村；还有如鹿原镇之天星村、东风村、三口村等；至鹿原镇之炎陵村、星火村、澎溪村等；船形乡之同睦村、新生村、船形村、沿楠村等，直接受益或辐射受益行政村38个（其中霞阳镇含九龙局11个、鹿原镇21个、船形乡6个），受益人口63866人，包括原建档立卡贫困人口8432人。严格按照日发班次运营，车辆实载率高于80%以上，严格执行专线车阶梯次优惠售票，同时为前来炎帝陵游客实现炎陵县城至景区零距离换乘带来便利，对于提升我县旅游服务品质具有十分重大的意义。</w:t>
      </w:r>
    </w:p>
    <w:p>
      <w:pPr>
        <w:pStyle w:val="8"/>
        <w:keepNext w:val="0"/>
        <w:keepLines w:val="0"/>
        <w:pageBreakBefore w:val="0"/>
        <w:widowControl/>
        <w:tabs>
          <w:tab w:val="left" w:pos="1216"/>
        </w:tabs>
        <w:wordWrap/>
        <w:bidi w:val="0"/>
        <w:spacing w:line="360" w:lineRule="auto"/>
        <w:ind w:left="0" w:leftChars="0"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8"/>
        <w:keepNext w:val="0"/>
        <w:keepLines w:val="0"/>
        <w:pageBreakBefore w:val="0"/>
        <w:widowControl/>
        <w:tabs>
          <w:tab w:val="left" w:pos="886"/>
        </w:tabs>
        <w:wordWrap/>
        <w:bidi w:val="0"/>
        <w:spacing w:line="360" w:lineRule="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pStyle w:val="8"/>
        <w:keepNext w:val="0"/>
        <w:keepLines w:val="0"/>
        <w:pageBreakBefore w:val="0"/>
        <w:widowControl/>
        <w:wordWrap/>
        <w:bidi w:val="0"/>
        <w:spacing w:line="360" w:lineRule="auto"/>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2024年基本支出为</w:t>
      </w:r>
      <w:r>
        <w:rPr>
          <w:rFonts w:hint="eastAsia" w:ascii="仿宋_GB2312" w:hAnsi="仿宋" w:eastAsia="仿宋_GB2312"/>
          <w:sz w:val="32"/>
          <w:szCs w:val="32"/>
          <w:lang w:val="en-US" w:eastAsia="zh-CN"/>
        </w:rPr>
        <w:t>13366510.58</w:t>
      </w:r>
      <w:r>
        <w:rPr>
          <w:rFonts w:hint="eastAsia" w:ascii="仿宋_GB2312" w:hAnsi="仿宋" w:eastAsia="仿宋_GB2312"/>
          <w:sz w:val="32"/>
          <w:szCs w:val="32"/>
          <w:highlight w:val="none"/>
          <w:lang w:val="en-US" w:eastAsia="zh-CN"/>
        </w:rPr>
        <w:t>元，其中人员经费10313174.58元，公用经费3053336.00元；与上年相比，2024年基本支出减少688091.42元，减少的主要原因是人员退休2人，调出1人，辞职1人。</w:t>
      </w:r>
    </w:p>
    <w:p>
      <w:pPr>
        <w:pStyle w:val="8"/>
        <w:keepNext w:val="0"/>
        <w:keepLines w:val="0"/>
        <w:pageBreakBefore w:val="0"/>
        <w:widowControl/>
        <w:wordWrap/>
        <w:bidi w:val="0"/>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pStyle w:val="8"/>
        <w:keepNext w:val="0"/>
        <w:keepLines w:val="0"/>
        <w:pageBreakBefore w:val="0"/>
        <w:widowControl/>
        <w:wordWrap/>
        <w:bidi w:val="0"/>
        <w:spacing w:line="360" w:lineRule="auto"/>
        <w:ind w:firstLine="640" w:firstLineChars="200"/>
        <w:rPr>
          <w:rFonts w:hint="eastAsia" w:ascii="楷体_GB2312" w:hAnsi="楷体_GB2312" w:eastAsia="楷体_GB2312" w:cs="楷体_GB2312"/>
          <w:sz w:val="32"/>
          <w:szCs w:val="32"/>
        </w:rPr>
      </w:pPr>
      <w:r>
        <w:rPr>
          <w:rFonts w:hint="eastAsia" w:ascii="仿宋_GB2312" w:hAnsi="仿宋" w:eastAsia="仿宋_GB2312" w:cs="Times New Roman"/>
          <w:sz w:val="32"/>
          <w:szCs w:val="32"/>
          <w:highlight w:val="none"/>
          <w:lang w:val="en-US" w:eastAsia="zh-CN"/>
        </w:rPr>
        <w:t>2024年项目支出37706052.28元，与上年相比增加7271054.28元，增加的主要原因为增加涉农整合项目支出</w:t>
      </w:r>
      <w:r>
        <w:rPr>
          <w:rFonts w:hint="eastAsia" w:ascii="仿宋_GB2312" w:hAnsi="仿宋" w:eastAsia="仿宋_GB2312"/>
          <w:sz w:val="32"/>
          <w:szCs w:val="32"/>
          <w:highlight w:val="none"/>
          <w:lang w:val="en-US" w:eastAsia="zh-CN"/>
        </w:rPr>
        <w:t>。</w:t>
      </w:r>
    </w:p>
    <w:p>
      <w:pPr>
        <w:pStyle w:val="8"/>
        <w:keepNext w:val="0"/>
        <w:keepLines w:val="0"/>
        <w:pageBreakBefore w:val="0"/>
        <w:widowControl/>
        <w:numPr>
          <w:ilvl w:val="0"/>
          <w:numId w:val="0"/>
        </w:numPr>
        <w:wordWrap/>
        <w:bidi w:val="0"/>
        <w:spacing w:line="360" w:lineRule="auto"/>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pPr>
        <w:pStyle w:val="8"/>
        <w:keepNext w:val="0"/>
        <w:keepLines w:val="0"/>
        <w:pageBreakBefore w:val="0"/>
        <w:widowControl/>
        <w:numPr>
          <w:ilvl w:val="0"/>
          <w:numId w:val="0"/>
        </w:numPr>
        <w:wordWrap/>
        <w:bidi w:val="0"/>
        <w:spacing w:line="360" w:lineRule="auto"/>
        <w:ind w:firstLine="640" w:firstLineChars="200"/>
        <w:jc w:val="left"/>
        <w:rPr>
          <w:rFonts w:hint="default" w:ascii="Times New Roman" w:hAnsi="Times New Roman" w:eastAsia="黑体"/>
          <w:sz w:val="32"/>
          <w:szCs w:val="32"/>
          <w:lang w:val="en-US" w:eastAsia="zh-CN"/>
        </w:rPr>
      </w:pP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年年初政府性基金的预算为0</w:t>
      </w:r>
      <w:r>
        <w:rPr>
          <w:rFonts w:hint="eastAsia" w:ascii="仿宋_GB2312" w:hAnsi="仿宋" w:eastAsia="仿宋_GB2312"/>
          <w:color w:val="auto"/>
          <w:sz w:val="32"/>
          <w:szCs w:val="32"/>
          <w:lang w:eastAsia="zh-CN"/>
        </w:rPr>
        <w:t>元</w:t>
      </w:r>
      <w:r>
        <w:rPr>
          <w:rFonts w:hint="eastAsia" w:ascii="仿宋_GB2312" w:hAnsi="仿宋" w:eastAsia="仿宋_GB2312"/>
          <w:color w:val="auto"/>
          <w:sz w:val="32"/>
          <w:szCs w:val="32"/>
        </w:rPr>
        <w:t>，决算数为</w:t>
      </w:r>
      <w:r>
        <w:rPr>
          <w:rFonts w:hint="eastAsia" w:ascii="仿宋_GB2312" w:hAnsi="仿宋" w:eastAsia="仿宋_GB2312"/>
          <w:color w:val="auto"/>
          <w:sz w:val="32"/>
          <w:szCs w:val="32"/>
          <w:lang w:val="en-US" w:eastAsia="zh-CN"/>
        </w:rPr>
        <w:t>3925724.00</w:t>
      </w:r>
      <w:r>
        <w:rPr>
          <w:rFonts w:hint="eastAsia" w:ascii="仿宋_GB2312" w:hAnsi="仿宋" w:eastAsia="仿宋_GB2312"/>
          <w:color w:val="auto"/>
          <w:sz w:val="32"/>
          <w:szCs w:val="32"/>
        </w:rPr>
        <w:t>元</w:t>
      </w:r>
      <w:r>
        <w:rPr>
          <w:rFonts w:hint="eastAsia" w:ascii="Times New Roman" w:hAnsi="Times New Roman" w:eastAsia="黑体"/>
          <w:sz w:val="32"/>
          <w:szCs w:val="32"/>
          <w:lang w:val="en-US" w:eastAsia="zh-CN"/>
        </w:rPr>
        <w:t>，</w:t>
      </w:r>
      <w:r>
        <w:rPr>
          <w:rFonts w:hint="eastAsia" w:ascii="Times New Roman" w:hAnsi="Times New Roman" w:eastAsia="仿宋"/>
          <w:sz w:val="32"/>
          <w:szCs w:val="32"/>
          <w:lang w:val="en-US" w:eastAsia="zh-CN"/>
        </w:rPr>
        <w:t>均为</w:t>
      </w:r>
      <w:r>
        <w:rPr>
          <w:rFonts w:hint="eastAsia" w:ascii="仿宋" w:hAnsi="仿宋" w:eastAsia="仿宋" w:cs="仿宋"/>
          <w:color w:val="000000"/>
          <w:kern w:val="0"/>
          <w:sz w:val="32"/>
          <w:szCs w:val="32"/>
          <w:lang w:val="en-US" w:eastAsia="zh-CN" w:bidi="ar-SA"/>
        </w:rPr>
        <w:t>除专项资金以外的其他项目支出</w:t>
      </w:r>
      <w:r>
        <w:rPr>
          <w:rFonts w:hint="eastAsia" w:ascii="Times New Roman" w:hAnsi="Times New Roman" w:eastAsia="黑体"/>
          <w:sz w:val="32"/>
          <w:szCs w:val="32"/>
          <w:lang w:val="en-US" w:eastAsia="zh-CN"/>
        </w:rPr>
        <w:t>。</w:t>
      </w:r>
    </w:p>
    <w:p>
      <w:pPr>
        <w:pStyle w:val="8"/>
        <w:keepNext w:val="0"/>
        <w:keepLines w:val="0"/>
        <w:pageBreakBefore w:val="0"/>
        <w:widowControl/>
        <w:numPr>
          <w:ilvl w:val="0"/>
          <w:numId w:val="0"/>
        </w:numPr>
        <w:wordWrap/>
        <w:bidi w:val="0"/>
        <w:spacing w:line="360" w:lineRule="auto"/>
        <w:ind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四、国有资本经营预算支出情况</w:t>
      </w:r>
    </w:p>
    <w:p>
      <w:pPr>
        <w:pStyle w:val="8"/>
        <w:keepNext w:val="0"/>
        <w:keepLines w:val="0"/>
        <w:pageBreakBefore w:val="0"/>
        <w:widowControl/>
        <w:numPr>
          <w:ilvl w:val="0"/>
          <w:numId w:val="0"/>
        </w:numPr>
        <w:tabs>
          <w:tab w:val="left" w:pos="6181"/>
        </w:tabs>
        <w:wordWrap/>
        <w:bidi w:val="0"/>
        <w:spacing w:line="360" w:lineRule="auto"/>
        <w:ind w:firstLine="640" w:firstLineChars="200"/>
        <w:jc w:val="left"/>
        <w:rPr>
          <w:rFonts w:hint="default" w:ascii="Times New Roman" w:hAnsi="Times New Roman" w:eastAsia="黑体"/>
          <w:sz w:val="32"/>
          <w:szCs w:val="32"/>
          <w:lang w:val="en-US" w:eastAsia="zh-CN"/>
        </w:rPr>
      </w:pPr>
      <w:r>
        <w:rPr>
          <w:rFonts w:hint="eastAsia" w:ascii="仿宋" w:hAnsi="仿宋" w:eastAsia="仿宋" w:cs="仿宋"/>
          <w:color w:val="000000"/>
          <w:kern w:val="0"/>
          <w:sz w:val="32"/>
          <w:szCs w:val="32"/>
          <w:lang w:val="en-US" w:eastAsia="zh-CN" w:bidi="ar-SA"/>
        </w:rPr>
        <w:t>本部门无</w:t>
      </w:r>
      <w:r>
        <w:rPr>
          <w:rFonts w:hint="eastAsia" w:ascii="仿宋" w:hAnsi="仿宋" w:eastAsia="仿宋" w:cs="仿宋"/>
          <w:sz w:val="32"/>
          <w:szCs w:val="32"/>
          <w:lang w:val="en-US" w:eastAsia="zh-CN"/>
        </w:rPr>
        <w:t>国有资本经营预算支出</w:t>
      </w:r>
      <w:r>
        <w:rPr>
          <w:rFonts w:hint="eastAsia" w:ascii="仿宋" w:hAnsi="仿宋" w:eastAsia="仿宋" w:cs="仿宋"/>
          <w:color w:val="000000"/>
          <w:kern w:val="0"/>
          <w:sz w:val="32"/>
          <w:szCs w:val="32"/>
          <w:lang w:val="en-US" w:eastAsia="zh-CN" w:bidi="ar-SA"/>
        </w:rPr>
        <w:t>。</w:t>
      </w:r>
      <w:r>
        <w:rPr>
          <w:rFonts w:hint="eastAsia" w:ascii="仿宋" w:hAnsi="仿宋" w:eastAsia="仿宋" w:cs="仿宋"/>
          <w:color w:val="000000"/>
          <w:kern w:val="0"/>
          <w:sz w:val="32"/>
          <w:szCs w:val="32"/>
          <w:lang w:val="en-US" w:eastAsia="zh-CN" w:bidi="ar-SA"/>
        </w:rPr>
        <w:tab/>
      </w:r>
    </w:p>
    <w:p>
      <w:pPr>
        <w:pStyle w:val="8"/>
        <w:keepNext w:val="0"/>
        <w:keepLines w:val="0"/>
        <w:pageBreakBefore w:val="0"/>
        <w:widowControl/>
        <w:numPr>
          <w:ilvl w:val="0"/>
          <w:numId w:val="0"/>
        </w:numPr>
        <w:wordWrap/>
        <w:bidi w:val="0"/>
        <w:spacing w:line="360" w:lineRule="auto"/>
        <w:ind w:firstLine="640" w:firstLineChars="200"/>
        <w:jc w:val="left"/>
        <w:rPr>
          <w:rFonts w:ascii="Times New Roman" w:hAnsi="Times New Roman" w:eastAsia="黑体"/>
          <w:sz w:val="32"/>
          <w:szCs w:val="32"/>
        </w:rPr>
      </w:pPr>
      <w:r>
        <w:rPr>
          <w:rFonts w:hint="eastAsia" w:ascii="Times New Roman" w:hAnsi="Times New Roman" w:eastAsia="黑体"/>
          <w:sz w:val="32"/>
          <w:szCs w:val="32"/>
          <w:highlight w:val="none"/>
          <w:lang w:eastAsia="zh-CN"/>
        </w:rPr>
        <w:t>五、</w:t>
      </w:r>
      <w:r>
        <w:rPr>
          <w:rFonts w:ascii="Times New Roman" w:hAnsi="Times New Roman" w:eastAsia="黑体"/>
          <w:sz w:val="32"/>
          <w:szCs w:val="32"/>
          <w:highlight w:val="none"/>
        </w:rPr>
        <w:t>社会保险基金预算支出情况</w:t>
      </w:r>
    </w:p>
    <w:p>
      <w:pPr>
        <w:keepNext w:val="0"/>
        <w:keepLines w:val="0"/>
        <w:pageBreakBefore w:val="0"/>
        <w:widowControl/>
        <w:numPr>
          <w:ilvl w:val="0"/>
          <w:numId w:val="0"/>
        </w:numPr>
        <w:wordWrap/>
        <w:bidi w:val="0"/>
        <w:spacing w:line="360" w:lineRule="auto"/>
        <w:ind w:firstLine="640" w:firstLineChars="200"/>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本部门无社会保险基金预算支出。</w:t>
      </w:r>
    </w:p>
    <w:p>
      <w:pPr>
        <w:keepNext w:val="0"/>
        <w:keepLines w:val="0"/>
        <w:pageBreakBefore w:val="0"/>
        <w:widowControl/>
        <w:numPr>
          <w:ilvl w:val="0"/>
          <w:numId w:val="0"/>
        </w:numPr>
        <w:wordWrap/>
        <w:bidi w:val="0"/>
        <w:spacing w:line="360" w:lineRule="auto"/>
        <w:ind w:firstLine="640" w:firstLineChars="200"/>
        <w:jc w:val="left"/>
        <w:rPr>
          <w:rFonts w:eastAsia="黑体"/>
          <w:sz w:val="32"/>
          <w:szCs w:val="32"/>
        </w:rPr>
      </w:pPr>
      <w:r>
        <w:rPr>
          <w:rFonts w:hint="eastAsia" w:eastAsia="黑体"/>
          <w:sz w:val="32"/>
          <w:szCs w:val="32"/>
          <w:lang w:eastAsia="zh-CN"/>
        </w:rPr>
        <w:t>六、</w:t>
      </w:r>
      <w:r>
        <w:rPr>
          <w:rFonts w:eastAsia="黑体"/>
          <w:sz w:val="32"/>
          <w:szCs w:val="32"/>
        </w:rPr>
        <w:t>部门整体支出绩效情况</w:t>
      </w:r>
    </w:p>
    <w:p>
      <w:pPr>
        <w:keepNext w:val="0"/>
        <w:keepLines w:val="0"/>
        <w:pageBreakBefore w:val="0"/>
        <w:kinsoku/>
        <w:wordWrap/>
        <w:overflowPunct w:val="0"/>
        <w:topLinePunct/>
        <w:autoSpaceDE w:val="0"/>
        <w:autoSpaceDN w:val="0"/>
        <w:bidi w:val="0"/>
        <w:adjustRightInd/>
        <w:spacing w:line="360" w:lineRule="auto"/>
        <w:ind w:firstLine="640" w:firstLineChars="200"/>
        <w:jc w:val="both"/>
        <w:textAlignment w:val="auto"/>
        <w:rPr>
          <w:rFonts w:hint="eastAsia" w:ascii="Times New Roman" w:hAnsi="Times New Roman" w:eastAsia="仿宋_GB2312" w:cs="Times New Roman"/>
          <w:color w:val="auto"/>
          <w:spacing w:val="0"/>
          <w:sz w:val="32"/>
          <w:szCs w:val="32"/>
          <w:shd w:val="clear" w:color="auto" w:fill="auto"/>
          <w:lang w:val="en-US" w:eastAsia="zh-CN"/>
        </w:rPr>
      </w:pPr>
      <w:r>
        <w:rPr>
          <w:rFonts w:hint="eastAsia" w:eastAsia="黑体"/>
          <w:sz w:val="32"/>
          <w:szCs w:val="32"/>
          <w:lang w:val="en-US" w:eastAsia="zh-CN"/>
        </w:rPr>
        <w:t xml:space="preserve"> </w:t>
      </w:r>
      <w:r>
        <w:rPr>
          <w:rFonts w:hint="eastAsia" w:ascii="仿宋_GB2312" w:hAnsi="仿宋_GB2312" w:eastAsia="仿宋_GB2312" w:cs="仿宋_GB2312"/>
          <w:b/>
          <w:bCs/>
          <w:color w:val="auto"/>
          <w:sz w:val="32"/>
          <w:szCs w:val="32"/>
          <w:shd w:val="clear" w:color="auto" w:fill="auto"/>
          <w:lang w:val="en-US" w:eastAsia="zh-CN"/>
        </w:rPr>
        <w:t>1、持续紧抓党建工作。</w:t>
      </w:r>
      <w:r>
        <w:rPr>
          <w:rFonts w:hint="eastAsia" w:ascii="楷体_GB2312" w:hAnsi="楷体_GB2312" w:eastAsia="楷体_GB2312" w:cs="楷体_GB2312"/>
          <w:sz w:val="32"/>
          <w:szCs w:val="32"/>
          <w:lang w:eastAsia="zh-CN"/>
        </w:rPr>
        <w:t>一是</w:t>
      </w:r>
      <w:r>
        <w:rPr>
          <w:rFonts w:hint="eastAsia" w:ascii="Times New Roman" w:hAnsi="Times New Roman" w:eastAsia="仿宋_GB2312" w:cs="Times New Roman"/>
          <w:color w:val="auto"/>
          <w:spacing w:val="0"/>
          <w:sz w:val="32"/>
          <w:szCs w:val="32"/>
          <w:shd w:val="clear" w:color="auto" w:fill="auto"/>
          <w:lang w:val="en-US" w:eastAsia="zh-CN"/>
        </w:rPr>
        <w:t>加强学习教育。严格落实意识形态工作责任制，</w:t>
      </w:r>
      <w:r>
        <w:rPr>
          <w:rFonts w:hint="eastAsia" w:ascii="Times New Roman" w:hAnsi="Times New Roman" w:eastAsia="仿宋_GB2312" w:cs="Times New Roman"/>
          <w:color w:val="auto"/>
          <w:spacing w:val="0"/>
          <w:sz w:val="32"/>
          <w:szCs w:val="32"/>
          <w:shd w:val="clear" w:color="auto" w:fill="auto"/>
        </w:rPr>
        <w:t>学习贯彻党的二十届三中全会精神</w:t>
      </w:r>
      <w:r>
        <w:rPr>
          <w:rFonts w:hint="eastAsia" w:ascii="Times New Roman" w:hAnsi="Times New Roman" w:eastAsia="仿宋_GB2312" w:cs="Times New Roman"/>
          <w:color w:val="auto"/>
          <w:spacing w:val="0"/>
          <w:sz w:val="32"/>
          <w:szCs w:val="32"/>
          <w:shd w:val="clear" w:color="auto" w:fill="auto"/>
          <w:lang w:eastAsia="zh-CN"/>
        </w:rPr>
        <w:t>和</w:t>
      </w:r>
      <w:r>
        <w:rPr>
          <w:rFonts w:hint="eastAsia" w:ascii="Times New Roman" w:hAnsi="Times New Roman" w:eastAsia="仿宋_GB2312" w:cs="Times New Roman"/>
          <w:color w:val="auto"/>
          <w:spacing w:val="0"/>
          <w:sz w:val="32"/>
          <w:szCs w:val="32"/>
          <w:shd w:val="clear" w:color="auto" w:fill="auto"/>
        </w:rPr>
        <w:t>宣讲</w:t>
      </w:r>
      <w:r>
        <w:rPr>
          <w:rFonts w:hint="eastAsia" w:ascii="Times New Roman" w:hAnsi="Times New Roman" w:eastAsia="仿宋_GB2312" w:cs="Times New Roman"/>
          <w:color w:val="auto"/>
          <w:spacing w:val="0"/>
          <w:sz w:val="32"/>
          <w:szCs w:val="32"/>
          <w:shd w:val="clear" w:color="auto" w:fill="auto"/>
          <w:lang w:eastAsia="zh-CN"/>
        </w:rPr>
        <w:t>工作，</w:t>
      </w:r>
      <w:r>
        <w:rPr>
          <w:rFonts w:hint="eastAsia" w:ascii="Times New Roman" w:hAnsi="Times New Roman" w:eastAsia="仿宋_GB2312" w:cs="Times New Roman"/>
          <w:color w:val="auto"/>
          <w:spacing w:val="0"/>
          <w:sz w:val="32"/>
          <w:szCs w:val="32"/>
          <w:shd w:val="clear" w:color="auto" w:fill="auto"/>
          <w:lang w:val="en-US" w:eastAsia="zh-CN"/>
        </w:rPr>
        <w:t>抓好十三届县委第四轮巡察</w:t>
      </w:r>
      <w:r>
        <w:rPr>
          <w:rFonts w:hint="eastAsia" w:ascii="Times New Roman" w:hAnsi="Times New Roman" w:eastAsia="仿宋_GB2312" w:cs="Times New Roman"/>
          <w:color w:val="auto"/>
          <w:spacing w:val="0"/>
          <w:sz w:val="32"/>
          <w:szCs w:val="32"/>
          <w:shd w:val="clear" w:color="auto" w:fill="auto"/>
        </w:rPr>
        <w:t>反馈问题整改</w:t>
      </w:r>
      <w:r>
        <w:rPr>
          <w:rFonts w:hint="eastAsia" w:ascii="Times New Roman" w:hAnsi="Times New Roman" w:eastAsia="仿宋_GB2312" w:cs="Times New Roman"/>
          <w:color w:val="auto"/>
          <w:spacing w:val="0"/>
          <w:sz w:val="32"/>
          <w:szCs w:val="32"/>
          <w:shd w:val="clear" w:color="auto" w:fill="auto"/>
          <w:lang w:eastAsia="zh-CN"/>
        </w:rPr>
        <w:t>工作</w:t>
      </w:r>
      <w:r>
        <w:rPr>
          <w:rFonts w:hint="eastAsia" w:ascii="Times New Roman" w:hAnsi="Times New Roman" w:eastAsia="仿宋_GB2312" w:cs="Times New Roman"/>
          <w:color w:val="auto"/>
          <w:spacing w:val="0"/>
          <w:sz w:val="32"/>
          <w:szCs w:val="32"/>
          <w:shd w:val="clear" w:color="auto" w:fill="auto"/>
        </w:rPr>
        <w:t>。制定</w:t>
      </w:r>
      <w:r>
        <w:rPr>
          <w:rFonts w:hint="eastAsia" w:ascii="Times New Roman" w:hAnsi="Times New Roman" w:eastAsia="仿宋_GB2312" w:cs="Times New Roman"/>
          <w:color w:val="auto"/>
          <w:spacing w:val="0"/>
          <w:sz w:val="32"/>
          <w:szCs w:val="32"/>
          <w:shd w:val="clear" w:color="auto" w:fill="auto"/>
          <w:lang w:eastAsia="zh-CN"/>
        </w:rPr>
        <w:t>了</w:t>
      </w:r>
      <w:r>
        <w:rPr>
          <w:rFonts w:hint="eastAsia" w:ascii="Times New Roman" w:hAnsi="Times New Roman" w:eastAsia="仿宋_GB2312" w:cs="Times New Roman"/>
          <w:color w:val="auto"/>
          <w:spacing w:val="0"/>
          <w:sz w:val="32"/>
          <w:szCs w:val="32"/>
          <w:shd w:val="clear" w:color="auto" w:fill="auto"/>
        </w:rPr>
        <w:t>《202</w:t>
      </w:r>
      <w:r>
        <w:rPr>
          <w:rFonts w:hint="eastAsia" w:ascii="Times New Roman" w:hAnsi="Times New Roman" w:eastAsia="仿宋_GB2312" w:cs="Times New Roman"/>
          <w:color w:val="auto"/>
          <w:spacing w:val="0"/>
          <w:sz w:val="32"/>
          <w:szCs w:val="32"/>
          <w:shd w:val="clear" w:color="auto" w:fill="auto"/>
          <w:lang w:val="en-US" w:eastAsia="zh-CN"/>
        </w:rPr>
        <w:t>4</w:t>
      </w:r>
      <w:r>
        <w:rPr>
          <w:rFonts w:hint="eastAsia" w:ascii="Times New Roman" w:hAnsi="Times New Roman" w:eastAsia="仿宋_GB2312" w:cs="Times New Roman"/>
          <w:color w:val="auto"/>
          <w:spacing w:val="0"/>
          <w:sz w:val="32"/>
          <w:szCs w:val="32"/>
          <w:shd w:val="clear" w:color="auto" w:fill="auto"/>
        </w:rPr>
        <w:t>年党建工作要点》。</w:t>
      </w:r>
      <w:r>
        <w:rPr>
          <w:rFonts w:hint="eastAsia" w:ascii="楷体_GB2312" w:hAnsi="楷体_GB2312" w:eastAsia="楷体_GB2312" w:cs="楷体_GB2312"/>
          <w:sz w:val="32"/>
          <w:szCs w:val="32"/>
          <w:lang w:eastAsia="zh-CN"/>
        </w:rPr>
        <w:t>二是</w:t>
      </w:r>
      <w:r>
        <w:rPr>
          <w:rFonts w:hint="eastAsia" w:ascii="Times New Roman" w:hAnsi="Times New Roman" w:eastAsia="仿宋_GB2312" w:cs="Times New Roman"/>
          <w:color w:val="auto"/>
          <w:spacing w:val="0"/>
          <w:sz w:val="32"/>
          <w:szCs w:val="32"/>
          <w:shd w:val="clear" w:color="auto" w:fill="auto"/>
        </w:rPr>
        <w:t>加强队伍建设。严格落实“三会一课”制度</w:t>
      </w:r>
      <w:r>
        <w:rPr>
          <w:rFonts w:hint="eastAsia" w:ascii="Times New Roman" w:hAnsi="Times New Roman" w:eastAsia="仿宋_GB2312"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highlight w:val="none"/>
          <w:shd w:val="clear" w:color="auto" w:fill="auto"/>
        </w:rPr>
        <w:t>积极落实党建工作“一岗双责”。压紧压实“两个责任”</w:t>
      </w:r>
      <w:r>
        <w:rPr>
          <w:rFonts w:hint="eastAsia" w:ascii="Times New Roman" w:hAnsi="Times New Roman" w:eastAsia="仿宋_GB2312" w:cs="Times New Roman"/>
          <w:color w:val="auto"/>
          <w:spacing w:val="0"/>
          <w:sz w:val="32"/>
          <w:szCs w:val="32"/>
          <w:shd w:val="clear" w:color="auto" w:fill="auto"/>
          <w:lang w:val="en-US" w:eastAsia="zh-CN"/>
        </w:rPr>
        <w:t>。认真落实党内关怀帮扶，帮助解决思想和实际困难。</w:t>
      </w:r>
      <w:r>
        <w:rPr>
          <w:rFonts w:hint="eastAsia" w:ascii="Times New Roman" w:hAnsi="Times New Roman" w:eastAsia="仿宋_GB2312" w:cs="Times New Roman"/>
          <w:color w:val="auto"/>
          <w:spacing w:val="0"/>
          <w:sz w:val="32"/>
          <w:szCs w:val="32"/>
          <w:shd w:val="clear" w:color="auto" w:fill="auto"/>
          <w:lang w:eastAsia="zh-CN"/>
        </w:rPr>
        <w:t>做好党员发展工作，</w:t>
      </w:r>
      <w:r>
        <w:rPr>
          <w:rFonts w:hint="eastAsia" w:ascii="Times New Roman" w:hAnsi="Times New Roman" w:eastAsia="仿宋_GB2312" w:cs="Times New Roman"/>
          <w:color w:val="auto"/>
          <w:spacing w:val="0"/>
          <w:sz w:val="32"/>
          <w:szCs w:val="32"/>
          <w:shd w:val="clear" w:color="auto" w:fill="auto"/>
          <w:lang w:val="en-US" w:eastAsia="zh-CN"/>
        </w:rPr>
        <w:t>吸收一名预备党员按期转正，培养2名入党积极分子</w:t>
      </w:r>
      <w:r>
        <w:rPr>
          <w:rFonts w:hint="eastAsia" w:ascii="Times New Roman" w:hAnsi="Times New Roman" w:eastAsia="仿宋_GB2312" w:cs="Times New Roman"/>
          <w:color w:val="auto"/>
          <w:spacing w:val="0"/>
          <w:sz w:val="32"/>
          <w:szCs w:val="32"/>
          <w:shd w:val="clear" w:color="auto" w:fill="auto"/>
          <w:lang w:eastAsia="zh-CN"/>
        </w:rPr>
        <w:t>。</w:t>
      </w:r>
      <w:r>
        <w:rPr>
          <w:rFonts w:hint="eastAsia" w:ascii="楷体_GB2312" w:hAnsi="楷体_GB2312" w:eastAsia="楷体_GB2312" w:cs="楷体_GB2312"/>
          <w:sz w:val="32"/>
          <w:szCs w:val="32"/>
          <w:lang w:eastAsia="zh-CN"/>
        </w:rPr>
        <w:t>三是</w:t>
      </w:r>
      <w:r>
        <w:rPr>
          <w:rFonts w:hint="eastAsia" w:ascii="Times New Roman" w:hAnsi="Times New Roman" w:eastAsia="仿宋_GB2312" w:cs="Times New Roman"/>
          <w:color w:val="auto"/>
          <w:spacing w:val="0"/>
          <w:sz w:val="32"/>
          <w:szCs w:val="32"/>
          <w:shd w:val="clear" w:color="auto" w:fill="auto"/>
          <w:lang w:val="en-US" w:eastAsia="zh-CN"/>
        </w:rPr>
        <w:t>强化廉洁教育。制定《党风廉政建设责任制和反腐败工作任务分解》，并开展集体廉政谈话2次。开展红色景点体验式教学和廉洁文化示范基地警示教育实践活动。严格落实工作制度和工作纪律要求。</w:t>
      </w:r>
      <w:r>
        <w:rPr>
          <w:rFonts w:hint="eastAsia" w:ascii="楷体_GB2312" w:hAnsi="楷体_GB2312" w:eastAsia="楷体_GB2312" w:cs="楷体_GB2312"/>
          <w:sz w:val="32"/>
          <w:szCs w:val="32"/>
          <w:lang w:eastAsia="zh-CN"/>
        </w:rPr>
        <w:t>四是</w:t>
      </w:r>
      <w:r>
        <w:rPr>
          <w:rFonts w:hint="eastAsia" w:ascii="Times New Roman" w:hAnsi="Times New Roman" w:eastAsia="仿宋_GB2312" w:cs="Times New Roman"/>
          <w:color w:val="auto"/>
          <w:spacing w:val="0"/>
          <w:sz w:val="32"/>
          <w:szCs w:val="32"/>
          <w:shd w:val="clear" w:color="auto" w:fill="auto"/>
          <w:lang w:val="en-US" w:eastAsia="zh-CN"/>
        </w:rPr>
        <w:t>突出工作重点</w:t>
      </w:r>
      <w:r>
        <w:rPr>
          <w:rFonts w:hint="eastAsia" w:ascii="楷体_GB2312" w:hAnsi="楷体_GB2312" w:eastAsia="楷体_GB2312" w:cs="楷体_GB2312"/>
          <w:sz w:val="32"/>
          <w:szCs w:val="32"/>
        </w:rPr>
        <w:t>。</w:t>
      </w:r>
      <w:r>
        <w:rPr>
          <w:rFonts w:hint="eastAsia" w:ascii="Times New Roman" w:hAnsi="Times New Roman" w:eastAsia="仿宋_GB2312" w:cs="Times New Roman"/>
          <w:color w:val="auto"/>
          <w:spacing w:val="0"/>
          <w:sz w:val="32"/>
          <w:szCs w:val="32"/>
          <w:shd w:val="clear" w:color="auto" w:fill="auto"/>
          <w:lang w:val="en-US" w:eastAsia="zh-CN"/>
        </w:rPr>
        <w:t>开展“党员干部大走访,深化治理解难题”与“百名干部进小区”活动，和党员干部参与乡村振兴结对帮扶工作；在台风“格美7.27”特大暴雨洪灾期间，我局工作人员到位，成功阻止了G106中村桥坍塌重大安全事故的发生，受到了群众和中央省市媒体的褒奖和竞相宣传。</w:t>
      </w:r>
    </w:p>
    <w:p>
      <w:pPr>
        <w:keepNext w:val="0"/>
        <w:keepLines w:val="0"/>
        <w:pageBreakBefore w:val="0"/>
        <w:numPr>
          <w:ilvl w:val="0"/>
          <w:numId w:val="0"/>
        </w:numPr>
        <w:kinsoku/>
        <w:wordWrap/>
        <w:overflowPunct w:val="0"/>
        <w:topLinePunct/>
        <w:autoSpaceDE w:val="0"/>
        <w:autoSpaceDN w:val="0"/>
        <w:bidi w:val="0"/>
        <w:adjustRightInd/>
        <w:spacing w:line="360" w:lineRule="auto"/>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2、交通项目建设持续发力。</w:t>
      </w:r>
      <w:r>
        <w:rPr>
          <w:rFonts w:hint="eastAsia" w:ascii="仿宋_GB2312" w:hAnsi="仿宋_GB2312" w:eastAsia="仿宋_GB2312" w:cs="仿宋_GB2312"/>
          <w:sz w:val="32"/>
          <w:szCs w:val="32"/>
          <w:lang w:val="en-US" w:eastAsia="zh-CN"/>
        </w:rPr>
        <w:t>一是积极参与建设项目前期工作。重点推进“三路一场”项目建设，推进G356炎陵县石子坝至炎西公路改造工程建设项目前期工作，计划2025年开工建设；S560炎陵县中村青广坪至牛头坳（湘赣界）项目，该项目已完成工可编制，目前正在进行工可评审工作；实施X179水下线（水口圩-风头坳）乡镇</w:t>
      </w:r>
      <w:bookmarkStart w:id="0" w:name="OLE_LINK3"/>
      <w:r>
        <w:rPr>
          <w:rFonts w:hint="eastAsia" w:ascii="仿宋_GB2312" w:hAnsi="仿宋_GB2312" w:eastAsia="仿宋_GB2312" w:cs="仿宋_GB2312"/>
          <w:sz w:val="32"/>
          <w:szCs w:val="32"/>
          <w:lang w:val="en-US" w:eastAsia="zh-CN"/>
        </w:rPr>
        <w:t>通三级公路提质改造项目</w:t>
      </w:r>
      <w:bookmarkEnd w:id="0"/>
      <w:r>
        <w:rPr>
          <w:rFonts w:hint="eastAsia" w:ascii="仿宋_GB2312" w:hAnsi="仿宋_GB2312" w:eastAsia="仿宋_GB2312" w:cs="仿宋_GB2312"/>
          <w:sz w:val="32"/>
          <w:szCs w:val="32"/>
          <w:lang w:val="en-US" w:eastAsia="zh-CN"/>
        </w:rPr>
        <w:t>，年底开工建设。二是扎实推进建设和养护工程项目施工进度。2024年第一批农村公路旅游资源产业路项目建设情况共计17个项目，现已全面完开工建设，计划年底完工；积极做好“十五五”三路规划建设需求调查工作。根据上级文件要求，按照“稳增长”“稳投入”的要求，结合乡镇旅游路、产业路、资源路实际需求，科学合理编制规划需求，结合上级资金来源情况，理清调整政策思路，积极向上争取建设计划。</w:t>
      </w:r>
    </w:p>
    <w:p>
      <w:pPr>
        <w:keepNext w:val="0"/>
        <w:keepLines w:val="0"/>
        <w:pageBreakBefore w:val="0"/>
        <w:numPr>
          <w:ilvl w:val="0"/>
          <w:numId w:val="0"/>
        </w:numPr>
        <w:kinsoku/>
        <w:wordWrap/>
        <w:overflowPunct w:val="0"/>
        <w:topLinePunct/>
        <w:autoSpaceDE w:val="0"/>
        <w:autoSpaceDN w:val="0"/>
        <w:bidi w:val="0"/>
        <w:adjustRightInd/>
        <w:spacing w:line="360" w:lineRule="auto"/>
        <w:ind w:leftChars="0" w:firstLine="643" w:firstLineChars="200"/>
        <w:textAlignment w:val="auto"/>
        <w:rPr>
          <w:rFonts w:hint="eastAsia" w:ascii="仿宋" w:hAnsi="仿宋" w:eastAsia="仿宋" w:cs="仿宋"/>
          <w:snapToGrid w:val="0"/>
          <w:color w:val="auto"/>
          <w:kern w:val="2"/>
          <w:sz w:val="32"/>
          <w:szCs w:val="32"/>
          <w:shd w:val="clear" w:color="auto" w:fill="auto"/>
          <w:lang w:val="en-US" w:eastAsia="zh-CN" w:bidi="ar-SA"/>
        </w:rPr>
      </w:pPr>
      <w:r>
        <w:rPr>
          <w:rFonts w:hint="eastAsia" w:ascii="仿宋_GB2312" w:hAnsi="仿宋_GB2312" w:eastAsia="仿宋_GB2312" w:cs="仿宋_GB2312"/>
          <w:b/>
          <w:bCs/>
          <w:sz w:val="32"/>
          <w:szCs w:val="32"/>
          <w:lang w:val="en-US" w:eastAsia="zh-CN"/>
        </w:rPr>
        <w:t>3、道路运输综合服务稳步提升。</w:t>
      </w:r>
      <w:r>
        <w:rPr>
          <w:rFonts w:hint="eastAsia" w:ascii="仿宋_GB2312" w:hAnsi="仿宋_GB2312" w:eastAsia="仿宋_GB2312" w:cs="仿宋_GB2312"/>
          <w:b/>
          <w:bCs/>
          <w:snapToGrid w:val="0"/>
          <w:color w:val="000000"/>
          <w:kern w:val="0"/>
          <w:sz w:val="32"/>
          <w:szCs w:val="32"/>
          <w:lang w:val="en-US" w:eastAsia="zh-CN" w:bidi="ar-SA"/>
        </w:rPr>
        <w:t>一是</w:t>
      </w:r>
      <w:r>
        <w:rPr>
          <w:rFonts w:hint="eastAsia" w:ascii="仿宋_GB2312" w:hAnsi="仿宋_GB2312" w:eastAsia="仿宋_GB2312" w:cs="仿宋_GB2312"/>
          <w:kern w:val="2"/>
          <w:sz w:val="32"/>
          <w:szCs w:val="32"/>
          <w:lang w:val="en-US" w:eastAsia="zh-CN" w:bidi="ar"/>
        </w:rPr>
        <w:t>圆满完成春运和节假日交通服务保障任务。完成公路运输客运量 88264 人次，客运量同比去年增加33.5%，铁路客运量22840人次城市公交完成输送旅客48492人次。；</w:t>
      </w:r>
      <w:r>
        <w:rPr>
          <w:rFonts w:hint="eastAsia" w:ascii="仿宋_GB2312" w:hAnsi="仿宋_GB2312" w:eastAsia="仿宋_GB2312" w:cs="仿宋_GB2312"/>
          <w:b/>
          <w:bCs/>
          <w:kern w:val="2"/>
          <w:sz w:val="32"/>
          <w:szCs w:val="32"/>
          <w:lang w:val="en-US" w:eastAsia="zh-CN" w:bidi="ar"/>
        </w:rPr>
        <w:t>二是</w:t>
      </w:r>
      <w:r>
        <w:rPr>
          <w:rFonts w:hint="eastAsia" w:ascii="仿宋" w:hAnsi="仿宋" w:eastAsia="仿宋" w:cs="仿宋"/>
          <w:b w:val="0"/>
          <w:bCs w:val="0"/>
          <w:color w:val="auto"/>
          <w:kern w:val="2"/>
          <w:sz w:val="32"/>
          <w:szCs w:val="32"/>
          <w:shd w:val="clear" w:color="auto" w:fill="auto"/>
          <w:lang w:val="en-US" w:eastAsia="zh-CN" w:bidi="ar-SA"/>
        </w:rPr>
        <w:t>发放了第一批财政专项</w:t>
      </w:r>
      <w:r>
        <w:rPr>
          <w:rFonts w:hint="eastAsia" w:ascii="仿宋" w:hAnsi="仿宋" w:eastAsia="仿宋" w:cs="仿宋"/>
          <w:color w:val="auto"/>
          <w:kern w:val="0"/>
          <w:sz w:val="32"/>
          <w:szCs w:val="32"/>
          <w:shd w:val="clear" w:color="auto" w:fill="auto"/>
          <w:lang w:val="en-US" w:eastAsia="zh-CN" w:bidi="ar"/>
        </w:rPr>
        <w:t>资金16.4万</w:t>
      </w:r>
      <w:r>
        <w:rPr>
          <w:rFonts w:hint="eastAsia" w:ascii="仿宋" w:hAnsi="仿宋" w:eastAsia="仿宋" w:cs="仿宋"/>
          <w:color w:val="auto"/>
          <w:kern w:val="2"/>
          <w:sz w:val="32"/>
          <w:szCs w:val="32"/>
          <w:shd w:val="clear" w:color="auto" w:fill="auto"/>
          <w:lang w:val="en-US" w:eastAsia="zh-CN" w:bidi="ar-SA"/>
        </w:rPr>
        <w:t>元，并以申请上报</w:t>
      </w:r>
      <w:r>
        <w:rPr>
          <w:rFonts w:hint="eastAsia" w:ascii="仿宋_GB2312" w:hAnsi="仿宋_GB2312" w:eastAsia="仿宋_GB2312" w:cs="仿宋_GB2312"/>
          <w:color w:val="auto"/>
          <w:kern w:val="2"/>
          <w:sz w:val="32"/>
          <w:szCs w:val="32"/>
          <w:lang w:val="en-US" w:eastAsia="zh-CN" w:bidi="ar-SA"/>
        </w:rPr>
        <w:t>第二批16.6万元</w:t>
      </w:r>
      <w:r>
        <w:rPr>
          <w:rFonts w:hint="eastAsia" w:ascii="仿宋" w:hAnsi="仿宋" w:eastAsia="仿宋" w:cs="仿宋"/>
          <w:color w:val="auto"/>
          <w:kern w:val="2"/>
          <w:sz w:val="32"/>
          <w:szCs w:val="32"/>
          <w:shd w:val="clear" w:color="auto" w:fill="auto"/>
          <w:lang w:val="en-US" w:eastAsia="zh-CN" w:bidi="ar-SA"/>
        </w:rPr>
        <w:t>；完成拨付炎陵县2023年度城市公交财政专项运营补贴资金56万元；完成2023年农村客运补贴资金申报与第三方审计工作，由于市交通运输局迟迟没有进行全市统一公示，从而造成此笔资金直至现在还没有发放到位。</w:t>
      </w:r>
      <w:r>
        <w:rPr>
          <w:rFonts w:hint="eastAsia" w:ascii="仿宋" w:hAnsi="仿宋" w:eastAsia="仿宋" w:cs="仿宋"/>
          <w:b/>
          <w:bCs/>
          <w:color w:val="auto"/>
          <w:kern w:val="2"/>
          <w:sz w:val="32"/>
          <w:szCs w:val="32"/>
          <w:shd w:val="clear" w:color="auto" w:fill="auto"/>
          <w:lang w:val="en-US" w:eastAsia="zh-CN" w:bidi="ar-SA"/>
        </w:rPr>
        <w:t>三是</w:t>
      </w:r>
      <w:r>
        <w:rPr>
          <w:rFonts w:hint="eastAsia" w:ascii="仿宋" w:hAnsi="仿宋" w:eastAsia="仿宋" w:cs="仿宋"/>
          <w:color w:val="auto"/>
          <w:kern w:val="2"/>
          <w:sz w:val="32"/>
          <w:szCs w:val="32"/>
          <w:shd w:val="clear" w:color="auto" w:fill="auto"/>
          <w:lang w:val="en-US" w:eastAsia="zh-CN" w:bidi="ar-SA"/>
        </w:rPr>
        <w:t>完成系列省、市重大公祭炎帝活动，期间积极调拨客运车辆，保障公祭炎帝活动的顺利进行与圆满完成。</w:t>
      </w:r>
      <w:r>
        <w:rPr>
          <w:rFonts w:hint="eastAsia" w:ascii="仿宋" w:hAnsi="仿宋" w:eastAsia="仿宋" w:cs="仿宋"/>
          <w:b/>
          <w:bCs/>
          <w:color w:val="auto"/>
          <w:kern w:val="2"/>
          <w:sz w:val="32"/>
          <w:szCs w:val="32"/>
          <w:shd w:val="clear" w:color="auto" w:fill="auto"/>
          <w:lang w:val="en-US" w:eastAsia="zh-CN" w:bidi="ar-SA"/>
        </w:rPr>
        <w:t>四是</w:t>
      </w:r>
      <w:r>
        <w:rPr>
          <w:rFonts w:hint="eastAsia" w:ascii="仿宋" w:hAnsi="仿宋" w:eastAsia="仿宋" w:cs="仿宋"/>
          <w:b w:val="0"/>
          <w:bCs w:val="0"/>
          <w:color w:val="auto"/>
          <w:sz w:val="32"/>
          <w:szCs w:val="32"/>
          <w:shd w:val="clear" w:color="auto" w:fill="auto"/>
          <w:lang w:val="en-US" w:eastAsia="zh-CN"/>
        </w:rPr>
        <w:t>全面完成县级2023年度质量信誉考核工作。</w:t>
      </w:r>
      <w:r>
        <w:rPr>
          <w:rFonts w:hint="eastAsia" w:ascii="仿宋" w:hAnsi="仿宋" w:eastAsia="仿宋" w:cs="仿宋"/>
          <w:b/>
          <w:bCs/>
          <w:color w:val="auto"/>
          <w:sz w:val="32"/>
          <w:szCs w:val="32"/>
          <w:shd w:val="clear" w:color="auto" w:fill="auto"/>
          <w:lang w:val="en-US" w:eastAsia="zh-CN"/>
        </w:rPr>
        <w:t>五是</w:t>
      </w:r>
      <w:r>
        <w:rPr>
          <w:rFonts w:hint="eastAsia" w:ascii="仿宋" w:hAnsi="仿宋" w:eastAsia="仿宋" w:cs="仿宋"/>
          <w:b w:val="0"/>
          <w:bCs w:val="0"/>
          <w:snapToGrid w:val="0"/>
          <w:color w:val="auto"/>
          <w:kern w:val="0"/>
          <w:sz w:val="32"/>
          <w:szCs w:val="32"/>
          <w:shd w:val="clear" w:color="auto" w:fill="auto"/>
          <w:lang w:val="en-US" w:eastAsia="zh-CN" w:bidi="ar-SA"/>
        </w:rPr>
        <w:t>假期推出开行炎帝陵、神农谷景区旅游公交专线。</w:t>
      </w:r>
      <w:r>
        <w:rPr>
          <w:rFonts w:hint="eastAsia" w:ascii="仿宋" w:hAnsi="仿宋" w:eastAsia="仿宋" w:cs="仿宋"/>
          <w:b/>
          <w:bCs/>
          <w:snapToGrid w:val="0"/>
          <w:color w:val="auto"/>
          <w:kern w:val="0"/>
          <w:sz w:val="32"/>
          <w:szCs w:val="32"/>
          <w:shd w:val="clear" w:color="auto" w:fill="auto"/>
          <w:lang w:val="en-US" w:eastAsia="zh-CN" w:bidi="ar-SA"/>
        </w:rPr>
        <w:t>六是</w:t>
      </w:r>
      <w:r>
        <w:rPr>
          <w:rFonts w:hint="eastAsia" w:ascii="仿宋" w:hAnsi="仿宋" w:eastAsia="仿宋" w:cs="仿宋"/>
          <w:snapToGrid w:val="0"/>
          <w:color w:val="auto"/>
          <w:kern w:val="2"/>
          <w:sz w:val="32"/>
          <w:szCs w:val="32"/>
          <w:shd w:val="clear" w:color="auto" w:fill="auto"/>
          <w:lang w:val="en-US" w:eastAsia="zh-CN" w:bidi="ar-SA"/>
        </w:rPr>
        <w:t>全力推进炎陵智慧公交建设。计划9月份启动城区公交车车载设备安装，实现社会保障卡居民服务“一卡通”目标。实现刷脸方式快速便捷乘车。</w:t>
      </w:r>
    </w:p>
    <w:p>
      <w:pPr>
        <w:keepNext w:val="0"/>
        <w:keepLines w:val="0"/>
        <w:pageBreakBefore w:val="0"/>
        <w:numPr>
          <w:ilvl w:val="0"/>
          <w:numId w:val="3"/>
        </w:numPr>
        <w:kinsoku/>
        <w:wordWrap/>
        <w:overflowPunct w:val="0"/>
        <w:topLinePunct/>
        <w:autoSpaceDE w:val="0"/>
        <w:autoSpaceDN w:val="0"/>
        <w:bidi w:val="0"/>
        <w:adjustRightInd/>
        <w:spacing w:line="360" w:lineRule="auto"/>
        <w:ind w:leftChars="0" w:firstLine="643"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bCs/>
          <w:sz w:val="32"/>
          <w:szCs w:val="32"/>
          <w:lang w:val="en-US" w:eastAsia="zh-CN"/>
        </w:rPr>
        <w:t>交通运输综合执法严格规范。</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加强车辆超限超载、非法改装改型的查处力度。</w:t>
      </w:r>
      <w:r>
        <w:rPr>
          <w:rFonts w:hint="eastAsia" w:ascii="仿宋_GB2312" w:hAnsi="仿宋_GB2312" w:eastAsia="仿宋_GB2312" w:cs="仿宋_GB2312"/>
          <w:kern w:val="2"/>
          <w:sz w:val="32"/>
          <w:szCs w:val="32"/>
          <w:lang w:val="en-US" w:eastAsia="zh-CN" w:bidi="ar"/>
        </w:rPr>
        <w:t>共查处超限超载车辆206台次（其中非现场处罚4台），卸载转运超限超载货物2481余吨，查处非法改装改型车辆10台次；对源头企业进行日常巡查、督查41次，下达责令改正通知书10份，处罚源头企业3家；共处罚金70余万元。实施路警联合治超行动42次，共检测货运车辆1065台，发现超限超载货运车辆76台，共卸货180余吨。二</w:t>
      </w:r>
      <w:r>
        <w:rPr>
          <w:rFonts w:hint="eastAsia" w:ascii="仿宋_GB2312" w:hAnsi="仿宋_GB2312" w:eastAsia="仿宋_GB2312" w:cs="仿宋_GB2312"/>
          <w:b/>
          <w:bCs/>
          <w:kern w:val="2"/>
          <w:sz w:val="32"/>
          <w:szCs w:val="32"/>
          <w:lang w:val="en-US" w:eastAsia="zh-CN" w:bidi="ar"/>
        </w:rPr>
        <w:t>是</w:t>
      </w:r>
      <w:r>
        <w:rPr>
          <w:rFonts w:hint="eastAsia" w:ascii="仿宋_GB2312" w:hAnsi="仿宋_GB2312" w:eastAsia="仿宋_GB2312" w:cs="仿宋_GB2312"/>
          <w:kern w:val="2"/>
          <w:sz w:val="32"/>
          <w:szCs w:val="32"/>
          <w:lang w:val="en-US" w:eastAsia="zh-CN" w:bidi="ar"/>
        </w:rPr>
        <w:t>加强在建工程质量安全监督、企业监管，完善应急处置机制。2024年目前受监项目3个，已完成2023年度项目交（竣）检测9个，下达整改单12份；确保工程建设保质保量如期完工。三</w:t>
      </w:r>
      <w:r>
        <w:rPr>
          <w:rFonts w:hint="eastAsia" w:ascii="仿宋_GB2312" w:hAnsi="仿宋_GB2312" w:eastAsia="仿宋_GB2312" w:cs="仿宋_GB2312"/>
          <w:b/>
          <w:bCs/>
          <w:kern w:val="2"/>
          <w:sz w:val="32"/>
          <w:szCs w:val="32"/>
          <w:lang w:val="en-US" w:eastAsia="zh-CN" w:bidi="ar"/>
        </w:rPr>
        <w:t>是</w:t>
      </w:r>
      <w:r>
        <w:rPr>
          <w:rFonts w:hint="eastAsia" w:ascii="仿宋_GB2312" w:hAnsi="仿宋_GB2312" w:eastAsia="仿宋_GB2312" w:cs="仿宋_GB2312"/>
          <w:kern w:val="2"/>
          <w:sz w:val="32"/>
          <w:szCs w:val="32"/>
          <w:lang w:val="en-US" w:eastAsia="zh-CN" w:bidi="ar"/>
        </w:rPr>
        <w:t>开展为期三个月的炎陵县治砂专项行动，砂石非法运输、超限超载等现象得到了明显的遏制。四</w:t>
      </w:r>
      <w:r>
        <w:rPr>
          <w:rFonts w:hint="eastAsia" w:ascii="仿宋_GB2312" w:hAnsi="仿宋_GB2312" w:eastAsia="仿宋_GB2312" w:cs="仿宋_GB2312"/>
          <w:b/>
          <w:bCs/>
          <w:kern w:val="2"/>
          <w:sz w:val="32"/>
          <w:szCs w:val="32"/>
          <w:lang w:val="en-US" w:eastAsia="zh-CN" w:bidi="ar"/>
        </w:rPr>
        <w:t>是</w:t>
      </w:r>
      <w:r>
        <w:rPr>
          <w:rFonts w:hint="eastAsia" w:ascii="仿宋_GB2312" w:hAnsi="仿宋_GB2312" w:eastAsia="仿宋_GB2312" w:cs="仿宋_GB2312"/>
          <w:kern w:val="2"/>
          <w:sz w:val="32"/>
          <w:szCs w:val="32"/>
          <w:lang w:val="en-US" w:eastAsia="zh-CN" w:bidi="ar"/>
        </w:rPr>
        <w:t>路域环境整治，共出动执法人员378余人次，挖掘机1班次，装载机3台次，清障车7台次，拆除违章建筑物及临时厂棚15处，下达了责令改正通知书19份，清除路面堆积物30余处，共计700余立方米，拆除非公路标志（广告牌）87块，清除了非公路标志横幅224条，制止3起公路建筑控制区内准备违法建房的行为。道路运输运政执法，查处交通运输管理类案件共计66起，收缴行政处罚罚没收入共计19万余元。其中“非法营运”案件11起;客运包车违规包车运营案件5起; 擅自改装改型案件4起; 危险货物运输车辆未配备携带危货车辆安全卡1起；发现并消除安全隐患11起。</w:t>
      </w:r>
    </w:p>
    <w:p>
      <w:pPr>
        <w:pStyle w:val="2"/>
        <w:keepNext w:val="0"/>
        <w:keepLines w:val="0"/>
        <w:pageBreakBefore w:val="0"/>
        <w:numPr>
          <w:ilvl w:val="0"/>
          <w:numId w:val="0"/>
        </w:numPr>
        <w:kinsoku/>
        <w:wordWrap/>
        <w:autoSpaceDE w:val="0"/>
        <w:autoSpaceDN w:val="0"/>
        <w:bidi w:val="0"/>
        <w:adjustRightInd/>
        <w:spacing w:line="360" w:lineRule="auto"/>
        <w:ind w:firstLine="643" w:firstLineChars="200"/>
        <w:rPr>
          <w:rFonts w:hint="eastAsia" w:ascii="仿宋_GB2312" w:hAnsi="仿宋_GB2312" w:eastAsia="仿宋_GB2312" w:cs="仿宋_GB2312"/>
          <w:b/>
          <w:bCs/>
          <w:snapToGrid w:val="0"/>
          <w:color w:val="000000"/>
          <w:kern w:val="0"/>
          <w:sz w:val="32"/>
          <w:szCs w:val="32"/>
          <w:lang w:val="en-US" w:eastAsia="zh-CN" w:bidi="ar-SA"/>
        </w:rPr>
      </w:pPr>
      <w:r>
        <w:rPr>
          <w:rFonts w:hint="eastAsia" w:ascii="仿宋_GB2312" w:hAnsi="仿宋_GB2312" w:eastAsia="仿宋_GB2312" w:cs="仿宋_GB2312"/>
          <w:b/>
          <w:bCs/>
          <w:snapToGrid w:val="0"/>
          <w:color w:val="000000"/>
          <w:kern w:val="0"/>
          <w:sz w:val="32"/>
          <w:szCs w:val="32"/>
          <w:lang w:val="en-US" w:eastAsia="zh-CN" w:bidi="ar-SA"/>
        </w:rPr>
        <w:t>5、综治维稳和法制建设工作。</w:t>
      </w:r>
      <w:r>
        <w:rPr>
          <w:rFonts w:hint="eastAsia" w:ascii="仿宋_GB2312" w:hAnsi="仿宋_GB2312" w:eastAsia="仿宋_GB2312" w:cs="仿宋_GB2312"/>
          <w:snapToGrid w:val="0"/>
          <w:color w:val="000000"/>
          <w:kern w:val="2"/>
          <w:sz w:val="32"/>
          <w:szCs w:val="32"/>
          <w:lang w:val="en-US" w:eastAsia="zh-CN" w:bidi="ar"/>
        </w:rPr>
        <w:t>学习宣传贯彻习近平法治思想。推进交通运输法规规章和规范性文件管理。深入研究综合交通运输法律法规体系，贯彻实施交通运输法律法规。认真做好国家和省、市新出台的法律法规规章的贯彻实施工作。深入推进交通运输综合行政执法“四基四化”建设。全面推行行政执法“三项制度”。推行行政执法公示制度。</w:t>
      </w:r>
      <w:r>
        <w:rPr>
          <w:rFonts w:hint="eastAsia" w:ascii="仿宋_GB2312" w:hAnsi="仿宋_GB2312" w:eastAsia="仿宋_GB2312" w:cs="仿宋_GB2312"/>
          <w:kern w:val="2"/>
          <w:sz w:val="32"/>
          <w:szCs w:val="32"/>
          <w:lang w:val="en-US" w:eastAsia="zh-CN" w:bidi="ar"/>
        </w:rPr>
        <w:t>推进</w:t>
      </w:r>
      <w:r>
        <w:rPr>
          <w:rFonts w:hint="eastAsia" w:ascii="仿宋_GB2312" w:hAnsi="仿宋_GB2312" w:eastAsia="仿宋_GB2312" w:cs="仿宋_GB2312"/>
          <w:b w:val="0"/>
          <w:bCs w:val="0"/>
          <w:sz w:val="32"/>
          <w:szCs w:val="32"/>
        </w:rPr>
        <w:t>安全、法治宣传教育工作</w:t>
      </w:r>
      <w:r>
        <w:rPr>
          <w:rFonts w:hint="eastAsia" w:ascii="仿宋_GB2312" w:hAnsi="仿宋_GB2312" w:eastAsia="仿宋_GB2312" w:cs="仿宋_GB2312"/>
          <w:b w:val="0"/>
          <w:bCs w:val="0"/>
          <w:sz w:val="32"/>
          <w:szCs w:val="32"/>
          <w:lang w:eastAsia="zh-CN"/>
        </w:rPr>
        <w:t>，</w:t>
      </w:r>
      <w:r>
        <w:rPr>
          <w:rFonts w:hint="eastAsia" w:ascii="仿宋_GB2312" w:hAnsi="Calibri" w:eastAsia="仿宋_GB2312" w:cs="Times New Roman"/>
          <w:snapToGrid/>
          <w:color w:val="auto"/>
          <w:kern w:val="2"/>
          <w:sz w:val="32"/>
          <w:szCs w:val="32"/>
          <w:lang w:eastAsia="zh-CN"/>
        </w:rPr>
        <w:t>共出展板36块，散发宣传资料1000余份，接受过往群众现场咨询600余人次。</w:t>
      </w:r>
      <w:r>
        <w:rPr>
          <w:rFonts w:hint="eastAsia" w:ascii="仿宋_GB2312" w:hAnsi="黑体" w:eastAsia="仿宋_GB2312" w:cs="黑体"/>
          <w:b w:val="0"/>
          <w:bCs/>
          <w:sz w:val="32"/>
          <w:szCs w:val="32"/>
        </w:rPr>
        <w:t>优化法治化营商环境立足三园、打造三基地、建成三区</w:t>
      </w:r>
      <w:r>
        <w:rPr>
          <w:rFonts w:hint="eastAsia" w:ascii="仿宋_GB2312" w:hAnsi="黑体" w:eastAsia="仿宋_GB2312" w:cs="黑体"/>
          <w:b w:val="0"/>
          <w:bCs/>
          <w:sz w:val="32"/>
          <w:szCs w:val="32"/>
          <w:lang w:eastAsia="zh-CN"/>
        </w:rPr>
        <w:t>。</w:t>
      </w:r>
    </w:p>
    <w:p>
      <w:pPr>
        <w:pStyle w:val="2"/>
        <w:keepNext w:val="0"/>
        <w:keepLines w:val="0"/>
        <w:pageBreakBefore w:val="0"/>
        <w:wordWrap/>
        <w:bidi w:val="0"/>
        <w:spacing w:line="360" w:lineRule="auto"/>
        <w:ind w:firstLine="643" w:firstLineChars="200"/>
        <w:rPr>
          <w:rFonts w:hint="default" w:eastAsia="黑体"/>
          <w:lang w:val="en-US" w:eastAsia="zh-CN"/>
        </w:rPr>
      </w:pPr>
      <w:r>
        <w:rPr>
          <w:rFonts w:hint="eastAsia" w:ascii="仿宋_GB2312" w:hAnsi="仿宋_GB2312" w:eastAsia="仿宋_GB2312" w:cs="仿宋_GB2312"/>
          <w:b/>
          <w:bCs/>
          <w:snapToGrid w:val="0"/>
          <w:color w:val="000000"/>
          <w:kern w:val="0"/>
          <w:sz w:val="32"/>
          <w:szCs w:val="32"/>
          <w:lang w:val="en-US" w:eastAsia="zh-CN" w:bidi="ar-SA"/>
        </w:rPr>
        <w:t>6、安全生产工作有序推进。</w:t>
      </w:r>
      <w:r>
        <w:rPr>
          <w:rFonts w:hint="eastAsia" w:ascii="仿宋_GB2312" w:hAnsi="仿宋_GB2312" w:eastAsia="仿宋_GB2312" w:cs="仿宋_GB2312"/>
          <w:kern w:val="2"/>
          <w:sz w:val="32"/>
          <w:szCs w:val="32"/>
          <w:lang w:val="en-US" w:eastAsia="zh-CN" w:bidi="ar"/>
        </w:rPr>
        <w:t>今年以来，累计组织执法活动1069次，出动执法人员3207人，检查生产经营单位25家，立案调查143起，经济处罚59.15万元。</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sz w:val="32"/>
          <w:szCs w:val="32"/>
        </w:rPr>
        <w:t>铁路沿线安全环境整治</w:t>
      </w:r>
      <w:r>
        <w:rPr>
          <w:rFonts w:hint="eastAsia" w:ascii="仿宋_GB2312" w:hAnsi="仿宋_GB2312" w:eastAsia="仿宋_GB2312" w:cs="仿宋_GB2312"/>
          <w:b w:val="0"/>
          <w:bCs w:val="0"/>
          <w:sz w:val="32"/>
          <w:szCs w:val="32"/>
          <w:lang w:eastAsia="zh-CN"/>
        </w:rPr>
        <w:t>工作；</w:t>
      </w:r>
      <w:r>
        <w:rPr>
          <w:rFonts w:hint="eastAsia" w:ascii="仿宋_GB2312" w:hAnsi="Calibri" w:eastAsia="仿宋_GB2312" w:cs="Times New Roman"/>
          <w:snapToGrid/>
          <w:color w:val="auto"/>
          <w:kern w:val="2"/>
          <w:sz w:val="32"/>
          <w:szCs w:val="32"/>
          <w:lang w:eastAsia="zh-CN"/>
        </w:rPr>
        <w:t>全县铁路安全环境整治活动共查处我县</w:t>
      </w:r>
      <w:r>
        <w:rPr>
          <w:rFonts w:ascii="仿宋_GB2312" w:hAnsi="宋体" w:eastAsia="仿宋_GB2312" w:cs="Times New Roman"/>
          <w:snapToGrid/>
          <w:kern w:val="2"/>
          <w:sz w:val="32"/>
          <w:lang w:eastAsia="zh-CN"/>
        </w:rPr>
        <w:t>普速铁路安全环境隐患问题共34处</w:t>
      </w:r>
      <w:r>
        <w:rPr>
          <w:rFonts w:hint="eastAsia" w:ascii="仿宋_GB2312" w:hAnsi="宋体" w:eastAsia="仿宋_GB2312" w:cs="Times New Roman"/>
          <w:snapToGrid/>
          <w:kern w:val="2"/>
          <w:sz w:val="32"/>
          <w:lang w:eastAsia="zh-CN"/>
        </w:rPr>
        <w:t>，</w:t>
      </w:r>
      <w:r>
        <w:rPr>
          <w:rFonts w:ascii="仿宋_GB2312" w:hAnsi="宋体" w:eastAsia="仿宋_GB2312" w:cs="Times New Roman"/>
          <w:snapToGrid/>
          <w:kern w:val="2"/>
          <w:sz w:val="32"/>
          <w:lang w:eastAsia="zh-CN"/>
        </w:rPr>
        <w:t>截止日前34处</w:t>
      </w:r>
      <w:r>
        <w:rPr>
          <w:rFonts w:hint="eastAsia" w:ascii="仿宋_GB2312" w:hAnsi="Calibri" w:eastAsia="仿宋_GB2312" w:cs="Times New Roman"/>
          <w:snapToGrid/>
          <w:color w:val="auto"/>
          <w:kern w:val="2"/>
          <w:sz w:val="32"/>
          <w:szCs w:val="32"/>
          <w:lang w:eastAsia="zh-CN"/>
        </w:rPr>
        <w:t>隐患整治都已完成销号</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bCs/>
          <w:sz w:val="32"/>
          <w:szCs w:val="32"/>
        </w:rPr>
        <w:t>扎实推进政务服务</w:t>
      </w:r>
      <w:r>
        <w:rPr>
          <w:rFonts w:hint="eastAsia" w:ascii="仿宋_GB2312" w:hAnsi="仿宋_GB2312" w:eastAsia="仿宋_GB2312" w:cs="仿宋_GB2312"/>
          <w:bCs/>
          <w:sz w:val="32"/>
          <w:szCs w:val="32"/>
          <w:lang w:eastAsia="zh-CN"/>
        </w:rPr>
        <w:t>工作，</w:t>
      </w:r>
      <w:r>
        <w:rPr>
          <w:rFonts w:hint="eastAsia" w:ascii="仿宋_GB2312" w:hAnsi="仿宋_GB2312" w:eastAsia="仿宋_GB2312" w:cs="仿宋_GB2312"/>
          <w:sz w:val="32"/>
          <w:szCs w:val="32"/>
        </w:rPr>
        <w:t>通过网上审批系统</w:t>
      </w:r>
      <w:r>
        <w:rPr>
          <w:rFonts w:ascii="Times New Roman" w:hAnsi="Times New Roman" w:eastAsia="仿宋_GB2312" w:cs="Times New Roman"/>
          <w:color w:val="auto"/>
          <w:sz w:val="32"/>
          <w:szCs w:val="32"/>
          <w:lang w:eastAsia="zh-CN"/>
        </w:rPr>
        <w:t>道路运输业行政审批累计办件131件，其中行政许可54件，行政确认77件，属于“一件事一次办”45 件，跨省通办32件，根据系统反馈暂无差评事项，群众满意度 100%</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eastAsia="zh-CN"/>
        </w:rPr>
        <w:t>对涉及的公路、中小桥梁设计图表及设计预算的23个项目，已按相关程序下发了19</w:t>
      </w:r>
      <w:r>
        <w:rPr>
          <w:rFonts w:hint="eastAsia" w:eastAsia="仿宋_GB2312" w:cs="Times New Roman"/>
          <w:color w:val="auto"/>
          <w:sz w:val="32"/>
          <w:szCs w:val="32"/>
          <w:lang w:eastAsia="zh-CN"/>
        </w:rPr>
        <w:t>个项目工程的</w:t>
      </w:r>
      <w:r>
        <w:rPr>
          <w:rFonts w:ascii="Times New Roman" w:hAnsi="Times New Roman" w:eastAsia="仿宋_GB2312" w:cs="Times New Roman"/>
          <w:color w:val="auto"/>
          <w:sz w:val="32"/>
          <w:szCs w:val="32"/>
          <w:lang w:eastAsia="zh-CN"/>
        </w:rPr>
        <w:t>批复</w:t>
      </w:r>
      <w:r>
        <w:rPr>
          <w:rFonts w:hint="eastAsia" w:ascii="仿宋_GB2312" w:hAnsi="仿宋_GB2312" w:eastAsia="仿宋_GB2312" w:cs="仿宋_GB2312"/>
          <w:bCs/>
          <w:sz w:val="32"/>
          <w:szCs w:val="32"/>
          <w:lang w:eastAsia="zh-CN"/>
        </w:rPr>
        <w:t>。</w:t>
      </w:r>
    </w:p>
    <w:p>
      <w:pPr>
        <w:pStyle w:val="8"/>
        <w:keepNext w:val="0"/>
        <w:keepLines w:val="0"/>
        <w:pageBreakBefore w:val="0"/>
        <w:widowControl/>
        <w:wordWrap/>
        <w:bidi w:val="0"/>
        <w:spacing w:line="360" w:lineRule="auto"/>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color w:val="auto"/>
          <w:kern w:val="2"/>
          <w:sz w:val="32"/>
          <w:szCs w:val="32"/>
          <w:shd w:val="clear" w:color="auto" w:fill="auto"/>
          <w:lang w:val="en-US" w:eastAsia="zh-CN" w:bidi="ar-SA"/>
        </w:rPr>
      </w:pPr>
      <w:r>
        <w:rPr>
          <w:rFonts w:hint="eastAsia" w:ascii="仿宋" w:hAnsi="仿宋" w:eastAsia="仿宋" w:cs="仿宋"/>
          <w:snapToGrid w:val="0"/>
          <w:color w:val="auto"/>
          <w:kern w:val="2"/>
          <w:sz w:val="32"/>
          <w:szCs w:val="32"/>
          <w:shd w:val="clear" w:color="auto" w:fill="auto"/>
          <w:lang w:val="en-US" w:eastAsia="zh-CN" w:bidi="ar-SA"/>
        </w:rPr>
        <w:t>预算编制精准度不足，部分收支预估与实际差异大；项目资金管理需加强，存在资金使用进度把控不严情况；财务分析深度不够，对业务决策支持不足。</w:t>
      </w:r>
    </w:p>
    <w:p>
      <w:pPr>
        <w:keepNext w:val="0"/>
        <w:keepLines w:val="0"/>
        <w:pageBreakBefore w:val="0"/>
        <w:widowControl/>
        <w:numPr>
          <w:ilvl w:val="0"/>
          <w:numId w:val="4"/>
        </w:numPr>
        <w:wordWrap/>
        <w:bidi w:val="0"/>
        <w:spacing w:line="360" w:lineRule="auto"/>
        <w:ind w:firstLine="640" w:firstLineChars="200"/>
        <w:jc w:val="left"/>
        <w:rPr>
          <w:rFonts w:eastAsia="黑体"/>
          <w:sz w:val="32"/>
          <w:szCs w:val="32"/>
        </w:rPr>
      </w:pPr>
      <w:r>
        <w:rPr>
          <w:rFonts w:eastAsia="黑体"/>
          <w:sz w:val="32"/>
          <w:szCs w:val="32"/>
        </w:rPr>
        <w:t>下一步改进措施</w:t>
      </w:r>
    </w:p>
    <w:p>
      <w:pPr>
        <w:keepNext w:val="0"/>
        <w:keepLines w:val="0"/>
        <w:pageBreakBefore w:val="0"/>
        <w:widowControl/>
        <w:wordWrap/>
        <w:bidi w:val="0"/>
        <w:spacing w:line="360" w:lineRule="auto"/>
        <w:ind w:firstLine="640" w:firstLineChars="200"/>
        <w:jc w:val="left"/>
        <w:rPr>
          <w:rFonts w:eastAsia="仿宋_GB2312"/>
          <w:sz w:val="32"/>
          <w:szCs w:val="32"/>
        </w:rPr>
      </w:pPr>
      <w:r>
        <w:rPr>
          <w:rFonts w:hint="eastAsia" w:ascii="仿宋" w:hAnsi="仿宋" w:eastAsia="仿宋" w:cs="仿宋"/>
          <w:snapToGrid w:val="0"/>
          <w:color w:val="auto"/>
          <w:kern w:val="2"/>
          <w:sz w:val="32"/>
          <w:szCs w:val="32"/>
          <w:shd w:val="clear" w:color="auto" w:fill="auto"/>
          <w:lang w:val="en-US" w:eastAsia="zh-CN" w:bidi="ar-SA"/>
        </w:rPr>
        <w:t>完善预算编制流程，加强部门沟通协作，结合历史数据与业务发展趋势，提高预算准确性；建立项目资金动态监控机制，定期检查资金使用进度与合规性；加强财务人员培训，提升财务分析能力，给管理层提供更具价值的决算建议。</w:t>
      </w:r>
    </w:p>
    <w:p>
      <w:pPr>
        <w:pStyle w:val="2"/>
        <w:keepNext w:val="0"/>
        <w:keepLines w:val="0"/>
        <w:pageBreakBefore w:val="0"/>
        <w:numPr>
          <w:ilvl w:val="0"/>
          <w:numId w:val="0"/>
        </w:numPr>
        <w:wordWrap/>
        <w:bidi w:val="0"/>
        <w:spacing w:line="360" w:lineRule="auto"/>
        <w:ind w:firstLine="360" w:firstLineChars="200"/>
        <w:rPr>
          <w:rFonts w:hint="default" w:eastAsia="宋体"/>
          <w:lang w:val="en-US" w:eastAsia="zh-CN"/>
        </w:rPr>
      </w:pPr>
      <w:r>
        <w:rPr>
          <w:rFonts w:hint="eastAsia"/>
          <w:lang w:val="en-US" w:eastAsia="zh-CN"/>
        </w:rPr>
        <w:t xml:space="preserve">       </w:t>
      </w:r>
    </w:p>
    <w:p>
      <w:pPr>
        <w:keepNext w:val="0"/>
        <w:keepLines w:val="0"/>
        <w:pageBreakBefore w:val="0"/>
        <w:widowControl/>
        <w:numPr>
          <w:ilvl w:val="0"/>
          <w:numId w:val="4"/>
        </w:numPr>
        <w:wordWrap/>
        <w:bidi w:val="0"/>
        <w:spacing w:line="360" w:lineRule="auto"/>
        <w:ind w:left="0" w:leftChars="0" w:firstLine="640" w:firstLineChars="200"/>
        <w:jc w:val="left"/>
        <w:rPr>
          <w:rFonts w:eastAsia="黑体"/>
          <w:sz w:val="32"/>
          <w:szCs w:val="32"/>
        </w:rPr>
      </w:pPr>
      <w:r>
        <w:rPr>
          <w:rFonts w:hint="eastAsia" w:eastAsia="黑体"/>
          <w:sz w:val="32"/>
          <w:szCs w:val="32"/>
          <w:lang w:val="en-US" w:eastAsia="zh-CN"/>
        </w:rPr>
        <w:t>绩效自评结果及</w:t>
      </w:r>
      <w:r>
        <w:rPr>
          <w:rFonts w:eastAsia="黑体"/>
          <w:sz w:val="32"/>
          <w:szCs w:val="32"/>
        </w:rPr>
        <w:t>其他需要说明的情况</w:t>
      </w:r>
    </w:p>
    <w:p>
      <w:pPr>
        <w:pStyle w:val="2"/>
        <w:keepNext w:val="0"/>
        <w:keepLines w:val="0"/>
        <w:pageBreakBefore w:val="0"/>
        <w:numPr>
          <w:ilvl w:val="0"/>
          <w:numId w:val="0"/>
        </w:numPr>
        <w:wordWrap/>
        <w:bidi w:val="0"/>
        <w:spacing w:line="360" w:lineRule="auto"/>
        <w:ind w:firstLine="640" w:firstLineChars="200"/>
        <w:rPr>
          <w:rFonts w:hint="default" w:eastAsia="仿宋"/>
          <w:sz w:val="32"/>
          <w:lang w:val="en-US" w:eastAsia="zh-CN"/>
        </w:rPr>
      </w:pPr>
      <w:r>
        <w:rPr>
          <w:rFonts w:hint="eastAsia" w:eastAsia="仿宋"/>
          <w:sz w:val="32"/>
          <w:lang w:val="en-US" w:eastAsia="zh-CN"/>
        </w:rPr>
        <w:t>绩效自评结果为优秀，其他需要说明的情况无。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sz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22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0263B11B"/>
    <w:multiLevelType w:val="singleLevel"/>
    <w:tmpl w:val="0263B11B"/>
    <w:lvl w:ilvl="0" w:tentative="0">
      <w:start w:val="4"/>
      <w:numFmt w:val="decimal"/>
      <w:suff w:val="nothing"/>
      <w:lvlText w:val="%1、"/>
      <w:lvlJc w:val="left"/>
    </w:lvl>
  </w:abstractNum>
  <w:abstractNum w:abstractNumId="3">
    <w:nsid w:val="526A30C5"/>
    <w:multiLevelType w:val="singleLevel"/>
    <w:tmpl w:val="526A30C5"/>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TRiOGQzOGJlNTliMjk1MWFiODQ1NzM4MTRhMTkifQ=="/>
  </w:docVars>
  <w:rsids>
    <w:rsidRoot w:val="00000000"/>
    <w:rsid w:val="02915268"/>
    <w:rsid w:val="0349290D"/>
    <w:rsid w:val="053022E6"/>
    <w:rsid w:val="05842F7D"/>
    <w:rsid w:val="061B4D44"/>
    <w:rsid w:val="062E4A77"/>
    <w:rsid w:val="067D59FE"/>
    <w:rsid w:val="070D10E3"/>
    <w:rsid w:val="08CF1E16"/>
    <w:rsid w:val="0A2638DB"/>
    <w:rsid w:val="0BD31C1D"/>
    <w:rsid w:val="0E603BB3"/>
    <w:rsid w:val="15BF56EC"/>
    <w:rsid w:val="166444E5"/>
    <w:rsid w:val="16A86180"/>
    <w:rsid w:val="184243B2"/>
    <w:rsid w:val="19F85670"/>
    <w:rsid w:val="1B9A4228"/>
    <w:rsid w:val="1BBD07DB"/>
    <w:rsid w:val="1D5862BD"/>
    <w:rsid w:val="20A53730"/>
    <w:rsid w:val="219F710F"/>
    <w:rsid w:val="21D342CD"/>
    <w:rsid w:val="22A46395"/>
    <w:rsid w:val="22B014BC"/>
    <w:rsid w:val="237F470C"/>
    <w:rsid w:val="256D67C1"/>
    <w:rsid w:val="26516F69"/>
    <w:rsid w:val="298E38FB"/>
    <w:rsid w:val="2CB36F59"/>
    <w:rsid w:val="2D4D587B"/>
    <w:rsid w:val="2FE04E2D"/>
    <w:rsid w:val="33EB5FF1"/>
    <w:rsid w:val="35B71AE4"/>
    <w:rsid w:val="35CB6416"/>
    <w:rsid w:val="36893F6B"/>
    <w:rsid w:val="38C70290"/>
    <w:rsid w:val="3963544D"/>
    <w:rsid w:val="3D0A4A8C"/>
    <w:rsid w:val="41EE4ADF"/>
    <w:rsid w:val="42062767"/>
    <w:rsid w:val="430A7FF4"/>
    <w:rsid w:val="45CA13BF"/>
    <w:rsid w:val="4A8F7895"/>
    <w:rsid w:val="4B4334AB"/>
    <w:rsid w:val="4B527B4F"/>
    <w:rsid w:val="4C417F01"/>
    <w:rsid w:val="4CD55219"/>
    <w:rsid w:val="4E6D10A5"/>
    <w:rsid w:val="4F4415EC"/>
    <w:rsid w:val="5403276E"/>
    <w:rsid w:val="546B0211"/>
    <w:rsid w:val="54C57A37"/>
    <w:rsid w:val="55BA31FE"/>
    <w:rsid w:val="577218B7"/>
    <w:rsid w:val="5A697C1F"/>
    <w:rsid w:val="5DD60DF1"/>
    <w:rsid w:val="5ED35331"/>
    <w:rsid w:val="608137EE"/>
    <w:rsid w:val="638E04B5"/>
    <w:rsid w:val="63E458EA"/>
    <w:rsid w:val="662D5327"/>
    <w:rsid w:val="66FB71D3"/>
    <w:rsid w:val="67515045"/>
    <w:rsid w:val="686E6ED5"/>
    <w:rsid w:val="6938470E"/>
    <w:rsid w:val="6D013069"/>
    <w:rsid w:val="715220E5"/>
    <w:rsid w:val="76D03A38"/>
    <w:rsid w:val="7726524D"/>
    <w:rsid w:val="77CB0255"/>
    <w:rsid w:val="77E67A2B"/>
    <w:rsid w:val="78F362FD"/>
    <w:rsid w:val="7A13262E"/>
    <w:rsid w:val="7B085C20"/>
    <w:rsid w:val="7BE61B99"/>
    <w:rsid w:val="7C224DAA"/>
    <w:rsid w:val="7EA01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18"/>
      <w:szCs w:val="18"/>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4031</Words>
  <Characters>4287</Characters>
  <Lines>0</Lines>
  <Paragraphs>0</Paragraphs>
  <TotalTime>57</TotalTime>
  <ScaleCrop>false</ScaleCrop>
  <LinksUpToDate>false</LinksUpToDate>
  <CharactersWithSpaces>4303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cp:lastPrinted>2025-11-14T07:06:33Z</cp:lastPrinted>
  <dcterms:modified xsi:type="dcterms:W3CDTF">2025-11-14T07:06:38Z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1D0082D8042A42C9ADD5178D1B2E8EF2</vt:lpwstr>
  </property>
</Properties>
</file>