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lang w:val="en-US" w:eastAsia="zh-CN" w:bidi="ar"/>
        </w:rPr>
        <w:t>炎陵县发展和改革局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  <w:lang w:eastAsia="zh-CN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11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11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主要职能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负责全县国民经济和社会发展战略、发展规划、总量平衡、结构调整的区域经济调控、价格管理工作、全县粮食宏观调控、粮食流通和全县财经工作重大问题的政策研究的政府组成部门。属于财政全额拨款的一级预算单位，执行行政单位政府会计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机构情况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位内设机构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个，分别为办公室、项目管理股（项目前期股）、行政审批股、价费管理股、粮食和物资储备股、国防动员股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（人防工程管理股）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。所属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个公益一类事业单位，其中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炎陵县重点建设项目事务中心为副科级公益一类事业单位；炎陵县价格认证中心为正股级公益一类事业单位；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个事业单位，财务均不独立核算。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人员情况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单位年初编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制数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，行政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12名、事业31名（其中参公编2名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）；截止年末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在岗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名(其中局行政编核编数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名，现有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名；下属炎陵县重点建设项目事务中心核编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名，现有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名；下属炎陵县价格认证中心核编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名，现有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另有临聘人员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，外包人员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11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单位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年度整体支出绩效目标</w:t>
      </w:r>
    </w:p>
    <w:p>
      <w:pPr>
        <w:pStyle w:val="11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2024年绩效目标是国民经济和社会发展第十四个五年规划的关键之年，抓好今年的经济社会发展十分重要。全县上下认真贯彻中央、省、市决策部署，在县委、县政府的坚强领导下，奋力打造“三个高地”建设“三基地”，深入开展“两个年”活动，全力打好“发展六仗”，经济社会发展呈现良好态势。</w:t>
      </w:r>
    </w:p>
    <w:p>
      <w:pPr>
        <w:pStyle w:val="11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11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 w:bidi="ar-SA"/>
        </w:rPr>
        <w:t xml:space="preserve"> 2024年基本支出7667751.3元，年初收入预算5831642元。其中人员经费支出4610853.77元，占基本支出的60.13%，主要包括基本工资、津贴补贴、奖金、机关事业单位基本养老保险缴费、职工基本医疗保险缴费、公务员医疗补助缴费、住房公积金、其他社会保障缴费、其他工资福利支出、生活补助；公用经费支出2073252元，占基本支出的27.04 %，主要包括办公费、印刷费、水费、电费、邮电费、差旅费、维修（护）费、会议费、培训费、公务接待费、专用材料费、劳务费、委托业务费、工会经费、公务用车运行维护费、其他交通费用、其他商品和服务支出;对个人和家庭的补助支出210717.32元，占基本支出的2.75 %，主要包括退休人员离休费、医疗费补助，其他对个人和家庭的补助。粮油物资储备支出772928.21元,占基本支出的10.08 %，主要包括粮食风险基金费用和专项业务活动费用。</w:t>
      </w:r>
    </w:p>
    <w:p>
      <w:pPr>
        <w:pStyle w:val="11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pStyle w:val="11"/>
        <w:widowControl/>
        <w:spacing w:line="520" w:lineRule="exact"/>
        <w:ind w:firstLine="1280" w:firstLineChars="400"/>
        <w:jc w:val="left"/>
        <w:rPr>
          <w:rFonts w:hint="eastAsia" w:ascii="Calibri" w:hAnsi="Calibri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32"/>
          <w:szCs w:val="32"/>
          <w:lang w:val="en-US" w:eastAsia="zh-CN" w:bidi="ar-SA"/>
        </w:rPr>
        <w:t>本单位无项目资金支出</w:t>
      </w:r>
      <w:r>
        <w:rPr>
          <w:rFonts w:hint="eastAsia" w:ascii="Calibri" w:hAnsi="Calibri" w:eastAsia="仿宋_GB2312" w:cs="Times New Roman"/>
          <w:snapToGrid w:val="0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11"/>
        <w:widowControl/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 </w:t>
      </w:r>
    </w:p>
    <w:p>
      <w:pPr>
        <w:pStyle w:val="11"/>
        <w:widowControl/>
        <w:spacing w:line="520" w:lineRule="exact"/>
        <w:ind w:left="64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2024年无</w:t>
      </w:r>
      <w:r>
        <w:rPr>
          <w:rFonts w:hint="eastAsia" w:ascii="仿宋" w:hAnsi="仿宋" w:eastAsia="仿宋" w:cs="仿宋"/>
          <w:sz w:val="32"/>
          <w:szCs w:val="32"/>
        </w:rPr>
        <w:t>政府性基金预算支出情况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1"/>
        <w:widowControl/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国有资本经营预算支出情况 </w:t>
      </w:r>
    </w:p>
    <w:p>
      <w:pPr>
        <w:pStyle w:val="11"/>
        <w:widowControl/>
        <w:spacing w:line="520" w:lineRule="exact"/>
        <w:ind w:left="64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2024年无国有资本经营预算支出情况 。</w:t>
      </w:r>
    </w:p>
    <w:p>
      <w:pPr>
        <w:pStyle w:val="11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11"/>
        <w:widowControl/>
        <w:numPr>
          <w:ilvl w:val="0"/>
          <w:numId w:val="0"/>
        </w:numPr>
        <w:spacing w:line="520" w:lineRule="exact"/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2024年无</w:t>
      </w:r>
      <w:r>
        <w:rPr>
          <w:rFonts w:hint="eastAsia" w:ascii="仿宋" w:hAnsi="仿宋" w:eastAsia="仿宋" w:cs="仿宋"/>
          <w:sz w:val="32"/>
          <w:szCs w:val="32"/>
        </w:rPr>
        <w:t>社会保险基金预算支出情况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年，在县委、县政府的坚强领导下，县发改局聚焦打造“三个高地”建设“三基地”，坚持以项目建设为中心，科学精准谋划和推动县域高质量发展，取得了一系列标志性成果。一是项目建设提速提质。炎陵罗萍江抽水蓄能电站、东方希望现代化养殖循环产业基地、春华锂业新能源汽车电池正极材料生产、振英生物动物脂肪及动物蛋白萃取加工生产线等4个单体项目入选省重点建设项目名单，是近年来纳入省重点项目最多的一年。二是争资引项有所突破。资金到位实现大幅上升。2024年，我们坚持“跑部进京”“跑省进厅”，多次向上级发改委汇报对接争资引项工作，成功争取到政策性资金14.3亿元，超额完成全年任务（全口径争资任务13.66亿元）的104.69%。三是项目管理健全机制。用好重点项目全生命周期管理平台，为30个市重点建设项目逐一建档立卡，实行全过程清单化信息化管理。组建了一支24人的重点项目服务专员队伍，按照“随叫随到、服务周到”的要求，深入细致做好市重点项目的行政审批、要素保障、现场协调、信息报送等“保姆式”服务，构建了上下贯通、职责明确、精准高效的项目全生命周期服务体系。</w:t>
      </w:r>
    </w:p>
    <w:p>
      <w:pPr>
        <w:pStyle w:val="11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从发改牵头的指标看，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炎陵县体量较小，指标“敏感”程度高，近年来固投指标持续较快增长拉高了基数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同时，在库项目和投资余量不足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新项目入库通过率不高，固定资产投资指标数据项目支撑缺乏后劲。一些重大项目的规划、选址、环评、立项、报建、征拆等环节缺乏科学统筹，存在“头痛医头、脚痛医脚”的现象，土地、资金等要素制约仍比较明显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项目单位对项目具体实施前准备工作不积极、不主动，在相关责任部门的督促下，部分项目都难推进未达到要求。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新项目启动后，短时间形成全面快速推进局面和集中实物工程量的压力比较大。</w:t>
      </w:r>
    </w:p>
    <w:p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9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一方面持续深入“十五五”前期研究，突出抓好重点课题、“三个重大”、发展定位、基本思路等工作，力争更多诉求挤进国省笼子。另一方面研究起草《纲要框架》，组织各乡镇、高新区和县直相关部门研究提出纳入《纲要框架》的主要指标、重大工程、重大项目、重大改革。</w:t>
      </w:r>
      <w:r>
        <w:rPr>
          <w:rFonts w:hint="eastAsia" w:ascii="仿宋" w:hAnsi="仿宋" w:eastAsia="仿宋" w:cs="仿宋"/>
          <w:kern w:val="0"/>
          <w:sz w:val="32"/>
          <w:szCs w:val="32"/>
        </w:rPr>
        <w:t>深入研究国家和省关于预算内投资、专项债、特别国债、中长期贷款等政策规定，推动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上面有什么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</w:rPr>
        <w:t>我们要什么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</w:rPr>
        <w:t>实现无缝对接。</w:t>
      </w:r>
    </w:p>
    <w:p>
      <w:pPr>
        <w:widowControl/>
        <w:numPr>
          <w:ilvl w:val="0"/>
          <w:numId w:val="4"/>
        </w:numPr>
        <w:spacing w:line="52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numPr>
          <w:ilvl w:val="0"/>
          <w:numId w:val="0"/>
        </w:numPr>
        <w:ind w:leftChars="200"/>
      </w:pPr>
      <w:r>
        <w:rPr>
          <w:rFonts w:hint="eastAsia" w:eastAsia="宋体"/>
          <w:lang w:val="en-US" w:eastAsia="zh-CN"/>
        </w:rPr>
        <w:t xml:space="preserve">  </w:t>
      </w:r>
      <w:r>
        <w:rPr>
          <w:rFonts w:hint="eastAsia" w:ascii="仿宋" w:hAnsi="仿宋" w:eastAsia="仿宋" w:cs="仿宋"/>
          <w:lang w:val="en-US"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B16C43"/>
    <w:multiLevelType w:val="singleLevel"/>
    <w:tmpl w:val="A0B16C4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8D54334"/>
    <w:multiLevelType w:val="singleLevel"/>
    <w:tmpl w:val="08D5433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56C393F"/>
    <w:rsid w:val="0C707DD2"/>
    <w:rsid w:val="15BF56EC"/>
    <w:rsid w:val="1E3A505E"/>
    <w:rsid w:val="2AF802B0"/>
    <w:rsid w:val="2FB21014"/>
    <w:rsid w:val="342505FE"/>
    <w:rsid w:val="35CB6416"/>
    <w:rsid w:val="3B245E2D"/>
    <w:rsid w:val="3CB5774C"/>
    <w:rsid w:val="3F6B34C9"/>
    <w:rsid w:val="49D43F6B"/>
    <w:rsid w:val="4B4334AB"/>
    <w:rsid w:val="4C651940"/>
    <w:rsid w:val="5403276E"/>
    <w:rsid w:val="54C57A37"/>
    <w:rsid w:val="70AB011F"/>
    <w:rsid w:val="766B0930"/>
    <w:rsid w:val="77F5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ind w:firstLine="420"/>
      <w:jc w:val="left"/>
    </w:pPr>
    <w:rPr>
      <w:sz w:val="32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spacing w:line="600" w:lineRule="exact"/>
      <w:ind w:firstLine="600"/>
    </w:pPr>
    <w:rPr>
      <w:rFonts w:eastAsia="楷体_GB2312"/>
      <w:color w:val="FF0000"/>
      <w:sz w:val="30"/>
    </w:rPr>
  </w:style>
  <w:style w:type="paragraph" w:customStyle="1" w:styleId="5">
    <w:name w:val="z正文"/>
    <w:basedOn w:val="6"/>
    <w:qFormat/>
    <w:uiPriority w:val="0"/>
    <w:pPr>
      <w:snapToGrid w:val="0"/>
      <w:spacing w:line="360" w:lineRule="auto"/>
    </w:pPr>
    <w:rPr>
      <w:rFonts w:hAnsi="宋体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7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2">
    <w:name w:val="正文文字"/>
    <w:basedOn w:val="1"/>
    <w:next w:val="1"/>
    <w:qFormat/>
    <w:uiPriority w:val="99"/>
    <w:pPr>
      <w:spacing w:after="120"/>
    </w:pPr>
    <w:rPr>
      <w:rFonts w:ascii="Calibri" w:hAnsi="Calibri"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17</TotalTime>
  <ScaleCrop>false</ScaleCrop>
  <LinksUpToDate>false</LinksUpToDate>
  <CharactersWithSpaces>458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2025-07-31T00:53:53Z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eyJoZGlkIjoiZTYwYjM2OWEwNDQ4ZmQ3Yzg4MmVhMWNlZTIyZTQ4MWMiLCJ1c2VySWQiOiI0OTc5MzgwODIifQ==</vt:lpwstr>
  </property>
</Properties>
</file>