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2024年度炎陵县城市管理和综合执法局单位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373C6EE4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5F03C69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D580E5D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31E4B314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9FD9C40">
      <w:pPr>
        <w:pStyle w:val="8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8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4960B46A">
      <w:pPr>
        <w:numPr>
          <w:ilvl w:val="0"/>
          <w:numId w:val="3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部门职责：</w:t>
      </w:r>
      <w:r>
        <w:rPr>
          <w:rFonts w:hint="eastAsia" w:ascii="仿宋_GB2312" w:hAnsi="仿宋" w:eastAsia="仿宋_GB2312"/>
          <w:sz w:val="32"/>
          <w:szCs w:val="32"/>
        </w:rPr>
        <w:t>⑴、贯彻执行国家、省、市有关城市管理的法律、法规和方针、政策；拟定城市管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理</w:t>
      </w:r>
      <w:r>
        <w:rPr>
          <w:rFonts w:hint="eastAsia" w:ascii="仿宋_GB2312" w:hAnsi="仿宋" w:eastAsia="仿宋_GB2312"/>
          <w:sz w:val="32"/>
          <w:szCs w:val="32"/>
        </w:rPr>
        <w:t>、城市管理行政执法发展规划、规范性文件并组织实施。⑵、负责城市管理考核评比工作，拟定考核办法、考评标准和实施细则并组织实施。⑶、负责市容和环境卫生的行业管理工作；拟定城市容貌标准、环境卫生质量标准和市容环境卫生综合整治计划并组织实施；负责指导监督城区垃圾处置及相关工作；负责建筑垃圾运输行业管理。⑷、牵头拟定户外广告设置规划管理办法和技术标准并组织实施；负责户外广告、招（店）牌的设置审批及户外广告资源的监督管理工作。⑸、负责市政工程的破占道审批及相应行政处罚工作。⑹、行使环境保护方面法律、法规、规章规定的部分行政处罚权。⑺、行使市容环境卫生管理方面法律、法规、规章规定的行政处罚权，强制拆除不符合城市容貌标准、环境卫生标准的建筑物或设施。⑻、负责对当路堆放物料等侵占城市道路行为的行政处罚工作；会同公安部门对机动车、非机动车辆停放占行道进行管理。⑼、负责拟定道路照明设施的养护、管理标准和技术规范，监督管理城市夜景照明工作。⑽、行使城乡规划管理方面法律、法规、规章规定的部分行政处罚权。</w:t>
      </w:r>
    </w:p>
    <w:p w14:paraId="24751464">
      <w:pPr>
        <w:snapToGrid w:val="0"/>
        <w:spacing w:line="52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2．</w:t>
      </w:r>
      <w:r>
        <w:rPr>
          <w:rFonts w:hint="eastAsia" w:ascii="仿宋_GB2312" w:hAnsi="仿宋" w:eastAsia="仿宋_GB2312"/>
          <w:sz w:val="32"/>
          <w:szCs w:val="32"/>
        </w:rPr>
        <w:t>机构情况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炎陵县城市管理和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综合</w:t>
      </w:r>
      <w:r>
        <w:rPr>
          <w:rFonts w:hint="eastAsia" w:ascii="仿宋_GB2312" w:hAnsi="仿宋" w:eastAsia="仿宋_GB2312"/>
          <w:sz w:val="32"/>
          <w:szCs w:val="32"/>
        </w:rPr>
        <w:t>执法局为独立核算的事业单位，属一级预算单位。我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共有内设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科室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4个</w:t>
      </w:r>
      <w:r>
        <w:rPr>
          <w:rFonts w:hint="eastAsia" w:ascii="仿宋_GB2312" w:hAnsi="仿宋" w:eastAsia="仿宋_GB2312"/>
          <w:sz w:val="32"/>
          <w:szCs w:val="32"/>
        </w:rPr>
        <w:t>、单位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个（含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4</w:t>
      </w:r>
      <w:r>
        <w:rPr>
          <w:rFonts w:hint="eastAsia" w:ascii="仿宋_GB2312" w:hAnsi="仿宋" w:eastAsia="仿宋_GB2312"/>
          <w:sz w:val="32"/>
          <w:szCs w:val="32"/>
        </w:rPr>
        <w:t>个副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科</w:t>
      </w:r>
      <w:r>
        <w:rPr>
          <w:rFonts w:hint="eastAsia" w:ascii="仿宋_GB2312" w:hAnsi="仿宋" w:eastAsia="仿宋_GB2312"/>
          <w:sz w:val="32"/>
          <w:szCs w:val="32"/>
        </w:rPr>
        <w:t>级单位），分别为：县城市管理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综合</w:t>
      </w:r>
      <w:r>
        <w:rPr>
          <w:rFonts w:hint="eastAsia" w:ascii="仿宋_GB2312" w:hAnsi="仿宋" w:eastAsia="仿宋_GB2312"/>
          <w:sz w:val="32"/>
          <w:szCs w:val="32"/>
        </w:rPr>
        <w:t>行政执法大队、县环境卫生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服务中心</w:t>
      </w:r>
      <w:r>
        <w:rPr>
          <w:rFonts w:hint="eastAsia" w:ascii="仿宋_GB2312" w:hAnsi="仿宋" w:eastAsia="仿宋_GB2312"/>
          <w:sz w:val="32"/>
          <w:szCs w:val="32"/>
        </w:rPr>
        <w:t>、县城市户外广告灯饰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事务</w:t>
      </w:r>
      <w:r>
        <w:rPr>
          <w:rFonts w:hint="eastAsia" w:ascii="仿宋_GB2312" w:hAnsi="仿宋" w:eastAsia="仿宋_GB2312"/>
          <w:sz w:val="32"/>
          <w:szCs w:val="32"/>
        </w:rPr>
        <w:t>中心、县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市政工程维护中心、县园林绿化中心、县数字化城市事务中心、县市场服务中心</w:t>
      </w:r>
      <w:r>
        <w:rPr>
          <w:rFonts w:hint="eastAsia" w:ascii="仿宋_GB2312" w:hAnsi="仿宋" w:eastAsia="仿宋_GB2312"/>
          <w:sz w:val="32"/>
          <w:szCs w:val="32"/>
        </w:rPr>
        <w:t>。行政编制数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人，事业编制数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52</w:t>
      </w:r>
      <w:r>
        <w:rPr>
          <w:rFonts w:hint="eastAsia" w:ascii="仿宋_GB2312" w:hAnsi="仿宋" w:eastAsia="仿宋_GB2312"/>
          <w:sz w:val="32"/>
          <w:szCs w:val="32"/>
        </w:rPr>
        <w:t>人，实有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在职</w:t>
      </w:r>
      <w:r>
        <w:rPr>
          <w:rFonts w:hint="eastAsia" w:ascii="仿宋_GB2312" w:hAnsi="仿宋" w:eastAsia="仿宋_GB2312"/>
          <w:sz w:val="32"/>
          <w:szCs w:val="32"/>
        </w:rPr>
        <w:t>人数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41</w:t>
      </w:r>
      <w:r>
        <w:rPr>
          <w:rFonts w:hint="eastAsia" w:ascii="仿宋_GB2312" w:hAnsi="仿宋" w:eastAsia="仿宋_GB2312"/>
          <w:sz w:val="32"/>
          <w:szCs w:val="32"/>
        </w:rPr>
        <w:t>人，退休人员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实有车辆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台。</w:t>
      </w:r>
    </w:p>
    <w:p w14:paraId="1C325386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</w:t>
      </w:r>
      <w:r>
        <w:rPr>
          <w:rFonts w:hint="eastAsia" w:eastAsia="仿宋_GB2312"/>
          <w:sz w:val="32"/>
          <w:szCs w:val="32"/>
          <w:lang w:val="en-US" w:eastAsia="zh-CN"/>
        </w:rPr>
        <w:t>人员情况：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上年末在职人员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41人，本年末在职人员41人，调入3人，调出3人，本年持平。其他人员32人，和上年末持平。</w:t>
      </w:r>
    </w:p>
    <w:p w14:paraId="5556C9CE">
      <w:pPr>
        <w:pStyle w:val="8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 w14:paraId="7587B28A">
      <w:pPr>
        <w:pStyle w:val="8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3DC3837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306EECE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2024年基本支出6236885.55元，其中人员经费5091822.13元，主要是包括</w:t>
      </w:r>
      <w:r>
        <w:rPr>
          <w:rFonts w:hint="eastAsia" w:ascii="Times New Roman" w:hAnsi="Times New Roman" w:eastAsia="仿宋_GB2312"/>
          <w:sz w:val="32"/>
          <w:szCs w:val="32"/>
        </w:rPr>
        <w:t>基本工资、津贴补贴、奖金、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机关事业单位基本养老保险缴费、职工基本医疗保险缴费、其他社会保障缴费、住房公积金、其他工资福利支出、退休费。</w:t>
      </w:r>
    </w:p>
    <w:p w14:paraId="0CBDBC79">
      <w:pPr>
        <w:pStyle w:val="8"/>
        <w:widowControl/>
        <w:spacing w:line="520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日常公用经费1145063.42元。</w:t>
      </w:r>
      <w:r>
        <w:rPr>
          <w:rFonts w:hint="eastAsia" w:ascii="Times New Roman" w:hAnsi="Times New Roman" w:eastAsia="仿宋_GB2312"/>
          <w:sz w:val="32"/>
          <w:szCs w:val="32"/>
        </w:rPr>
        <w:t>主要包括办公费、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水费、电费、差旅费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维修（护）</w:t>
      </w:r>
      <w:r>
        <w:rPr>
          <w:rFonts w:hint="eastAsia" w:ascii="Times New Roman" w:hAnsi="Times New Roman" w:eastAsia="仿宋_GB2312"/>
          <w:sz w:val="32"/>
          <w:szCs w:val="32"/>
        </w:rPr>
        <w:t>费、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培训费、公务接待费、委托业务费、工会经费、福利费、公务车运行维护费、其他交通费用、其他商品和服务支出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17999CAA">
      <w:pPr>
        <w:pStyle w:val="8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7C11EFB6">
      <w:pPr>
        <w:pStyle w:val="8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 w14:paraId="7AC34448">
      <w:pPr>
        <w:widowControl/>
        <w:spacing w:line="52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一是</w:t>
      </w:r>
      <w:r>
        <w:rPr>
          <w:rFonts w:hint="eastAsia" w:eastAsia="仿宋_GB2312"/>
          <w:sz w:val="32"/>
          <w:szCs w:val="32"/>
          <w:lang w:val="en-US" w:eastAsia="zh-CN"/>
        </w:rPr>
        <w:t>2024</w:t>
      </w:r>
      <w:r>
        <w:rPr>
          <w:rFonts w:eastAsia="仿宋_GB2312"/>
          <w:sz w:val="32"/>
          <w:szCs w:val="32"/>
        </w:rPr>
        <w:t>年度专项资金安排</w:t>
      </w:r>
      <w:r>
        <w:rPr>
          <w:rFonts w:hint="eastAsia" w:eastAsia="仿宋_GB2312"/>
          <w:sz w:val="32"/>
          <w:szCs w:val="32"/>
          <w:lang w:val="en-US" w:eastAsia="zh-CN"/>
        </w:rPr>
        <w:t>20000666.68</w:t>
      </w:r>
      <w:r>
        <w:rPr>
          <w:rFonts w:hint="eastAsia" w:eastAsia="仿宋_GB2312"/>
          <w:sz w:val="32"/>
          <w:szCs w:val="32"/>
          <w:lang w:eastAsia="zh-CN"/>
        </w:rPr>
        <w:t>元，使用</w:t>
      </w:r>
      <w:r>
        <w:rPr>
          <w:rFonts w:hint="eastAsia" w:eastAsia="仿宋_GB2312"/>
          <w:sz w:val="32"/>
          <w:szCs w:val="32"/>
          <w:lang w:val="en-US" w:eastAsia="zh-CN"/>
        </w:rPr>
        <w:t>20000666.68元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其中路灯电费维护费</w:t>
      </w:r>
      <w:r>
        <w:rPr>
          <w:rFonts w:hint="eastAsia" w:eastAsia="仿宋_GB2312"/>
          <w:sz w:val="32"/>
          <w:szCs w:val="32"/>
          <w:lang w:val="en-US" w:eastAsia="zh-CN"/>
        </w:rPr>
        <w:t>2684898元，垃圾处理5265850元，市政维护1526771元，创文500000元，路灯建设193995元，协管员工资1174623.68元，2021年公祭235900元，九龙道路2065992元，东西片区排水管道改造4908533元，其他项目支出1280664元。</w:t>
      </w:r>
    </w:p>
    <w:p w14:paraId="751A51C8">
      <w:pPr>
        <w:pStyle w:val="8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12AD48E2">
      <w:pPr>
        <w:pStyle w:val="8"/>
        <w:widowControl/>
        <w:numPr>
          <w:ilvl w:val="0"/>
          <w:numId w:val="0"/>
        </w:numPr>
        <w:spacing w:line="520" w:lineRule="exact"/>
        <w:ind w:leftChars="200"/>
        <w:jc w:val="left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2024年政府性基金预算支出163440元，其中项目支出163440元。</w:t>
      </w:r>
    </w:p>
    <w:p w14:paraId="216101D4">
      <w:pPr>
        <w:pStyle w:val="8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42F75E1B">
      <w:pPr>
        <w:pStyle w:val="8"/>
        <w:widowControl/>
        <w:numPr>
          <w:ilvl w:val="0"/>
          <w:numId w:val="0"/>
        </w:numPr>
        <w:spacing w:line="520" w:lineRule="exact"/>
        <w:ind w:leftChars="20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</w:p>
    <w:p w14:paraId="690EE68D">
      <w:pPr>
        <w:pStyle w:val="8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580FC82C">
      <w:pPr>
        <w:pStyle w:val="8"/>
        <w:widowControl/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</w:p>
    <w:p w14:paraId="7074D3E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52E8C373">
      <w:pPr>
        <w:widowControl/>
        <w:spacing w:line="520" w:lineRule="exact"/>
        <w:ind w:firstLine="645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1、20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eastAsia="仿宋_GB2312"/>
          <w:color w:val="000000"/>
          <w:sz w:val="32"/>
          <w:szCs w:val="32"/>
        </w:rPr>
        <w:t>年度财政拨款支出情况。①基本支出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6236885.55</w:t>
      </w:r>
      <w:r>
        <w:rPr>
          <w:rFonts w:hint="eastAsia" w:eastAsia="仿宋_GB2312"/>
          <w:color w:val="000000"/>
          <w:sz w:val="32"/>
          <w:szCs w:val="32"/>
        </w:rPr>
        <w:t>主要是用于城管局机关及执法大队和拆违大队正常运转的日常支出，包括基本工资、津贴补贴等人员经费以及办公费、水电费等日常公用经费；②项目支出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20164106.68</w:t>
      </w:r>
      <w:r>
        <w:rPr>
          <w:rFonts w:hint="eastAsia" w:eastAsia="仿宋_GB2312"/>
          <w:color w:val="000000"/>
          <w:sz w:val="32"/>
          <w:szCs w:val="32"/>
        </w:rPr>
        <w:t>元，是城管局为完成特定的行政工作任务或事业发展目标，用于专项业务工作的经费支出，主要是垃圾场运营费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及国卫复审、路灯电费和维护费、市政维护、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2021年公祭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、九龙事务、创文、协管员工资等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 w14:paraId="16BAE674">
      <w:pPr>
        <w:widowControl/>
        <w:spacing w:line="520" w:lineRule="exact"/>
        <w:ind w:firstLine="645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2、20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eastAsia="仿宋_GB2312"/>
          <w:color w:val="000000"/>
          <w:sz w:val="32"/>
          <w:szCs w:val="32"/>
        </w:rPr>
        <w:t>年年度“三公”经费合计支出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13896</w:t>
      </w:r>
      <w:bookmarkStart w:id="0" w:name="_GoBack"/>
      <w:bookmarkEnd w:id="0"/>
      <w:r>
        <w:rPr>
          <w:rFonts w:hint="eastAsia" w:eastAsia="仿宋_GB2312"/>
          <w:color w:val="000000"/>
          <w:sz w:val="32"/>
          <w:szCs w:val="32"/>
        </w:rPr>
        <w:t>元，其中公务用车运行维护费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000000"/>
          <w:sz w:val="32"/>
          <w:szCs w:val="32"/>
        </w:rPr>
        <w:t>元（公务用车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000000"/>
          <w:sz w:val="32"/>
          <w:szCs w:val="32"/>
        </w:rPr>
        <w:t>辆，含执法车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000000"/>
          <w:sz w:val="32"/>
          <w:szCs w:val="32"/>
        </w:rPr>
        <w:t>辆）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eastAsia="仿宋_GB2312"/>
          <w:color w:val="000000"/>
          <w:sz w:val="32"/>
          <w:szCs w:val="32"/>
        </w:rPr>
        <w:t>公务接待费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13896</w:t>
      </w:r>
      <w:r>
        <w:rPr>
          <w:rFonts w:hint="eastAsia" w:eastAsia="仿宋_GB2312"/>
          <w:color w:val="000000"/>
          <w:sz w:val="32"/>
          <w:szCs w:val="32"/>
        </w:rPr>
        <w:t>元（接待批次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eastAsia="仿宋_GB2312"/>
          <w:color w:val="000000"/>
          <w:sz w:val="32"/>
          <w:szCs w:val="32"/>
        </w:rPr>
        <w:t>次，人数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106</w:t>
      </w:r>
      <w:r>
        <w:rPr>
          <w:rFonts w:hint="eastAsia" w:eastAsia="仿宋_GB2312"/>
          <w:color w:val="000000"/>
          <w:sz w:val="32"/>
          <w:szCs w:val="32"/>
        </w:rPr>
        <w:t>人），因公出国（境）0元。三公经费与20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eastAsia="仿宋_GB2312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14431元</w:t>
      </w:r>
      <w:r>
        <w:rPr>
          <w:rFonts w:hint="eastAsia" w:eastAsia="仿宋_GB2312"/>
          <w:color w:val="000000"/>
          <w:sz w:val="32"/>
          <w:szCs w:val="32"/>
        </w:rPr>
        <w:t>相比，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减少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535</w:t>
      </w:r>
      <w:r>
        <w:rPr>
          <w:rFonts w:hint="eastAsia" w:eastAsia="仿宋_GB2312"/>
          <w:color w:val="000000"/>
          <w:sz w:val="32"/>
          <w:szCs w:val="32"/>
        </w:rPr>
        <w:t>元，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下降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3.7</w:t>
      </w:r>
      <w:r>
        <w:rPr>
          <w:rFonts w:hint="eastAsia" w:eastAsia="仿宋_GB2312"/>
          <w:color w:val="000000"/>
          <w:sz w:val="32"/>
          <w:szCs w:val="32"/>
        </w:rPr>
        <w:t>%。</w:t>
      </w:r>
    </w:p>
    <w:p w14:paraId="224FCA7F">
      <w:pPr>
        <w:widowControl/>
        <w:spacing w:line="520" w:lineRule="exact"/>
        <w:ind w:firstLine="645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3、20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eastAsia="仿宋_GB2312"/>
          <w:color w:val="000000"/>
          <w:sz w:val="32"/>
          <w:szCs w:val="32"/>
        </w:rPr>
        <w:t>年度机关运行经费决算情况。城管局20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eastAsia="仿宋_GB2312"/>
          <w:color w:val="000000"/>
          <w:sz w:val="32"/>
          <w:szCs w:val="32"/>
        </w:rPr>
        <w:t>年使用一般公共预算财政拨款安排的基本支出中，履行一般行政管理职能、维持机关日常运转而开支的机关运行经费合计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1145063.42元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 w14:paraId="4A5F77A9">
      <w:pPr>
        <w:widowControl/>
        <w:spacing w:line="520" w:lineRule="exact"/>
        <w:ind w:firstLine="645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>、20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eastAsia="仿宋_GB2312"/>
          <w:color w:val="000000"/>
          <w:sz w:val="32"/>
          <w:szCs w:val="32"/>
        </w:rPr>
        <w:t>政府采购支出决算情况。20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eastAsia="仿宋_GB2312"/>
          <w:color w:val="000000"/>
          <w:sz w:val="32"/>
          <w:szCs w:val="32"/>
        </w:rPr>
        <w:t>年本部门政府采购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>批次，支出总额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20757</w:t>
      </w:r>
      <w:r>
        <w:rPr>
          <w:rFonts w:hint="eastAsia" w:eastAsia="仿宋_GB2312"/>
          <w:color w:val="000000"/>
          <w:sz w:val="32"/>
          <w:szCs w:val="32"/>
        </w:rPr>
        <w:t>元，其中：政府采购货物支出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20757</w:t>
      </w:r>
      <w:r>
        <w:rPr>
          <w:rFonts w:hint="eastAsia" w:eastAsia="仿宋_GB2312"/>
          <w:color w:val="000000"/>
          <w:sz w:val="32"/>
          <w:szCs w:val="32"/>
        </w:rPr>
        <w:t>元。</w:t>
      </w:r>
    </w:p>
    <w:p w14:paraId="40A07C61">
      <w:pPr>
        <w:pStyle w:val="8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4DDEFBA6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年初预算和决算数相差比较大。</w:t>
      </w:r>
      <w:r>
        <w:rPr>
          <w:rFonts w:hint="eastAsia" w:eastAsia="仿宋_GB2312"/>
          <w:sz w:val="32"/>
          <w:szCs w:val="32"/>
          <w:lang w:eastAsia="zh-CN"/>
        </w:rPr>
        <w:t>一是</w:t>
      </w:r>
      <w:r>
        <w:rPr>
          <w:rFonts w:hint="eastAsia"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24</w:t>
      </w:r>
      <w:r>
        <w:rPr>
          <w:rFonts w:hint="eastAsia" w:eastAsia="仿宋_GB2312"/>
          <w:sz w:val="32"/>
          <w:szCs w:val="32"/>
        </w:rPr>
        <w:t>年县</w:t>
      </w:r>
      <w:r>
        <w:rPr>
          <w:rFonts w:hint="eastAsia" w:eastAsia="仿宋_GB2312"/>
          <w:sz w:val="32"/>
          <w:szCs w:val="32"/>
          <w:lang w:eastAsia="zh-CN"/>
        </w:rPr>
        <w:t>项目支出</w:t>
      </w:r>
      <w:r>
        <w:rPr>
          <w:rFonts w:hint="eastAsia" w:eastAsia="仿宋_GB2312"/>
          <w:sz w:val="32"/>
          <w:szCs w:val="32"/>
          <w:lang w:val="en-US" w:eastAsia="zh-CN"/>
        </w:rPr>
        <w:t>20164106.68元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项目</w:t>
      </w:r>
      <w:r>
        <w:rPr>
          <w:rFonts w:hint="eastAsia" w:eastAsia="仿宋_GB2312"/>
          <w:sz w:val="32"/>
          <w:szCs w:val="32"/>
        </w:rPr>
        <w:t>年初预算</w:t>
      </w:r>
      <w:r>
        <w:rPr>
          <w:rFonts w:hint="eastAsia" w:eastAsia="仿宋_GB2312"/>
          <w:sz w:val="32"/>
          <w:szCs w:val="32"/>
          <w:lang w:eastAsia="zh-CN"/>
        </w:rPr>
        <w:t>放在财政相关股室，单位无预算</w:t>
      </w:r>
      <w:r>
        <w:rPr>
          <w:rFonts w:hint="eastAsia" w:eastAsia="仿宋_GB2312"/>
          <w:sz w:val="32"/>
          <w:szCs w:val="32"/>
        </w:rPr>
        <w:t>且金额大，导致年</w:t>
      </w:r>
      <w:r>
        <w:rPr>
          <w:rFonts w:hint="eastAsia" w:eastAsia="仿宋_GB2312"/>
          <w:sz w:val="32"/>
          <w:szCs w:val="32"/>
          <w:lang w:eastAsia="zh-CN"/>
        </w:rPr>
        <w:t>初</w:t>
      </w:r>
      <w:r>
        <w:rPr>
          <w:rFonts w:hint="eastAsia" w:eastAsia="仿宋_GB2312"/>
          <w:sz w:val="32"/>
          <w:szCs w:val="32"/>
        </w:rPr>
        <w:t>预算和决算数相差大。</w:t>
      </w:r>
      <w:r>
        <w:rPr>
          <w:rFonts w:hint="eastAsia" w:eastAsia="仿宋_GB2312"/>
          <w:sz w:val="32"/>
          <w:szCs w:val="32"/>
          <w:lang w:eastAsia="zh-CN"/>
        </w:rPr>
        <w:t>二是资产净值比上年增加</w:t>
      </w:r>
      <w:r>
        <w:rPr>
          <w:rFonts w:hint="eastAsia" w:eastAsia="仿宋_GB2312"/>
          <w:sz w:val="32"/>
          <w:szCs w:val="32"/>
          <w:lang w:val="en-US" w:eastAsia="zh-CN"/>
        </w:rPr>
        <w:t>7331205.63元</w:t>
      </w:r>
      <w:r>
        <w:rPr>
          <w:rFonts w:hint="eastAsia" w:eastAsia="仿宋_GB2312"/>
          <w:sz w:val="32"/>
          <w:szCs w:val="32"/>
          <w:lang w:eastAsia="zh-CN"/>
        </w:rPr>
        <w:t>，原因是当年计提固定资产累计折旧</w:t>
      </w:r>
      <w:r>
        <w:rPr>
          <w:rFonts w:hint="eastAsia" w:eastAsia="仿宋_GB2312"/>
          <w:sz w:val="32"/>
          <w:szCs w:val="32"/>
          <w:lang w:val="en-US" w:eastAsia="zh-CN"/>
        </w:rPr>
        <w:t>80979.37元，当年新增固定资产20757元，新增市政资产2343995元，新增在建工程5047433元。</w:t>
      </w:r>
    </w:p>
    <w:p w14:paraId="455796B8">
      <w:pPr>
        <w:widowControl/>
        <w:numPr>
          <w:ilvl w:val="0"/>
          <w:numId w:val="4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2C19856F">
      <w:pPr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一是合理安排收支预算，严格预算管理。按照“以收定支，量入为出，保证重点，兼顾一般”的原则，科学合理编制部门预算，使预算更加切合实际。进一步细化预算，严格执行，增强预算约束意识，提高科学化、精细化预算管理水平。二是规范财务行为，提高会计基础工作质量。严格执行财经纪律和各项财经政策，自觉接受财政、审计、纪检监察等职能部门的监督，做到有法可依，有章可循，实现管理的规范化、制度化。进一步健全机关各项财务制度，严格财经手续，完善经费使用内部控制制度。三是建设阳光财务，提高资金效益。进一步完善财政预决算、“三公经费”及重大专项公开工作。使重大项目管理制度更加科学合理，程序更加规范透明，分配更加公平公正，资金更加安全高效。</w:t>
      </w:r>
    </w:p>
    <w:p w14:paraId="21482297">
      <w:pPr>
        <w:widowControl/>
        <w:numPr>
          <w:ilvl w:val="0"/>
          <w:numId w:val="4"/>
        </w:numPr>
        <w:spacing w:line="520" w:lineRule="exact"/>
        <w:ind w:left="0" w:leftChars="0"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4BD972DE">
      <w:pPr>
        <w:widowControl/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绩效自评结果为优。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554F0E51-E03F-48C2-A3EF-882E9521C0D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E17BA5A-A9FB-415F-A58A-BA2CF953108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053AECFD-F734-4667-934D-D6B0886E60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04E79FF-0D72-4F75-99A3-A0E67016C68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8BACB9F3-0DFD-43E9-8086-E8BFD7A999B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77D3F6E4-25F1-4779-9E0A-8113F3F6ACF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1C00C8AE-D701-4734-BC8A-7C2B5C11A2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FDC310B5"/>
    <w:multiLevelType w:val="multi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abstractNum w:abstractNumId="2">
    <w:nsid w:val="120422E4"/>
    <w:multiLevelType w:val="singleLevel"/>
    <w:tmpl w:val="120422E4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744D8D9"/>
    <w:multiLevelType w:val="singleLevel"/>
    <w:tmpl w:val="2744D8D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kYWFiZTg3OTRjN2ZiMGIzY2JkMDhlYjg3NTIxY2EifQ=="/>
  </w:docVars>
  <w:rsids>
    <w:rsidRoot w:val="00000000"/>
    <w:rsid w:val="09195103"/>
    <w:rsid w:val="133B5FB3"/>
    <w:rsid w:val="15BF56EC"/>
    <w:rsid w:val="197A0209"/>
    <w:rsid w:val="20152CF4"/>
    <w:rsid w:val="25112302"/>
    <w:rsid w:val="35CB6416"/>
    <w:rsid w:val="4B4334AB"/>
    <w:rsid w:val="4D96185E"/>
    <w:rsid w:val="51AF590D"/>
    <w:rsid w:val="5403276E"/>
    <w:rsid w:val="54C57A37"/>
    <w:rsid w:val="55775466"/>
    <w:rsid w:val="57FF626E"/>
    <w:rsid w:val="680E2F36"/>
    <w:rsid w:val="7CA45F2E"/>
    <w:rsid w:val="7F0F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9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2083</Words>
  <Characters>2346</Characters>
  <Lines>0</Lines>
  <Paragraphs>0</Paragraphs>
  <TotalTime>436</TotalTime>
  <ScaleCrop>false</ScaleCrop>
  <LinksUpToDate>false</LinksUpToDate>
  <CharactersWithSpaces>2347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晨曦</cp:lastModifiedBy>
  <cp:lastPrinted>2025-08-01T08:23:17Z</cp:lastPrinted>
  <dcterms:modified xsi:type="dcterms:W3CDTF">2025-08-01T08:23:19Z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DEC29D6FF1984251977FAFE43F2C91AB_12</vt:lpwstr>
  </property>
  <property fmtid="{D5CDD505-2E9C-101B-9397-08002B2CF9AE}" pid="4" name="KSOTemplateDocerSaveRecord">
    <vt:lpwstr>eyJoZGlkIjoiZTZkYWFiZTg3OTRjN2ZiMGIzY2JkMDhlYjg3NTIxY2EiLCJ1c2VySWQiOiI0NTk5NTg3MDkifQ==</vt:lpwstr>
  </property>
</Properties>
</file>