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356182A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炎陵县职业技术学校</w:t>
      </w:r>
    </w:p>
    <w:p w14:paraId="1AADABB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EEA110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3ADEF6F7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1．主要职能。</w:t>
      </w:r>
      <w:r>
        <w:rPr>
          <w:rFonts w:hint="eastAsia" w:eastAsia="仿宋_GB2312"/>
          <w:sz w:val="32"/>
          <w:szCs w:val="32"/>
          <w:lang w:eastAsia="zh-CN"/>
        </w:rPr>
        <w:t>负责本县职业教育、中小学教师培训及电大教育工作</w:t>
      </w:r>
    </w:p>
    <w:p w14:paraId="496D53E1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2．机构情况，包括当年变动情况及原因。</w:t>
      </w:r>
    </w:p>
    <w:p w14:paraId="3C0DD260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全额事业单位。</w:t>
      </w:r>
    </w:p>
    <w:p w14:paraId="41BB4070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3．人员情况，包括当年变动情况及原因。</w:t>
      </w:r>
    </w:p>
    <w:p w14:paraId="3D1C1DEB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本年度末,我校编制数50人,实有在编在岗人数47人,退休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人。</w:t>
      </w:r>
    </w:p>
    <w:p w14:paraId="0FBA57C0">
      <w:pPr>
        <w:pStyle w:val="6"/>
        <w:widowControl/>
        <w:numPr>
          <w:ilvl w:val="0"/>
          <w:numId w:val="0"/>
        </w:numPr>
        <w:spacing w:line="520" w:lineRule="exact"/>
        <w:ind w:left="630" w:left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单位年度整体支出绩效目标，学校负责本县职业教育、中小学教师培训及电大教育工作，本年电大及职高招生人数与上年相比相差无几，非税收入的完成达预算的100%。所有资金均纳入绩效管理，按时上报预算绩效目标，加强预算绩效跟踪和绩效评价，落实绩效评价结果的运用，并在一定范围公开了绩效评价结果，各项预算绩效管理工作落实到位。建立了各项财务管理制度，相关管理制度合法、合规、完整，相关管理制度得到有效执行。专项资金绩效目标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,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其他项目支出（除专项资金以外）绩效目标为无。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6167EE0B">
      <w:pPr>
        <w:tabs>
          <w:tab w:val="left" w:pos="7560"/>
        </w:tabs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114D63A7">
      <w:pPr>
        <w:tabs>
          <w:tab w:val="left" w:pos="7560"/>
        </w:tabs>
        <w:spacing w:line="560" w:lineRule="exact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年度支出合计9461163.38元，其中：基本支出6933760.27元，占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73.2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%；项目支出2527403.11元，占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26.8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%；上缴上级支出0元，占0%；经营支出0元，占0%；对附属单位补助支出0元，占0%。</w:t>
      </w:r>
    </w:p>
    <w:p w14:paraId="2F2A162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7C11EFB6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7AC34448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年度专项资金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2527403.11元，</w:t>
      </w:r>
      <w:r>
        <w:rPr>
          <w:rFonts w:hint="eastAsia" w:eastAsia="仿宋_GB2312"/>
          <w:sz w:val="32"/>
          <w:szCs w:val="32"/>
          <w:lang w:eastAsia="zh-CN"/>
        </w:rPr>
        <w:t>指的是按学生人数拨付的免学费等，用于学校保运转。</w:t>
      </w:r>
      <w:bookmarkStart w:id="0" w:name="_GoBack"/>
      <w:bookmarkEnd w:id="0"/>
    </w:p>
    <w:p w14:paraId="060B91FC">
      <w:pPr>
        <w:pStyle w:val="6"/>
        <w:spacing w:line="520" w:lineRule="exact"/>
        <w:ind w:left="640" w:firstLine="0" w:firstLineChars="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  <w:lang w:eastAsia="zh-CN"/>
        </w:rPr>
        <w:t>政府性基金预算支出情况</w:t>
      </w:r>
    </w:p>
    <w:p w14:paraId="1265BF3B">
      <w:pPr>
        <w:spacing w:line="52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年度无</w:t>
      </w:r>
      <w:r>
        <w:rPr>
          <w:rFonts w:eastAsia="仿宋_GB2312"/>
          <w:sz w:val="32"/>
          <w:szCs w:val="32"/>
          <w:lang w:eastAsia="zh-CN"/>
        </w:rPr>
        <w:t>政府性基金预算支出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73F71E3">
      <w:pPr>
        <w:pStyle w:val="6"/>
        <w:spacing w:line="520" w:lineRule="exact"/>
        <w:ind w:left="640" w:firstLine="0" w:firstLineChars="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四、国有资本经营预算支出情况</w:t>
      </w:r>
    </w:p>
    <w:p w14:paraId="7F41DE05">
      <w:pPr>
        <w:spacing w:line="52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年度无国有资本经营预算支出。</w:t>
      </w:r>
    </w:p>
    <w:p w14:paraId="60FB3AE9">
      <w:pPr>
        <w:pStyle w:val="6"/>
        <w:spacing w:line="520" w:lineRule="exact"/>
        <w:ind w:left="640" w:firstLine="0" w:firstLineChars="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  <w:lang w:eastAsia="zh-CN"/>
        </w:rPr>
        <w:t>社会保险基金预算支出情况</w:t>
      </w:r>
    </w:p>
    <w:p w14:paraId="0B40FCED">
      <w:pPr>
        <w:spacing w:line="52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年度无</w:t>
      </w:r>
      <w:r>
        <w:rPr>
          <w:rFonts w:eastAsia="仿宋_GB2312"/>
          <w:sz w:val="32"/>
          <w:szCs w:val="32"/>
          <w:lang w:eastAsia="zh-CN"/>
        </w:rPr>
        <w:t>社会保险基金预算支出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5B0E8FE8">
      <w:pPr>
        <w:ind w:firstLine="64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根据预算绩效管理要求，我校组织对202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年度一般公共预算项目支出全面开展绩效自评，其中，一级项目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个，二级项目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个，共涉及资金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2527403.11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元，占一般公共预算项目支出总额的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%。组织对202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年度0 个政府性基金预算项目支出开展绩效自评，共涉及资金0 元，占政府性基金预算项目支出总额的0%。组织对202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年度0个国有资本经营预算项目支出开展绩效自评，共涉及资金0 元，占国有资本经营预算项目支出总额的0%。</w:t>
      </w:r>
    </w:p>
    <w:p w14:paraId="0E0EE6E8">
      <w:pPr>
        <w:ind w:firstLine="64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个项目开展了部门评价，涉及一般公共预算支出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2527403.11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元，政府性基金预算支出0 元，国有资本经营预算支出0 元。</w:t>
      </w:r>
    </w:p>
    <w:p w14:paraId="106C712D">
      <w:pPr>
        <w:ind w:firstLine="64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个单位开展整体支出绩效评价，涉及一般公共预算支出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2527403.11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元，政府性基金预算支出0 元。</w:t>
      </w:r>
    </w:p>
    <w:p w14:paraId="08C1FF86"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资金均纳入绩效管理，按时上报预算绩效目标，加强预算绩效跟踪和绩效评价，落实绩效评价结果的运用，并在一定范围公开了绩效评价结果，各项预算绩效管理工作落实到位。建立了各项财务管理制度，相关管理制度合法、合规、完整，相关管理制度得到有效执行。</w:t>
      </w:r>
    </w:p>
    <w:p w14:paraId="100F8976">
      <w:pPr>
        <w:ind w:firstLine="64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AA49AA3">
      <w:pPr>
        <w:widowControl/>
        <w:spacing w:line="520" w:lineRule="exact"/>
        <w:ind w:firstLine="645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总结归纳本部门“四本预算”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68C4F289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合理安排收支预算，严格预算管理。按照“以收定支，量入为出，保证重点，兼顾一般”的原则，科学合理编制部门预算，使预算更加切合实际。进一步细化预算，严格执行，增强预算约束意识，提高科学化、精细化预算管理水平。2.规范财务行为，提高会计基础工作质量。严格执行财经纪律和各项财经政策，自觉接受财政、审计、纪检监察等职能部门的监督，做到有法可依，有章可循，实现管理的规范化、制度化。进一步健全机关各项财务制度，严格财经手续，完善经费使用内部控制制度，加强对原始票据的合法性、完整性审核，做到票据合法规范，手续完备。3.建设阳光财务，提高资金效益。进一步完善财政预决算、“三公经费”及重大专项公开工作。使重大项目管理制度更加科学合理，程序更加规范透明，分配更加公平公正，资金更加安全高效。</w:t>
      </w:r>
    </w:p>
    <w:p w14:paraId="455796B8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 w14:paraId="65516CFA"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本单位将依据绩效管理要求，进一步细化管理，规范管理，按时保质完成。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无。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15BF56EC"/>
    <w:rsid w:val="35CB6416"/>
    <w:rsid w:val="3A7350F0"/>
    <w:rsid w:val="3DEC3E67"/>
    <w:rsid w:val="4B4334AB"/>
    <w:rsid w:val="50A55465"/>
    <w:rsid w:val="5403276E"/>
    <w:rsid w:val="54C57A37"/>
    <w:rsid w:val="6B57583C"/>
    <w:rsid w:val="70AB011F"/>
    <w:rsid w:val="719B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1559</Words>
  <Characters>1663</Characters>
  <Lines>0</Lines>
  <Paragraphs>0</Paragraphs>
  <TotalTime>1</TotalTime>
  <ScaleCrop>false</ScaleCrop>
  <LinksUpToDate>false</LinksUpToDate>
  <CharactersWithSpaces>1680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dcterms:modified xsi:type="dcterms:W3CDTF">2025-07-23T02:40:15Z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eyJoZGlkIjoiZWQ1Mjc1OTkwNGUyZjZjZWMyYzI5MzQ5YjkzODk1ODMifQ==</vt:lpwstr>
  </property>
</Properties>
</file>