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2024年度炎陵县炎帝陵管理局</w:t>
      </w:r>
      <w:r>
        <w:rPr>
          <w:rFonts w:hint="eastAsia" w:ascii="方正小标宋简体" w:hAnsi="方正小标宋简体" w:eastAsia="方正小标宋简体" w:cs="方正小标宋简体"/>
          <w:sz w:val="44"/>
          <w:szCs w:val="44"/>
        </w:rPr>
        <w:t>部门整体支出绩效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both"/>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炎陵县炎帝陵管理局（盖章）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仿宋_GB2312" w:hAnsi="仿宋_GB2312" w:eastAsia="仿宋_GB2312" w:cs="仿宋_GB2312"/>
          <w:sz w:val="32"/>
          <w:szCs w:val="32"/>
          <w:lang w:val="en-US" w:eastAsia="zh-CN"/>
        </w:rPr>
      </w:pPr>
    </w:p>
    <w:p>
      <w:pPr>
        <w:rPr>
          <w:rFonts w:eastAsia="楷体_GB2312"/>
          <w:sz w:val="32"/>
          <w:szCs w:val="32"/>
        </w:rPr>
      </w:pPr>
      <w:r>
        <w:rPr>
          <w:rFonts w:hint="eastAsia" w:ascii="仿宋_GB2312" w:hAnsi="仿宋_GB2312" w:eastAsia="仿宋_GB2312" w:cs="仿宋_GB2312"/>
          <w:sz w:val="32"/>
          <w:szCs w:val="32"/>
          <w:lang w:val="en-US" w:eastAsia="zh-CN"/>
        </w:rPr>
        <w:br w:type="page"/>
      </w:r>
    </w:p>
    <w:p>
      <w:pPr>
        <w:pStyle w:val="9"/>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pPr>
        <w:pStyle w:val="9"/>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pPr>
        <w:keepNext w:val="0"/>
        <w:keepLines w:val="0"/>
        <w:pageBreakBefore w:val="0"/>
        <w:widowControl/>
        <w:wordWrap/>
        <w:topLinePunct w:val="0"/>
        <w:bidi w:val="0"/>
        <w:snapToGrid/>
        <w:spacing w:line="56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炎陵县炎帝陵管理局（副处级，公益一类事业单位），属县人民政府直管工作部门，本部门无下属预算单位，炎帝陵管理局内设办公室、资源管理科、旅游开发科、文物保护科、风景名胜科、安全保卫科六个副科级职能科室。截止2024年12月底炎帝陵管理局编制数为25名，在编在职人员25人，退休人员8人，遗属2人。</w:t>
      </w:r>
    </w:p>
    <w:p>
      <w:pPr>
        <w:keepNext w:val="0"/>
        <w:keepLines w:val="0"/>
        <w:pageBreakBefore w:val="0"/>
        <w:widowControl/>
        <w:wordWrap/>
        <w:topLinePunct w:val="0"/>
        <w:bidi w:val="0"/>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仿宋_GB2312" w:hAnsi="仿宋" w:eastAsia="仿宋_GB2312" w:cs="Times New Roman"/>
          <w:sz w:val="32"/>
          <w:szCs w:val="32"/>
          <w:lang w:val="en-US" w:eastAsia="zh-CN"/>
        </w:rPr>
        <w:t>负责炎帝陵文物保护；负责炎帝陵风景名胜区管理、保护、利用；负责炎帝陵风景名胜区的资源保护、利用和统一管理；负责实施景区景点建设、景区旅游管理、祭祖活动现场组织接待、负责景区全国爱国主义教育基地、海峡两岸文化交流基地、中华全国归国华侨爱国主义教育基地、井冈山干部学院社会实践教学基地、省党风廉政教育基地的宣传推介工作。</w:t>
      </w:r>
    </w:p>
    <w:p>
      <w:pPr>
        <w:pStyle w:val="9"/>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贯彻执行中央、省、市有关风景名胜区管理、保护、利用及国家级文物保护的法律法规和方针政策；负责贯彻落实《旅游法》关于景区服务质量等级规定；负责拟订炎帝陵风景名胜区管理有关规定，经批准后发布并组织实施。负责炎帝陵风景名胜区的资源保护、利用和统一管理工</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2.负责组织编制、修订、论证、报批《炎帝陵风景名胜区总体规划》和《炎帝陵风景名胜区详细规划》并组织实施；负责风景名胜区规划建设管理工作。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健全风景名胜区资源保护的各项管理制度；负责对风景名胜区的重要景观资源进行调查、登记、监测、鉴定，并采取有效措施进行保护；负责对风景名胜区内从事经营活动、广告设置张贴、举办大型游乐和节庆活动、改变水资源和水环境活动、以及其他影响生态和景观活动的审核。</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4.负责巩固提升景区质量标准等级创建成果，建立质量标准等级成果巩固提升工作体系，定期对景区组织检查，发现问题，提出整改意见，指导、协调、督促、落实巩固提升工作。</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文物保护的宣传教育，普及炎帝文化和炎帝文化相关知识；负责组织、策划、筹备景区各类祭祀、接待及文化研究活动。负责炎帝陵文物的保护和利用工作，收集与炎帝陵相关的物件、资料、书籍，并整理“准文物”背后的故事。开展寻找和抢救炎帝文化相关文物的工作，开展相关文物故事整理记录工作。挖掘整理文物故事，定期举办文物展览。</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会同有关行政主管部门实施炎帝陵风景名胜区资源保护和开发利用的行政许可和行政执法等具体行政行为；负责炎帝陵风景名胜区社会管理综合治理工作；配合依法查处违反风景名胜资源保护管理规定的各种违法、违规、违章行为；负责配合依法处理景区内乱建、乱占、乱挖、乱采事件。</w:t>
      </w:r>
    </w:p>
    <w:p>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7.负责景区全国爱国主义教育基地、海峡两岸文化交流基地、中华全国归国华侨爱国主义教育基地、井冈山干部学院社会实践教学基地、省党风廉政教育基地的宣传推介工作。</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8.负责单位日常行政、人事、财务和国有资产管理工作。</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9.承担县委、县人民政府和上级主管部门交办的其他事项。 </w:t>
      </w:r>
    </w:p>
    <w:p>
      <w:pPr>
        <w:pStyle w:val="9"/>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炎陵县炎帝陵管理局2024年财政拨款支出共计696.57万元，其中基本支出462.02万元（人员经费352.64万元，日常公用经费76.03万元），项目支出234.55万元。</w:t>
      </w:r>
    </w:p>
    <w:p>
      <w:pPr>
        <w:pStyle w:val="9"/>
        <w:widowControl/>
        <w:numPr>
          <w:ilvl w:val="0"/>
          <w:numId w:val="3"/>
        </w:numPr>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基本支出情况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炎陵县炎帝陵管理局基本支出462.02万元，其中：人员经费352.54万元，日常公用经费109.48万元。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中基本工资支出122.03万元占37.49%，津贴补贴支出60.49万元占18.58%，奖金支出75.71万元占23.26%，机关事业养老保险缴费支出37.46万元占11.51%，职工基本医疗保障缴费支出16.46万元占5.06%，公务员医疗补助缴费支出5.38万元占1.65%，其他社会保障缴费支出3.24万元占1%，住房公积金支出30.86万元占9.48%，遗属生活补助支出0.9万元占0.28%。</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常公用经费支出中办公费支出18.73万元占17.11%，印刷费支出0.76万元占0.69%，水费支出0.35万元占0.32%，电费支出1.73万元占1.58%，差旅费支出3万元占2.74%，维修（护）费支出0.28万元占0.26%，公务接待费支出4万元占3.68%，劳务费支出14.52万元占13.26%，工会经费支出3.25万元占2.97%，公务用车运行维护费支出3万元占2.74%，其他交通费用支出7.73万元占7.06%，其他商品服务支出51.4万元占46.95%，会议费支出0.15万元占0.14%，福利费支出0.41万元占0.37%，培训费支出0.52万元占0.47%.</w:t>
      </w:r>
    </w:p>
    <w:p>
      <w:pPr>
        <w:pStyle w:val="9"/>
        <w:widowControl/>
        <w:numPr>
          <w:ilvl w:val="0"/>
          <w:numId w:val="0"/>
        </w:numPr>
        <w:spacing w:line="520" w:lineRule="exact"/>
        <w:ind w:left="640" w:leftChars="0"/>
        <w:rPr>
          <w:rFonts w:hint="eastAsia" w:ascii="楷体_GB2312" w:hAnsi="楷体_GB2312" w:eastAsia="楷体_GB2312" w:cs="楷体_GB2312"/>
          <w:sz w:val="32"/>
          <w:szCs w:val="32"/>
        </w:rPr>
      </w:pPr>
    </w:p>
    <w:p>
      <w:pPr>
        <w:pStyle w:val="9"/>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1、2024（甲辰）年海峡两岸炎帝神农文化交流大会经费：株财文[2024]0087号文件下达资金64.85万元，支付炎帝陵景区2024（甲辰）海峡两岸炎帝神农文化交流大会经费64.85万元。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2、炎帝陵防雷工程项目：炎财预[2024]1号文件和炎财预指[2024]0159号文件下达资金88万元，本项目按进度付款，支付炎帝陵防雷工程款77.15万元，审计结算费1.89万元，维护费8.96万元。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炎帝陵</w:t>
      </w:r>
      <w:r>
        <w:rPr>
          <w:rFonts w:hint="eastAsia" w:ascii="仿宋_GB2312" w:hAnsi="仿宋_GB2312" w:eastAsia="仿宋_GB2312" w:cs="仿宋_GB2312"/>
          <w:sz w:val="32"/>
          <w:szCs w:val="32"/>
          <w:lang w:val="en-US" w:eastAsia="zh-CN"/>
        </w:rPr>
        <w:t>山体防护工程</w:t>
      </w:r>
      <w:r>
        <w:rPr>
          <w:rFonts w:hint="default" w:ascii="仿宋_GB2312" w:hAnsi="仿宋_GB2312" w:eastAsia="仿宋_GB2312" w:cs="仿宋_GB2312"/>
          <w:sz w:val="32"/>
          <w:szCs w:val="32"/>
          <w:lang w:val="en-US" w:eastAsia="zh-CN"/>
        </w:rPr>
        <w:t>经费</w:t>
      </w:r>
      <w:r>
        <w:rPr>
          <w:rFonts w:hint="eastAsia" w:ascii="仿宋_GB2312" w:hAnsi="仿宋_GB2312" w:eastAsia="仿宋_GB2312" w:cs="仿宋_GB2312"/>
          <w:sz w:val="32"/>
          <w:szCs w:val="32"/>
          <w:lang w:val="en-US" w:eastAsia="zh-CN"/>
        </w:rPr>
        <w:t>：湘财预{2023}0435号文件和炎财教〔2024〕0145号文件下达资金24.93万元，支付炎帝陵山体防护工程设计费23.54万元，炎帝陵山体防护工程招标代理费1.39万元。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4、炎帝陵景区井水坳至神农大殿游道塌方清理费用：湘财预[2023]4号文件和炎财建指〔2024〕0515号文件下达资金5万元，支付炎帝陵景区井水坳至神农大殿游道塌方清理费用5万元。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5、2024（甲辰）年海峡两岸炎帝神农文化交流大会经费：株财文[2024]0087号文件下达资金22.81万元，支付炎帝陵景区2024（甲辰）海峡两岸炎帝神农文化交流大会经费22.81万元。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6、鹿原镇柳山村征地补偿实物折款：炎帝陵交流基地建设经费下达26万元，付鹿原镇柳山村征地补偿实物折款26万元。</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pPr>
        <w:pStyle w:val="9"/>
        <w:widowControl/>
        <w:spacing w:line="520" w:lineRule="exact"/>
        <w:ind w:left="640" w:firstLine="0" w:firstLineChars="0"/>
        <w:rPr>
          <w:rFonts w:hint="eastAsia" w:ascii="Times New Roman" w:hAnsi="Times New Roman" w:eastAsia="黑体"/>
          <w:sz w:val="32"/>
          <w:szCs w:val="32"/>
        </w:rPr>
      </w:pPr>
      <w:r>
        <w:rPr>
          <w:rFonts w:hint="eastAsia" w:ascii="Times New Roman" w:hAnsi="Times New Roman" w:eastAsia="黑体"/>
          <w:sz w:val="32"/>
          <w:szCs w:val="32"/>
          <w:lang w:eastAsia="zh-CN"/>
        </w:rPr>
        <w:t>三、</w:t>
      </w:r>
      <w:r>
        <w:rPr>
          <w:rFonts w:hint="eastAsia" w:ascii="Times New Roman" w:hAnsi="Times New Roman" w:eastAsia="黑体"/>
          <w:sz w:val="32"/>
          <w:szCs w:val="32"/>
        </w:rPr>
        <w:t>政府性基金预算支出情况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ascii="Times New Roman" w:hAnsi="Times New Roman" w:eastAsia="黑体"/>
          <w:sz w:val="32"/>
          <w:szCs w:val="32"/>
        </w:rPr>
      </w:pPr>
      <w:r>
        <w:rPr>
          <w:rFonts w:hint="eastAsia" w:ascii="仿宋_GB2312" w:hAnsi="仿宋_GB2312" w:eastAsia="仿宋_GB2312" w:cs="仿宋_GB2312"/>
          <w:sz w:val="32"/>
          <w:szCs w:val="32"/>
          <w:lang w:val="en-US" w:eastAsia="zh-CN"/>
        </w:rPr>
        <w:t>本单位2024年度无政府性基金预算支出。</w:t>
      </w:r>
    </w:p>
    <w:p>
      <w:pPr>
        <w:pStyle w:val="9"/>
        <w:widowControl/>
        <w:spacing w:line="520" w:lineRule="exact"/>
        <w:ind w:left="640" w:firstLine="0" w:firstLineChars="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pPr>
        <w:pStyle w:val="9"/>
        <w:widowControl/>
        <w:numPr>
          <w:ilvl w:val="0"/>
          <w:numId w:val="0"/>
        </w:numPr>
        <w:spacing w:line="520" w:lineRule="exact"/>
        <w:ind w:leftChars="200"/>
        <w:jc w:val="left"/>
        <w:rPr>
          <w:rFonts w:hint="default" w:ascii="Times New Roman" w:hAnsi="Times New Roman" w:eastAsia="黑体"/>
          <w:sz w:val="32"/>
          <w:szCs w:val="32"/>
          <w:lang w:val="en-US" w:eastAsia="zh-CN"/>
        </w:rPr>
      </w:pPr>
      <w:r>
        <w:rPr>
          <w:rFonts w:hint="eastAsia" w:ascii="仿宋_GB2312" w:hAnsi="仿宋_GB2312" w:eastAsia="仿宋_GB2312" w:cs="仿宋_GB2312"/>
          <w:sz w:val="32"/>
          <w:szCs w:val="32"/>
          <w:lang w:val="en-US" w:eastAsia="zh-CN"/>
        </w:rPr>
        <w:t>本单位2024年度无国有资本经营预算支出</w:t>
      </w:r>
    </w:p>
    <w:p>
      <w:pPr>
        <w:pStyle w:val="9"/>
        <w:widowControl/>
        <w:spacing w:line="520" w:lineRule="exact"/>
        <w:ind w:left="640" w:firstLine="0" w:firstLineChars="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五、社会保险基金预算支出情况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ascii="Times New Roman" w:hAnsi="Times New Roman" w:eastAsia="黑体"/>
          <w:sz w:val="32"/>
          <w:szCs w:val="32"/>
        </w:rPr>
      </w:pPr>
      <w:r>
        <w:rPr>
          <w:rFonts w:hint="eastAsia" w:ascii="仿宋_GB2312" w:hAnsi="仿宋_GB2312" w:eastAsia="仿宋_GB2312" w:cs="仿宋_GB2312"/>
          <w:sz w:val="32"/>
          <w:szCs w:val="32"/>
          <w:lang w:val="en-US" w:eastAsia="zh-CN"/>
        </w:rPr>
        <w:t>本单位2024年度无社会保险基金预算支出。</w:t>
      </w:r>
    </w:p>
    <w:p>
      <w:pPr>
        <w:widowControl/>
        <w:numPr>
          <w:ilvl w:val="0"/>
          <w:numId w:val="4"/>
        </w:numPr>
        <w:spacing w:line="520" w:lineRule="exact"/>
        <w:ind w:firstLine="645"/>
        <w:jc w:val="left"/>
        <w:rPr>
          <w:rFonts w:hint="eastAsia" w:ascii="Times New Roman" w:hAnsi="Times New Roman" w:eastAsia="黑体" w:cs="Times New Roman"/>
          <w:snapToGrid w:val="0"/>
          <w:color w:val="000000"/>
          <w:kern w:val="0"/>
          <w:sz w:val="32"/>
          <w:szCs w:val="32"/>
          <w:lang w:val="en-US" w:eastAsia="zh-CN" w:bidi="ar-SA"/>
        </w:rPr>
      </w:pPr>
      <w:r>
        <w:rPr>
          <w:rFonts w:hint="eastAsia" w:ascii="Times New Roman" w:hAnsi="Times New Roman" w:eastAsia="黑体" w:cs="Times New Roman"/>
          <w:snapToGrid w:val="0"/>
          <w:color w:val="000000"/>
          <w:kern w:val="0"/>
          <w:sz w:val="32"/>
          <w:szCs w:val="32"/>
          <w:lang w:val="en-US" w:eastAsia="zh-CN" w:bidi="ar-SA"/>
        </w:rPr>
        <w:t>部门整体支出绩效情况</w:t>
      </w:r>
    </w:p>
    <w:p>
      <w:pPr>
        <w:keepNext w:val="0"/>
        <w:keepLines w:val="0"/>
        <w:pageBreakBefore w:val="0"/>
        <w:widowControl/>
        <w:suppressLineNumbers w:val="0"/>
        <w:kinsoku/>
        <w:wordWrap/>
        <w:overflowPunct/>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履职及履职效益情况来看,总体效果比较好。从经济性来看，我单位能够按照预算来抓好成本控制，强化勤俭办事的意识,注重节约开支,年度开支控制在财政局规定的范围内:从效率性来看，我单位对所承担的工作能够按照计划的时间把握进度，抓好质量，注重了工作的效率；从有效性来看,各专项工作的分工能够按照制度和目标来抓好落实，注重了专项资全的使用效果；从可持续性来看，后续的政策、相关的配套资金、必要的人员机构要继续保持,管理制度做到与时俱进，相关内容进行了及时补充完善。</w:t>
      </w:r>
    </w:p>
    <w:p>
      <w:pPr>
        <w:widowControl/>
        <w:spacing w:line="520" w:lineRule="exact"/>
        <w:ind w:firstLine="645"/>
        <w:jc w:val="left"/>
        <w:rPr>
          <w:rFonts w:hint="eastAsia" w:ascii="Times New Roman" w:hAnsi="Times New Roman" w:eastAsia="黑体" w:cs="Times New Roman"/>
          <w:snapToGrid w:val="0"/>
          <w:color w:val="000000"/>
          <w:kern w:val="0"/>
          <w:sz w:val="32"/>
          <w:szCs w:val="32"/>
          <w:lang w:val="en-US" w:eastAsia="zh-CN" w:bidi="ar-SA"/>
        </w:rPr>
      </w:pPr>
      <w:r>
        <w:rPr>
          <w:rFonts w:hint="eastAsia" w:ascii="Times New Roman" w:hAnsi="Times New Roman" w:eastAsia="黑体" w:cs="Times New Roman"/>
          <w:snapToGrid w:val="0"/>
          <w:color w:val="000000"/>
          <w:kern w:val="0"/>
          <w:sz w:val="32"/>
          <w:szCs w:val="32"/>
          <w:lang w:val="en-US" w:eastAsia="zh-CN" w:bidi="ar-SA"/>
        </w:rPr>
        <w:t>七、存在的问题及原因分析</w:t>
      </w:r>
    </w:p>
    <w:p>
      <w:pPr>
        <w:widowControl/>
        <w:spacing w:line="520" w:lineRule="exact"/>
        <w:ind w:firstLine="640" w:firstLineChars="200"/>
        <w:jc w:val="left"/>
        <w:rPr>
          <w:rFonts w:eastAsia="仿宋_GB2312"/>
          <w:sz w:val="32"/>
          <w:szCs w:val="32"/>
        </w:rPr>
      </w:pPr>
      <w:r>
        <w:rPr>
          <w:rFonts w:hint="default" w:ascii="Times New Roman" w:hAnsi="Times New Roman" w:eastAsia="仿宋_GB2312" w:cs="Times New Roman"/>
          <w:color w:val="000000"/>
          <w:kern w:val="2"/>
          <w:sz w:val="32"/>
          <w:szCs w:val="32"/>
          <w:lang w:val="en-US" w:eastAsia="zh-CN" w:bidi="ar-SA"/>
        </w:rPr>
        <w:t>年中预算追加比例较大，向上争取的项目当年执行率有待进一步提高。向上争取资金存在金额上的不确定和时间上及时性的不确定，导致一定程度的影响项目工作的计划和开展，也一定程度的影响了项目支出的预算执行进度。</w:t>
      </w:r>
    </w:p>
    <w:p>
      <w:pPr>
        <w:widowControl/>
        <w:numPr>
          <w:ilvl w:val="0"/>
          <w:numId w:val="5"/>
        </w:numPr>
        <w:spacing w:line="520" w:lineRule="exact"/>
        <w:ind w:firstLine="640" w:firstLineChars="200"/>
        <w:jc w:val="left"/>
        <w:rPr>
          <w:rFonts w:eastAsia="黑体"/>
          <w:sz w:val="32"/>
          <w:szCs w:val="32"/>
        </w:rPr>
      </w:pPr>
      <w:r>
        <w:rPr>
          <w:rFonts w:eastAsia="黑体"/>
          <w:sz w:val="32"/>
          <w:szCs w:val="32"/>
        </w:rPr>
        <w:t>下一步改进措施</w:t>
      </w:r>
    </w:p>
    <w:p>
      <w:pPr>
        <w:widowControl/>
        <w:numPr>
          <w:ilvl w:val="0"/>
          <w:numId w:val="0"/>
        </w:numPr>
        <w:spacing w:line="520" w:lineRule="exact"/>
        <w:jc w:val="left"/>
        <w:rPr>
          <w:rFonts w:eastAsia="黑体"/>
          <w:sz w:val="32"/>
          <w:szCs w:val="32"/>
        </w:rPr>
      </w:pPr>
      <w:r>
        <w:rPr>
          <w:rFonts w:hint="default" w:ascii="Times New Roman" w:hAnsi="Times New Roman" w:eastAsia="仿宋_GB2312" w:cs="Times New Roman"/>
          <w:color w:val="000000"/>
          <w:kern w:val="2"/>
          <w:sz w:val="32"/>
          <w:szCs w:val="32"/>
          <w:lang w:val="en-US" w:eastAsia="zh-CN" w:bidi="ar-SA"/>
        </w:rPr>
        <w:t>提前谋划，加强沟通，</w:t>
      </w:r>
      <w:r>
        <w:rPr>
          <w:rFonts w:hint="eastAsia" w:ascii="Times New Roman" w:hAnsi="Times New Roman" w:eastAsia="仿宋_GB2312" w:cs="Times New Roman"/>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SA"/>
        </w:rPr>
        <w:t>是加快项目工作的实施，按设定的时限完成项目工作。</w:t>
      </w:r>
      <w:r>
        <w:rPr>
          <w:rFonts w:hint="eastAsia" w:ascii="Times New Roman" w:hAnsi="Times New Roman" w:eastAsia="仿宋_GB2312" w:cs="Times New Roman"/>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SA"/>
        </w:rPr>
        <w:t>是按季度进行预算执行进度分析和通报，督促加快项目实施进度。</w:t>
      </w:r>
      <w:r>
        <w:rPr>
          <w:rFonts w:hint="eastAsia" w:ascii="Times New Roman" w:hAnsi="Times New Roman" w:eastAsia="仿宋_GB2312" w:cs="Times New Roman"/>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SA"/>
        </w:rPr>
        <w:t>是合理设定合同支付条款，分段支付，加快预算执行，提高预算执行率。</w:t>
      </w:r>
    </w:p>
    <w:p>
      <w:pPr>
        <w:widowControl/>
        <w:numPr>
          <w:ilvl w:val="0"/>
          <w:numId w:val="5"/>
        </w:numPr>
        <w:spacing w:line="520" w:lineRule="exact"/>
        <w:ind w:left="0" w:leftChars="0" w:firstLine="640" w:firstLineChars="200"/>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pPr>
        <w:pStyle w:val="3"/>
        <w:keepNext w:val="0"/>
        <w:keepLines w:val="0"/>
        <w:pageBreakBefore w:val="0"/>
        <w:wordWrap/>
        <w:topLinePunct w:val="0"/>
        <w:bidi w:val="0"/>
        <w:spacing w:line="560" w:lineRule="exact"/>
      </w:pPr>
      <w:r>
        <w:rPr>
          <w:rFonts w:hint="default" w:ascii="Times New Roman" w:hAnsi="Times New Roman" w:eastAsia="仿宋_GB2312" w:cs="Times New Roman"/>
          <w:color w:val="000000"/>
          <w:kern w:val="2"/>
          <w:sz w:val="32"/>
          <w:szCs w:val="32"/>
          <w:lang w:val="en-US" w:eastAsia="zh-CN" w:bidi="ar-SA"/>
        </w:rPr>
        <w:t>经自评，</w:t>
      </w:r>
      <w:r>
        <w:rPr>
          <w:rFonts w:hint="eastAsia" w:ascii="Times New Roman" w:hAnsi="Times New Roman" w:cs="Times New Roman"/>
          <w:color w:val="000000"/>
          <w:kern w:val="2"/>
          <w:sz w:val="32"/>
          <w:szCs w:val="32"/>
          <w:lang w:val="en-US" w:eastAsia="zh-CN" w:bidi="ar-SA"/>
        </w:rPr>
        <w:t>炎陵县</w:t>
      </w:r>
      <w:r>
        <w:rPr>
          <w:rFonts w:hint="eastAsia" w:cs="Times New Roman"/>
          <w:color w:val="000000"/>
          <w:kern w:val="2"/>
          <w:sz w:val="32"/>
          <w:szCs w:val="32"/>
          <w:lang w:val="en-US" w:eastAsia="zh-CN" w:bidi="ar-SA"/>
        </w:rPr>
        <w:t>炎帝陵管理局</w:t>
      </w:r>
      <w:r>
        <w:rPr>
          <w:rFonts w:hint="eastAsia" w:ascii="Times New Roman" w:hAnsi="Times New Roman" w:cs="Times New Roman"/>
          <w:color w:val="000000"/>
          <w:kern w:val="2"/>
          <w:sz w:val="32"/>
          <w:szCs w:val="32"/>
          <w:lang w:val="en-US" w:eastAsia="zh-CN" w:bidi="ar-SA"/>
        </w:rPr>
        <w:t>202</w:t>
      </w:r>
      <w:r>
        <w:rPr>
          <w:rFonts w:hint="eastAsia" w:cs="Times New Roman"/>
          <w:color w:val="000000"/>
          <w:kern w:val="2"/>
          <w:sz w:val="32"/>
          <w:szCs w:val="32"/>
          <w:lang w:val="en-US" w:eastAsia="zh-CN" w:bidi="ar-SA"/>
        </w:rPr>
        <w:t>4</w:t>
      </w:r>
      <w:r>
        <w:rPr>
          <w:rFonts w:hint="eastAsia" w:ascii="Times New Roman" w:hAnsi="Times New Roman" w:cs="Times New Roman"/>
          <w:color w:val="000000"/>
          <w:kern w:val="2"/>
          <w:sz w:val="32"/>
          <w:szCs w:val="32"/>
          <w:lang w:val="en-US" w:eastAsia="zh-CN" w:bidi="ar-SA"/>
        </w:rPr>
        <w:t>年部门整体支出绩效</w:t>
      </w:r>
      <w:r>
        <w:rPr>
          <w:rFonts w:hint="default" w:ascii="Times New Roman" w:hAnsi="Times New Roman" w:eastAsia="仿宋_GB2312" w:cs="Times New Roman"/>
          <w:color w:val="000000"/>
          <w:kern w:val="2"/>
          <w:sz w:val="32"/>
          <w:szCs w:val="32"/>
          <w:lang w:val="en-US" w:eastAsia="zh-CN" w:bidi="ar-SA"/>
        </w:rPr>
        <w:t>自评得分为</w:t>
      </w:r>
      <w:r>
        <w:rPr>
          <w:rFonts w:hint="eastAsia" w:cs="Times New Roman"/>
          <w:color w:val="000000"/>
          <w:kern w:val="2"/>
          <w:sz w:val="32"/>
          <w:szCs w:val="32"/>
          <w:lang w:val="en-US" w:eastAsia="zh-CN" w:bidi="ar-SA"/>
        </w:rPr>
        <w:t>97</w:t>
      </w:r>
      <w:r>
        <w:rPr>
          <w:rFonts w:hint="default" w:ascii="Times New Roman" w:hAnsi="Times New Roman" w:eastAsia="仿宋_GB2312" w:cs="Times New Roman"/>
          <w:color w:val="000000"/>
          <w:kern w:val="2"/>
          <w:sz w:val="32"/>
          <w:szCs w:val="32"/>
          <w:lang w:val="en-US" w:eastAsia="zh-CN" w:bidi="ar-SA"/>
        </w:rPr>
        <w:t>分，自评结果为“</w:t>
      </w:r>
      <w:r>
        <w:rPr>
          <w:rFonts w:hint="eastAsia" w:cs="Times New Roman"/>
          <w:color w:val="000000"/>
          <w:kern w:val="2"/>
          <w:sz w:val="32"/>
          <w:szCs w:val="32"/>
          <w:lang w:val="en-US" w:eastAsia="zh-CN" w:bidi="ar-SA"/>
        </w:rPr>
        <w:t>优</w:t>
      </w:r>
      <w:r>
        <w:rPr>
          <w:rFonts w:hint="default" w:ascii="Times New Roman" w:hAnsi="Times New Roman" w:eastAsia="仿宋_GB2312" w:cs="Times New Roman"/>
          <w:color w:val="000000"/>
          <w:kern w:val="2"/>
          <w:sz w:val="32"/>
          <w:szCs w:val="32"/>
          <w:lang w:val="en-US" w:eastAsia="zh-CN" w:bidi="ar-SA"/>
        </w:rPr>
        <w:t>”</w:t>
      </w:r>
      <w:r>
        <w:rPr>
          <w:rFonts w:hint="eastAsia" w:ascii="Times New Roman" w:hAnsi="Times New Roman" w:cs="Times New Roman"/>
          <w:color w:val="000000"/>
          <w:kern w:val="2"/>
          <w:sz w:val="32"/>
          <w:szCs w:val="32"/>
          <w:lang w:val="en-US" w:eastAsia="zh-CN" w:bidi="ar-SA"/>
        </w:rPr>
        <w:t>。</w:t>
      </w:r>
    </w:p>
    <w:p>
      <w:pPr>
        <w:widowControl/>
        <w:numPr>
          <w:ilvl w:val="0"/>
          <w:numId w:val="0"/>
        </w:numPr>
        <w:spacing w:line="520" w:lineRule="exact"/>
        <w:ind w:leftChars="200"/>
        <w:jc w:val="left"/>
        <w:rPr>
          <w:rFonts w:eastAsia="黑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BFDFDE95"/>
    <w:multiLevelType w:val="singleLevel"/>
    <w:tmpl w:val="BFDFDE95"/>
    <w:lvl w:ilvl="0" w:tentative="0">
      <w:start w:val="1"/>
      <w:numFmt w:val="chineseCounting"/>
      <w:suff w:val="nothing"/>
      <w:lvlText w:val="（%1）"/>
      <w:lvlJc w:val="left"/>
      <w:rPr>
        <w:rFonts w:hint="eastAsia"/>
      </w:rPr>
    </w:lvl>
  </w:abstractNum>
  <w:abstractNum w:abstractNumId="2">
    <w:nsid w:val="F07B4EEC"/>
    <w:multiLevelType w:val="singleLevel"/>
    <w:tmpl w:val="F07B4EEC"/>
    <w:lvl w:ilvl="0" w:tentative="0">
      <w:start w:val="6"/>
      <w:numFmt w:val="chineseCounting"/>
      <w:suff w:val="nothing"/>
      <w:lvlText w:val="%1、"/>
      <w:lvlJc w:val="left"/>
      <w:rPr>
        <w:rFonts w:hint="eastAsia"/>
      </w:rPr>
    </w:lvl>
  </w:abstractNum>
  <w:abstractNum w:abstractNumId="3">
    <w:nsid w:val="FDC310B5"/>
    <w:multiLevelType w:val="singleLevel"/>
    <w:tmpl w:val="FDC310B5"/>
    <w:lvl w:ilvl="0" w:tentative="0">
      <w:start w:val="1"/>
      <w:numFmt w:val="chineseCounting"/>
      <w:suff w:val="nothing"/>
      <w:lvlText w:val="%1、"/>
      <w:lvlJc w:val="left"/>
      <w:rPr>
        <w:rFonts w:hint="eastAsia"/>
      </w:rPr>
    </w:lvl>
  </w:abstractNum>
  <w:abstractNum w:abstractNumId="4">
    <w:nsid w:val="FFA63160"/>
    <w:multiLevelType w:val="singleLevel"/>
    <w:tmpl w:val="FFA63160"/>
    <w:lvl w:ilvl="0" w:tentative="0">
      <w:start w:val="8"/>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wYjM2OWEwNDQ4ZmQ3Yzg4MmVhMWNlZTIyZTQ4MWMifQ=="/>
  </w:docVars>
  <w:rsids>
    <w:rsidRoot w:val="00000000"/>
    <w:rsid w:val="15BF56EC"/>
    <w:rsid w:val="35CB6416"/>
    <w:rsid w:val="4B4334AB"/>
    <w:rsid w:val="5403276E"/>
    <w:rsid w:val="54C57A37"/>
    <w:rsid w:val="6779581B"/>
    <w:rsid w:val="70AB011F"/>
    <w:rsid w:val="776E88B5"/>
    <w:rsid w:val="AF293E3B"/>
    <w:rsid w:val="BF5DE9CE"/>
    <w:rsid w:val="D37E63C9"/>
    <w:rsid w:val="E3EAF7FB"/>
    <w:rsid w:val="EFE405B6"/>
    <w:rsid w:val="FF7B6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880" w:firstLineChars="200"/>
      <w:jc w:val="both"/>
    </w:pPr>
    <w:rPr>
      <w:rFonts w:ascii="Times New Roman" w:hAnsi="Times New Roman" w:eastAsia="仿宋_GB2312" w:cs="Times New Roman"/>
      <w:kern w:val="2"/>
      <w:sz w:val="32"/>
      <w:szCs w:val="24"/>
      <w:lang w:val="en-US" w:eastAsia="zh-CN" w:bidi="ar-SA"/>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99"/>
    <w:pPr>
      <w:ind w:firstLine="420" w:firstLineChars="200"/>
    </w:pPr>
    <w:rPr>
      <w:rFonts w:ascii="Calibri" w:hAnsi="Calibri" w:eastAsia="宋体" w:cs="Times New Roman"/>
      <w:szCs w:val="22"/>
    </w:rPr>
  </w:style>
  <w:style w:type="paragraph" w:customStyle="1" w:styleId="10">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453</Words>
  <Characters>458</Characters>
  <Lines>0</Lines>
  <Paragraphs>0</Paragraphs>
  <TotalTime>5</TotalTime>
  <ScaleCrop>false</ScaleCrop>
  <LinksUpToDate>false</LinksUpToDate>
  <CharactersWithSpaces>458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2024-08-14T02:40:00Z</dcterms:created>
  <dc:creator>mini4use</dc:creator>
  <cp:lastModifiedBy>kylin</cp:lastModifiedBy>
  <cp:lastPrinted>2025-07-30T11:00:04Z</cp:lastPrinted>
  <dcterms:modified xsi:type="dcterms:W3CDTF">2025-07-30T11:00:41Z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4C1DCB72B150997193A880689D281E0C_43</vt:lpwstr>
  </property>
  <property fmtid="{D5CDD505-2E9C-101B-9397-08002B2CF9AE}" pid="4" name="KSOTemplateDocerSaveRecord">
    <vt:lpwstr>eyJoZGlkIjoiZTYwYjM2OWEwNDQ4ZmQ3Yzg4MmVhMWNlZTIyZTQ4MWMiLCJ1c2VySWQiOiI0OTc5MzgwODIifQ==</vt:lpwstr>
  </property>
</Properties>
</file>