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766B2">
      <w:pPr>
        <w:pStyle w:val="6"/>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07515D0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12CEB69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634BE8C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71F3CBAA">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2023年度炎陵县文化旅游广电体育局</w:t>
      </w:r>
    </w:p>
    <w:p w14:paraId="6BB70826">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w:t>
      </w:r>
    </w:p>
    <w:p w14:paraId="7E29921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70AFB006">
      <w:pPr>
        <w:spacing w:line="600" w:lineRule="exact"/>
        <w:jc w:val="center"/>
        <w:rPr>
          <w:rFonts w:eastAsia="楷体_GB2312"/>
          <w:sz w:val="32"/>
          <w:szCs w:val="32"/>
        </w:rPr>
      </w:pPr>
    </w:p>
    <w:p w14:paraId="4E68D1CD">
      <w:pPr>
        <w:spacing w:line="600" w:lineRule="exact"/>
        <w:jc w:val="center"/>
        <w:rPr>
          <w:rFonts w:eastAsia="楷体_GB2312"/>
          <w:sz w:val="32"/>
          <w:szCs w:val="32"/>
        </w:rPr>
      </w:pPr>
    </w:p>
    <w:p w14:paraId="1166FB00">
      <w:pPr>
        <w:spacing w:line="600" w:lineRule="exact"/>
        <w:jc w:val="center"/>
        <w:rPr>
          <w:rFonts w:eastAsia="楷体_GB2312"/>
          <w:sz w:val="32"/>
          <w:szCs w:val="32"/>
        </w:rPr>
      </w:pPr>
    </w:p>
    <w:p w14:paraId="0E223FFE">
      <w:pPr>
        <w:spacing w:line="600" w:lineRule="exact"/>
        <w:jc w:val="center"/>
        <w:rPr>
          <w:rFonts w:eastAsia="楷体_GB2312"/>
          <w:sz w:val="32"/>
          <w:szCs w:val="32"/>
        </w:rPr>
      </w:pPr>
    </w:p>
    <w:p w14:paraId="0E803119">
      <w:pPr>
        <w:spacing w:line="600" w:lineRule="exact"/>
        <w:jc w:val="center"/>
        <w:rPr>
          <w:rFonts w:eastAsia="楷体_GB2312"/>
          <w:sz w:val="32"/>
          <w:szCs w:val="32"/>
        </w:rPr>
      </w:pPr>
    </w:p>
    <w:p w14:paraId="00F1F879">
      <w:pPr>
        <w:spacing w:line="600" w:lineRule="exact"/>
        <w:jc w:val="center"/>
        <w:rPr>
          <w:rFonts w:eastAsia="楷体_GB2312"/>
          <w:sz w:val="32"/>
          <w:szCs w:val="32"/>
        </w:rPr>
      </w:pPr>
    </w:p>
    <w:p w14:paraId="74A7596A">
      <w:pPr>
        <w:spacing w:line="600" w:lineRule="exact"/>
        <w:jc w:val="center"/>
        <w:rPr>
          <w:rFonts w:eastAsia="楷体_GB2312"/>
          <w:sz w:val="32"/>
          <w:szCs w:val="32"/>
        </w:rPr>
      </w:pPr>
    </w:p>
    <w:p w14:paraId="67C05ABD">
      <w:pPr>
        <w:spacing w:line="600" w:lineRule="exact"/>
        <w:jc w:val="center"/>
        <w:rPr>
          <w:rFonts w:eastAsia="楷体_GB2312"/>
          <w:sz w:val="32"/>
          <w:szCs w:val="32"/>
        </w:rPr>
      </w:pPr>
    </w:p>
    <w:p w14:paraId="6867955E">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单位名称（盖章）：炎陵县文化旅游广电体育局</w:t>
      </w:r>
    </w:p>
    <w:p w14:paraId="48307228">
      <w:pPr>
        <w:spacing w:line="600" w:lineRule="exact"/>
        <w:jc w:val="center"/>
        <w:rPr>
          <w:rFonts w:hint="eastAsia" w:ascii="黑体" w:hAnsi="黑体" w:eastAsia="黑体" w:cs="黑体"/>
          <w:sz w:val="36"/>
          <w:szCs w:val="36"/>
          <w:lang w:val="en-US" w:eastAsia="zh-CN"/>
        </w:rPr>
      </w:pPr>
    </w:p>
    <w:p w14:paraId="41E77BF4">
      <w:pPr>
        <w:spacing w:line="600" w:lineRule="exact"/>
        <w:jc w:val="center"/>
        <w:rPr>
          <w:rFonts w:hint="eastAsia" w:ascii="黑体" w:hAnsi="黑体" w:eastAsia="黑体" w:cs="黑体"/>
          <w:sz w:val="36"/>
          <w:szCs w:val="36"/>
          <w:lang w:val="en-US" w:eastAsia="zh-CN"/>
        </w:rPr>
      </w:pPr>
    </w:p>
    <w:p w14:paraId="48215EE1">
      <w:pPr>
        <w:spacing w:line="600" w:lineRule="exact"/>
        <w:jc w:val="center"/>
        <w:rPr>
          <w:rFonts w:hint="eastAsia" w:ascii="黑体" w:hAnsi="黑体" w:eastAsia="黑体" w:cs="黑体"/>
          <w:sz w:val="36"/>
          <w:szCs w:val="36"/>
          <w:lang w:val="en-US" w:eastAsia="zh-CN"/>
        </w:rPr>
      </w:pPr>
    </w:p>
    <w:p w14:paraId="6A8FF965">
      <w:pPr>
        <w:spacing w:line="600" w:lineRule="exact"/>
        <w:jc w:val="center"/>
        <w:rPr>
          <w:rFonts w:hint="eastAsia" w:ascii="黑体" w:hAnsi="黑体" w:eastAsia="黑体" w:cs="黑体"/>
          <w:sz w:val="36"/>
          <w:szCs w:val="36"/>
          <w:lang w:val="en-US" w:eastAsia="zh-CN"/>
        </w:rPr>
      </w:pPr>
    </w:p>
    <w:p w14:paraId="4213BA72">
      <w:pPr>
        <w:spacing w:line="600" w:lineRule="exact"/>
        <w:jc w:val="center"/>
        <w:rPr>
          <w:rFonts w:hint="eastAsia" w:ascii="黑体" w:hAnsi="黑体" w:eastAsia="黑体" w:cs="黑体"/>
          <w:sz w:val="36"/>
          <w:szCs w:val="36"/>
          <w:lang w:val="en-US" w:eastAsia="zh-CN"/>
        </w:rPr>
      </w:pPr>
    </w:p>
    <w:p w14:paraId="1B0FEB86">
      <w:pPr>
        <w:spacing w:line="600" w:lineRule="exact"/>
        <w:jc w:val="center"/>
        <w:rPr>
          <w:rFonts w:hint="eastAsia" w:ascii="仿宋_GB2312" w:hAnsi="仿宋_GB2312" w:eastAsia="仿宋_GB2312" w:cs="仿宋_GB2312"/>
          <w:sz w:val="32"/>
          <w:szCs w:val="32"/>
          <w:lang w:val="en-US" w:eastAsia="zh-CN"/>
        </w:rPr>
      </w:pPr>
    </w:p>
    <w:p w14:paraId="7BA9DD2D">
      <w:pPr>
        <w:rPr>
          <w:rFonts w:eastAsia="楷体_GB2312"/>
          <w:sz w:val="32"/>
          <w:szCs w:val="32"/>
        </w:rPr>
      </w:pPr>
      <w:r>
        <w:rPr>
          <w:rFonts w:hint="eastAsia" w:ascii="仿宋_GB2312" w:hAnsi="仿宋_GB2312" w:eastAsia="仿宋_GB2312" w:cs="仿宋_GB2312"/>
          <w:sz w:val="32"/>
          <w:szCs w:val="32"/>
          <w:lang w:val="en-US" w:eastAsia="zh-CN"/>
        </w:rPr>
        <w:br w:type="page"/>
      </w:r>
    </w:p>
    <w:p w14:paraId="168434E6">
      <w:pPr>
        <w:pStyle w:val="13"/>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782D8BC8">
      <w:pPr>
        <w:pStyle w:val="13"/>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14:paraId="0BD3B89B">
      <w:pPr>
        <w:spacing w:line="600" w:lineRule="exact"/>
        <w:ind w:firstLine="640" w:firstLineChars="200"/>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pP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1．主要职能。县文化旅游广电体育局贯彻落实党中央关于文化和旅游、广播电视、体育、文物工作的方针政策和决策部署，全面落实省委、市委、县委关于文化和旅游、广播电视、体育工作的部署要求，在履行职责过程中坚持和加强党对文化、旅游、广播电视、体育、文物工作的集中统一领导。统筹、推进相关产业融合发展，指导、推进全县文化、旅游、广播电视、体育领域的体制机制创新。组织拟订并实施全县文化旅游广播电视体育文物事业发展规划、政策措施；管理、指导全县性的文化、旅游、广播电视、体育产业发展和监管、事业建设和资源普查、挖掘、保护和利用工作；负责全县文物保护和考古工作。负责全县文化、旅游、广播电视、体育、文物和博物馆等领域的审核审批工作。负责全县文化、旅游、广播电视、体育、文物领域的行政审批、行政复议和行政诉讼应诉工作。承办县委、县人民政府交办的其他事项。</w:t>
      </w:r>
    </w:p>
    <w:p w14:paraId="543017BE">
      <w:pPr>
        <w:spacing w:line="600" w:lineRule="exact"/>
        <w:ind w:firstLine="640" w:firstLineChars="200"/>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pP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 xml:space="preserve">2．机构情况：我单位共有内设股室6个，分别为：办公室、文化股、文物股、旅游股、广电股、体育股。财务未独立的局属事业单位2个：县文化旅游体育中心、县文化市场综合行政执法大队。财务独立的下属事业单位：炎陵县红军标语博物馆、炎陵县图书馆、炎陵县文化馆、炎陵县戏剧传承中心。  </w:t>
      </w:r>
    </w:p>
    <w:p w14:paraId="32C6E5FD">
      <w:pPr>
        <w:spacing w:line="600" w:lineRule="exact"/>
        <w:ind w:firstLine="640" w:firstLineChars="200"/>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pP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3．人员情况，包括当年变动情况及原因。截止2023年12月底，人员编制70人（行政编15人、全额事业编 55人），实有在职70人，文旅广体局25人，图书馆6人，文化馆7人，戏剧传承中心20人，红军标语博物馆12人。</w:t>
      </w:r>
    </w:p>
    <w:p w14:paraId="3551F78D">
      <w:pPr>
        <w:pStyle w:val="13"/>
        <w:widowControl/>
        <w:numPr>
          <w:ilvl w:val="0"/>
          <w:numId w:val="2"/>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14:paraId="418AA12D">
      <w:pPr>
        <w:spacing w:line="600" w:lineRule="exact"/>
        <w:ind w:firstLine="640" w:firstLineChars="200"/>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pPr>
      <w:r>
        <w:rPr>
          <w:rFonts w:hint="eastAsia" w:ascii="仿宋_GB2312" w:hAnsi="仿宋" w:eastAsia="仿宋_GB2312" w:cs="楷体_GB2312"/>
          <w:snapToGrid w:val="0"/>
          <w:color w:val="000000" w:themeColor="text1"/>
          <w:kern w:val="0"/>
          <w:sz w:val="32"/>
          <w:szCs w:val="21"/>
          <w:lang w:val="en-US" w:eastAsia="en-US" w:bidi="ar-SA"/>
          <w14:textFill>
            <w14:solidFill>
              <w14:schemeClr w14:val="tx1"/>
            </w14:solidFill>
          </w14:textFill>
        </w:rPr>
        <w:t>突出群众参与抓好文化事业</w:t>
      </w: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w:t>
      </w:r>
      <w:r>
        <w:rPr>
          <w:rFonts w:hint="eastAsia" w:ascii="仿宋_GB2312" w:hAnsi="仿宋" w:eastAsia="仿宋_GB2312" w:cs="楷体_GB2312"/>
          <w:snapToGrid w:val="0"/>
          <w:color w:val="000000" w:themeColor="text1"/>
          <w:kern w:val="0"/>
          <w:sz w:val="32"/>
          <w:szCs w:val="21"/>
          <w:lang w:val="en-US" w:eastAsia="en-US" w:bidi="ar-SA"/>
          <w14:textFill>
            <w14:solidFill>
              <w14:schemeClr w14:val="tx1"/>
            </w14:solidFill>
          </w14:textFill>
        </w:rPr>
        <w:t>提升乡镇综合文化站和村（社区）综合文化服务中心效能建设</w:t>
      </w: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w:t>
      </w:r>
      <w:r>
        <w:rPr>
          <w:rFonts w:hint="default"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非遗文化保护</w:t>
      </w: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，开展群文活动，文化馆、图书馆、红标馆、文体中心免费开放，“送戏下乡”；做好文物保护工作，做好文物保护单位晋档升级，加强</w:t>
      </w:r>
      <w:r>
        <w:rPr>
          <w:rFonts w:hint="default"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文物安全巡查</w:t>
      </w: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；发展文旅产业，继续巩固炎帝陵国家5A景区成果，</w:t>
      </w:r>
      <w:r>
        <w:rPr>
          <w:rFonts w:hint="default"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稳步拓展全域旅游发展格局</w:t>
      </w: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，加大宣传推广，品牌创建争取有新突破；突出安全播出，规范行业管理；促推全民健身；开展文化市场执法检查，规范文化娱乐市场经营行为。</w:t>
      </w:r>
    </w:p>
    <w:p w14:paraId="45B0FE17">
      <w:pPr>
        <w:pStyle w:val="13"/>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二、支出决算</w:t>
      </w:r>
      <w:r>
        <w:rPr>
          <w:rFonts w:ascii="Times New Roman" w:hAnsi="Times New Roman" w:eastAsia="黑体"/>
          <w:sz w:val="32"/>
          <w:szCs w:val="32"/>
        </w:rPr>
        <w:t>情况</w:t>
      </w:r>
    </w:p>
    <w:p w14:paraId="3FEFB36A">
      <w:pPr>
        <w:spacing w:line="600" w:lineRule="exact"/>
        <w:ind w:firstLine="640" w:firstLineChars="200"/>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pPr>
      <w:bookmarkStart w:id="0" w:name="END_IS_ZERO_07"/>
      <w:bookmarkEnd w:id="0"/>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2024年度支出合计2481.07万元，其中：基本支出2160.8万元，占 87.09%；项目支出320.26万元，占12.91%；上缴上级支出0.00万元，占 0.00%；经营支出0.00 万元，占0.00%；对附属单位补助支出0.00万元，占0.00%。</w:t>
      </w:r>
    </w:p>
    <w:p w14:paraId="2B190699">
      <w:pPr>
        <w:pStyle w:val="13"/>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4CC9E787">
      <w:pPr>
        <w:spacing w:line="600" w:lineRule="exact"/>
        <w:ind w:firstLine="640" w:firstLineChars="200"/>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pP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基本支出2160.8万元，主要是用于炎陵县文化旅游广电体育局系统正常运转的日常支出，以及为完成特定的行政工作任务或事业发展目标而进行的专项业务工作的经费支出。其中：</w:t>
      </w:r>
    </w:p>
    <w:p w14:paraId="6D165302">
      <w:pPr>
        <w:spacing w:line="600" w:lineRule="exact"/>
        <w:ind w:firstLine="640" w:firstLineChars="200"/>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pP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人员经费868.89万元，占基本支出的40.21%，主要包括：基本工资、津贴补贴、奖金、伙食补助费、机关事业单位基本养老保险缴费、职业年金缴费、职工基本医疗保险缴费、其他社会保障缴费、住房公积金、退休费、抚恤金、生活补助、救济费、奖励金、其他对个人和家庭的补助；</w:t>
      </w:r>
    </w:p>
    <w:p w14:paraId="7568ACD1">
      <w:pPr>
        <w:spacing w:line="600" w:lineRule="exact"/>
        <w:ind w:firstLine="640" w:firstLineChars="200"/>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pP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公用经费1291.91万元，占基本支出的59.79%，主要包括：办公费、印刷费、咨询费、水费、电费、邮电费、物业管理费、差旅费、维修（护）费、会议费、培训费、公务接待费、劳务费、委托业务费、工会经费、福利费、公务用车运行维护费、其他商品和服务支出。</w:t>
      </w:r>
    </w:p>
    <w:p w14:paraId="2F6A017D">
      <w:pPr>
        <w:pStyle w:val="13"/>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（二）项目支出情况</w:t>
      </w:r>
    </w:p>
    <w:p w14:paraId="774C121D">
      <w:pPr>
        <w:spacing w:line="600" w:lineRule="exact"/>
        <w:ind w:firstLine="640" w:firstLineChars="200"/>
        <w:rPr>
          <w:rFonts w:hint="eastAsia" w:ascii="仿宋_GB2312" w:hAnsi="仿宋" w:eastAsia="仿宋_GB2312" w:cs="楷体_GB2312"/>
          <w:snapToGrid w:val="0"/>
          <w:color w:val="auto"/>
          <w:kern w:val="0"/>
          <w:sz w:val="32"/>
          <w:szCs w:val="21"/>
          <w:lang w:val="en-US" w:eastAsia="zh-CN" w:bidi="ar-SA"/>
        </w:rPr>
      </w:pPr>
      <w:r>
        <w:rPr>
          <w:rFonts w:hint="eastAsia" w:ascii="仿宋_GB2312" w:hAnsi="仿宋" w:eastAsia="仿宋_GB2312" w:cs="楷体_GB2312"/>
          <w:snapToGrid w:val="0"/>
          <w:color w:val="auto"/>
          <w:kern w:val="0"/>
          <w:sz w:val="32"/>
          <w:szCs w:val="21"/>
          <w:lang w:val="en-US" w:eastAsia="zh-CN" w:bidi="ar-SA"/>
        </w:rPr>
        <w:t>项目支出320.26万元，主要是完成特定的行政工作任务或事业发展目标，用于专项业务工作的经费支出。主要是：炎陵县文旅广体局70万，中共酃县县委机关旧址修缮、第四次文物普查等项目；炎陵县文化馆98.56万，非物质文化遗产保护、炎帝陵祭典、送戏下乡等项目；炎陵县红军标语博物馆151.71万，红色育人体系项目、红军标语修复、红标馆围墙维修等项目。</w:t>
      </w:r>
    </w:p>
    <w:p w14:paraId="59B3CBF8">
      <w:pPr>
        <w:pStyle w:val="13"/>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政府性基金预算支出情况</w:t>
      </w:r>
    </w:p>
    <w:p w14:paraId="53DC27DB">
      <w:pPr>
        <w:spacing w:line="600" w:lineRule="exact"/>
        <w:ind w:firstLine="640" w:firstLineChars="200"/>
        <w:rPr>
          <w:rFonts w:hint="eastAsia" w:ascii="仿宋_GB2312" w:hAnsi="仿宋" w:eastAsia="仿宋_GB2312" w:cs="楷体_GB2312"/>
          <w:snapToGrid w:val="0"/>
          <w:color w:val="auto"/>
          <w:kern w:val="0"/>
          <w:sz w:val="32"/>
          <w:szCs w:val="21"/>
          <w:lang w:val="en-US" w:eastAsia="zh-CN" w:bidi="ar-SA"/>
        </w:rPr>
      </w:pPr>
      <w:r>
        <w:rPr>
          <w:rFonts w:hint="eastAsia" w:ascii="仿宋_GB2312" w:hAnsi="仿宋" w:eastAsia="仿宋_GB2312" w:cs="楷体_GB2312"/>
          <w:snapToGrid w:val="0"/>
          <w:color w:val="auto"/>
          <w:kern w:val="0"/>
          <w:sz w:val="32"/>
          <w:szCs w:val="21"/>
          <w:lang w:val="en-US" w:eastAsia="zh-CN" w:bidi="ar-SA"/>
        </w:rPr>
        <w:t>2024年度政府性基金预算财政拨款收入129.91万元；年初结转和结余0万元；支出129.91万元，其中基本支出129.91万元，项目支出0万元；年末结转和结余0万元。具体情况如下：</w:t>
      </w:r>
      <w:bookmarkStart w:id="1" w:name="END_PAY_ZFXJJZC"/>
      <w:bookmarkEnd w:id="1"/>
      <w:bookmarkStart w:id="2" w:name="END_PAY_ZFXJJZC_AMT"/>
      <w:bookmarkEnd w:id="2"/>
      <w:bookmarkStart w:id="3" w:name="DIS_MARK_PAY_ZFXJJZC"/>
      <w:bookmarkEnd w:id="3"/>
      <w:bookmarkStart w:id="4" w:name="START_PAY_ZFXJJZC"/>
      <w:bookmarkEnd w:id="4"/>
    </w:p>
    <w:p w14:paraId="5FF9B483">
      <w:pPr>
        <w:spacing w:line="600" w:lineRule="exact"/>
        <w:ind w:firstLine="640" w:firstLineChars="200"/>
        <w:rPr>
          <w:rFonts w:hint="eastAsia" w:ascii="仿宋_GB2312" w:hAnsi="仿宋" w:eastAsia="仿宋_GB2312" w:cs="楷体_GB2312"/>
          <w:snapToGrid w:val="0"/>
          <w:color w:val="auto"/>
          <w:kern w:val="0"/>
          <w:sz w:val="32"/>
          <w:szCs w:val="21"/>
          <w:lang w:val="en-US" w:eastAsia="zh-CN" w:bidi="ar-SA"/>
        </w:rPr>
      </w:pPr>
      <w:bookmarkStart w:id="5" w:name="_GoBack"/>
      <w:r>
        <w:rPr>
          <w:rFonts w:hint="eastAsia" w:ascii="仿宋_GB2312" w:hAnsi="仿宋" w:eastAsia="仿宋_GB2312" w:cs="楷体_GB2312"/>
          <w:snapToGrid w:val="0"/>
          <w:color w:val="auto"/>
          <w:kern w:val="0"/>
          <w:sz w:val="32"/>
          <w:szCs w:val="21"/>
          <w:lang w:val="en-US" w:eastAsia="zh-CN" w:bidi="ar-SA"/>
        </w:rPr>
        <w:t>1、城乡社区支出（类）国有土地使用权出让收入安排的支出（款）农村基础设施建设支出（项）。</w:t>
      </w:r>
    </w:p>
    <w:p w14:paraId="484595B6">
      <w:pPr>
        <w:spacing w:line="600" w:lineRule="exact"/>
        <w:ind w:firstLine="640" w:firstLineChars="200"/>
        <w:rPr>
          <w:rFonts w:hint="eastAsia" w:ascii="仿宋_GB2312" w:hAnsi="仿宋" w:eastAsia="仿宋_GB2312" w:cs="楷体_GB2312"/>
          <w:snapToGrid w:val="0"/>
          <w:color w:val="auto"/>
          <w:kern w:val="0"/>
          <w:sz w:val="32"/>
          <w:szCs w:val="21"/>
          <w:lang w:val="en-US" w:eastAsia="zh-CN" w:bidi="ar-SA"/>
        </w:rPr>
      </w:pPr>
      <w:r>
        <w:rPr>
          <w:rFonts w:hint="eastAsia" w:ascii="仿宋_GB2312" w:hAnsi="仿宋" w:eastAsia="仿宋_GB2312" w:cs="楷体_GB2312"/>
          <w:snapToGrid w:val="0"/>
          <w:color w:val="auto"/>
          <w:kern w:val="0"/>
          <w:sz w:val="32"/>
          <w:szCs w:val="21"/>
          <w:lang w:val="en-US" w:eastAsia="zh-CN" w:bidi="ar-SA"/>
        </w:rPr>
        <w:t>年初预算为0万元，支出决算为45.95万元，无法计算完成比率，决算数大于年初预算数的主要原因是：炎陵县文化旅游广电体育局（本级）追加45.95万。</w:t>
      </w:r>
    </w:p>
    <w:p w14:paraId="6FCCBD06">
      <w:pPr>
        <w:spacing w:line="600" w:lineRule="exact"/>
        <w:ind w:firstLine="640" w:firstLineChars="200"/>
        <w:rPr>
          <w:rFonts w:hint="eastAsia" w:ascii="仿宋_GB2312" w:hAnsi="仿宋" w:eastAsia="仿宋_GB2312" w:cs="楷体_GB2312"/>
          <w:snapToGrid w:val="0"/>
          <w:color w:val="auto"/>
          <w:kern w:val="0"/>
          <w:sz w:val="32"/>
          <w:szCs w:val="21"/>
          <w:lang w:val="en-US" w:eastAsia="zh-CN" w:bidi="ar-SA"/>
        </w:rPr>
      </w:pPr>
      <w:r>
        <w:rPr>
          <w:rFonts w:hint="eastAsia" w:ascii="仿宋_GB2312" w:hAnsi="仿宋" w:eastAsia="仿宋_GB2312" w:cs="楷体_GB2312"/>
          <w:snapToGrid w:val="0"/>
          <w:color w:val="auto"/>
          <w:kern w:val="0"/>
          <w:sz w:val="32"/>
          <w:szCs w:val="21"/>
          <w:lang w:val="en-US" w:eastAsia="zh-CN" w:bidi="ar-SA"/>
        </w:rPr>
        <w:t>2、其他支出（类）彩票公益金安排的支出（款）用于体育事业的彩票公益金支出（项）。</w:t>
      </w:r>
    </w:p>
    <w:p w14:paraId="5C7401D6">
      <w:pPr>
        <w:spacing w:line="600" w:lineRule="exact"/>
        <w:ind w:firstLine="640" w:firstLineChars="200"/>
        <w:rPr>
          <w:rFonts w:hint="eastAsia" w:ascii="仿宋_GB2312" w:hAnsi="仿宋" w:eastAsia="仿宋_GB2312" w:cs="楷体_GB2312"/>
          <w:snapToGrid w:val="0"/>
          <w:color w:val="auto"/>
          <w:kern w:val="0"/>
          <w:sz w:val="32"/>
          <w:szCs w:val="21"/>
          <w:lang w:val="en-US" w:eastAsia="zh-CN" w:bidi="ar-SA"/>
        </w:rPr>
      </w:pPr>
      <w:r>
        <w:rPr>
          <w:rFonts w:hint="eastAsia" w:ascii="仿宋_GB2312" w:hAnsi="仿宋" w:eastAsia="仿宋_GB2312" w:cs="楷体_GB2312"/>
          <w:snapToGrid w:val="0"/>
          <w:color w:val="auto"/>
          <w:kern w:val="0"/>
          <w:sz w:val="32"/>
          <w:szCs w:val="21"/>
          <w:lang w:val="en-US" w:eastAsia="zh-CN" w:bidi="ar-SA"/>
        </w:rPr>
        <w:t>年初预算为0万元，支出决算为64.44万元，无法计算完成比率，决算数大于年初预算数的主要原因是：炎陵县文化旅游广电体育局（本级)追64.44万元。</w:t>
      </w:r>
    </w:p>
    <w:p w14:paraId="1A626CD1">
      <w:pPr>
        <w:spacing w:line="600" w:lineRule="exact"/>
        <w:ind w:firstLine="640" w:firstLineChars="200"/>
        <w:rPr>
          <w:rFonts w:hint="eastAsia" w:ascii="仿宋_GB2312" w:hAnsi="仿宋" w:eastAsia="仿宋_GB2312" w:cs="楷体_GB2312"/>
          <w:snapToGrid w:val="0"/>
          <w:color w:val="auto"/>
          <w:kern w:val="0"/>
          <w:sz w:val="32"/>
          <w:szCs w:val="21"/>
          <w:lang w:val="en-US" w:eastAsia="zh-CN" w:bidi="ar-SA"/>
        </w:rPr>
      </w:pPr>
      <w:r>
        <w:rPr>
          <w:rFonts w:hint="eastAsia" w:ascii="仿宋_GB2312" w:hAnsi="仿宋" w:eastAsia="仿宋_GB2312" w:cs="楷体_GB2312"/>
          <w:snapToGrid w:val="0"/>
          <w:color w:val="auto"/>
          <w:kern w:val="0"/>
          <w:sz w:val="32"/>
          <w:szCs w:val="21"/>
          <w:lang w:val="en-US" w:eastAsia="zh-CN" w:bidi="ar-SA"/>
        </w:rPr>
        <w:t>3、其他支出（类）彩票公益金安排的支出（款）用于其他社会公益事业的彩票公益金支出（项）。</w:t>
      </w:r>
    </w:p>
    <w:p w14:paraId="153DDAAC">
      <w:pPr>
        <w:spacing w:line="600" w:lineRule="exact"/>
        <w:ind w:firstLine="640" w:firstLineChars="200"/>
        <w:rPr>
          <w:rFonts w:hint="eastAsia" w:ascii="仿宋_GB2312" w:hAnsi="仿宋" w:eastAsia="仿宋_GB2312" w:cs="楷体_GB2312"/>
          <w:snapToGrid w:val="0"/>
          <w:color w:val="auto"/>
          <w:kern w:val="0"/>
          <w:sz w:val="32"/>
          <w:szCs w:val="21"/>
          <w:lang w:val="en-US" w:eastAsia="zh-CN" w:bidi="ar-SA"/>
        </w:rPr>
      </w:pPr>
      <w:r>
        <w:rPr>
          <w:rFonts w:hint="eastAsia" w:ascii="仿宋_GB2312" w:hAnsi="仿宋" w:eastAsia="仿宋_GB2312" w:cs="楷体_GB2312"/>
          <w:snapToGrid w:val="0"/>
          <w:color w:val="auto"/>
          <w:kern w:val="0"/>
          <w:sz w:val="32"/>
          <w:szCs w:val="21"/>
          <w:lang w:val="en-US" w:eastAsia="zh-CN" w:bidi="ar-SA"/>
        </w:rPr>
        <w:t>年初预算为0万元，支出决算为19.53万元，无法计算完成比率，决算数大于年初预算数的主要原因是：炎陵县文化旅游广电体育局（本级）追加19.53万元。</w:t>
      </w:r>
    </w:p>
    <w:bookmarkEnd w:id="5"/>
    <w:p w14:paraId="6D86044D">
      <w:pPr>
        <w:pStyle w:val="13"/>
        <w:widowControl/>
        <w:spacing w:line="520" w:lineRule="exact"/>
        <w:ind w:left="640" w:firstLine="0" w:firstLineChars="0"/>
        <w:jc w:val="left"/>
        <w:rPr>
          <w:rFonts w:hint="eastAsia" w:ascii="Times New Roman" w:hAnsi="Times New Roman" w:eastAsia="黑体"/>
          <w:sz w:val="32"/>
          <w:szCs w:val="32"/>
          <w:lang w:val="en-US" w:eastAsia="zh-CN"/>
        </w:rPr>
      </w:pPr>
      <w:r>
        <w:rPr>
          <w:rFonts w:hint="eastAsia" w:ascii="Times New Roman" w:hAnsi="Times New Roman" w:eastAsia="黑体"/>
          <w:sz w:val="32"/>
          <w:szCs w:val="32"/>
        </w:rPr>
        <w:t>四、</w:t>
      </w:r>
      <w:r>
        <w:rPr>
          <w:rFonts w:hint="eastAsia" w:ascii="Times New Roman" w:hAnsi="Times New Roman" w:eastAsia="黑体"/>
          <w:sz w:val="32"/>
          <w:szCs w:val="32"/>
          <w:lang w:val="en-US" w:eastAsia="zh-CN"/>
        </w:rPr>
        <w:t>国有资本经营预算支出情况</w:t>
      </w:r>
    </w:p>
    <w:p w14:paraId="748E495D">
      <w:pPr>
        <w:pStyle w:val="13"/>
        <w:widowControl/>
        <w:spacing w:line="520" w:lineRule="exact"/>
        <w:ind w:left="640" w:firstLine="0" w:firstLineChars="0"/>
        <w:jc w:val="left"/>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本年度无国有资本经营预算支出。</w:t>
      </w:r>
    </w:p>
    <w:p w14:paraId="1A7DEA9E">
      <w:pPr>
        <w:pStyle w:val="13"/>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五、</w:t>
      </w:r>
      <w:r>
        <w:rPr>
          <w:rFonts w:ascii="Times New Roman" w:hAnsi="Times New Roman" w:eastAsia="黑体"/>
          <w:sz w:val="32"/>
          <w:szCs w:val="32"/>
        </w:rPr>
        <w:t>社会保险基金预算支出情况</w:t>
      </w:r>
    </w:p>
    <w:p w14:paraId="46ADD65C">
      <w:pPr>
        <w:pStyle w:val="13"/>
        <w:widowControl/>
        <w:spacing w:line="520" w:lineRule="exact"/>
        <w:ind w:left="640" w:firstLine="0" w:firstLineChars="0"/>
        <w:jc w:val="left"/>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zh-CN" w:bidi="ar-SA"/>
        </w:rPr>
        <w:t>本年度无社会保险基金预算支出。</w:t>
      </w:r>
    </w:p>
    <w:p w14:paraId="1A9BF76A">
      <w:pPr>
        <w:widowControl/>
        <w:spacing w:line="520" w:lineRule="exact"/>
        <w:ind w:firstLine="645"/>
        <w:jc w:val="left"/>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14:paraId="6860BFE0">
      <w:pPr>
        <w:pStyle w:val="7"/>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 w:cs="Times New Roman"/>
          <w:color w:val="auto"/>
          <w:sz w:val="32"/>
          <w:szCs w:val="32"/>
          <w:lang w:eastAsia="zh-CN"/>
        </w:rPr>
      </w:pPr>
      <w:r>
        <w:rPr>
          <w:rFonts w:hint="default" w:ascii="Times New Roman" w:hAnsi="Times New Roman" w:eastAsia="楷体" w:cs="Times New Roman"/>
          <w:color w:val="auto"/>
          <w:kern w:val="2"/>
          <w:sz w:val="32"/>
          <w:szCs w:val="32"/>
          <w:lang w:val="en-US" w:eastAsia="zh-CN" w:bidi="ar-SA"/>
        </w:rPr>
        <w:t>（一）</w:t>
      </w:r>
      <w:r>
        <w:rPr>
          <w:rFonts w:hint="default" w:ascii="Times New Roman" w:hAnsi="Times New Roman" w:eastAsia="楷体" w:cs="Times New Roman"/>
          <w:color w:val="auto"/>
          <w:sz w:val="32"/>
          <w:szCs w:val="32"/>
          <w:lang w:eastAsia="zh-CN"/>
        </w:rPr>
        <w:t>狠抓基础、深度惠民，提升公共文化服务品质</w:t>
      </w:r>
      <w:r>
        <w:rPr>
          <w:rFonts w:hint="default" w:ascii="Times New Roman" w:hAnsi="Times New Roman" w:eastAsia="楷体" w:cs="Times New Roman"/>
          <w:color w:val="auto"/>
          <w:sz w:val="32"/>
          <w:szCs w:val="32"/>
          <w:lang w:val="en-US" w:eastAsia="zh-CN"/>
        </w:rPr>
        <w:t xml:space="preserve"> </w:t>
      </w:r>
    </w:p>
    <w:p w14:paraId="2B852CEE">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楷体" w:cs="Times New Roman"/>
          <w:color w:val="auto"/>
          <w:sz w:val="32"/>
          <w:szCs w:val="32"/>
          <w:lang w:eastAsia="zh-CN"/>
        </w:rPr>
      </w:pPr>
      <w:r>
        <w:rPr>
          <w:rFonts w:hint="default" w:ascii="Times New Roman" w:hAnsi="Times New Roman" w:eastAsia="仿宋" w:cs="Times New Roman"/>
          <w:b/>
          <w:bCs/>
          <w:color w:val="auto"/>
          <w:sz w:val="32"/>
          <w:szCs w:val="32"/>
          <w:lang w:val="en-US" w:eastAsia="zh-CN"/>
        </w:rPr>
        <w:t>一是</w:t>
      </w:r>
      <w:r>
        <w:rPr>
          <w:rFonts w:hint="default" w:ascii="Times New Roman" w:hAnsi="Times New Roman" w:eastAsia="仿宋" w:cs="Times New Roman"/>
          <w:b/>
          <w:bCs/>
          <w:color w:val="auto"/>
          <w:sz w:val="32"/>
          <w:szCs w:val="32"/>
        </w:rPr>
        <w:t>公共文化服务体系</w:t>
      </w:r>
      <w:r>
        <w:rPr>
          <w:rFonts w:hint="default" w:ascii="Times New Roman" w:hAnsi="Times New Roman" w:eastAsia="仿宋" w:cs="Times New Roman"/>
          <w:b/>
          <w:bCs/>
          <w:color w:val="auto"/>
          <w:sz w:val="32"/>
          <w:szCs w:val="32"/>
          <w:lang w:eastAsia="zh-CN"/>
        </w:rPr>
        <w:t>创新发展</w:t>
      </w:r>
      <w:r>
        <w:rPr>
          <w:rFonts w:hint="default" w:ascii="Times New Roman" w:hAnsi="Times New Roman" w:eastAsia="仿宋" w:cs="Times New Roman"/>
          <w:b/>
          <w:bCs/>
          <w:color w:val="auto"/>
          <w:sz w:val="32"/>
          <w:szCs w:val="32"/>
        </w:rPr>
        <w:t>，文化服务</w:t>
      </w:r>
      <w:r>
        <w:rPr>
          <w:rFonts w:hint="default" w:ascii="Times New Roman" w:hAnsi="Times New Roman" w:eastAsia="仿宋" w:cs="Times New Roman"/>
          <w:b/>
          <w:bCs/>
          <w:color w:val="auto"/>
          <w:sz w:val="32"/>
          <w:szCs w:val="32"/>
          <w:lang w:eastAsia="zh-CN"/>
        </w:rPr>
        <w:t>度</w:t>
      </w:r>
      <w:r>
        <w:rPr>
          <w:rFonts w:hint="default" w:ascii="Times New Roman" w:hAnsi="Times New Roman" w:eastAsia="仿宋" w:cs="Times New Roman"/>
          <w:b/>
          <w:bCs/>
          <w:color w:val="auto"/>
          <w:sz w:val="32"/>
          <w:szCs w:val="32"/>
          <w:lang w:val="en-US" w:eastAsia="zh-CN"/>
        </w:rPr>
        <w:t>不断提高</w:t>
      </w:r>
      <w:r>
        <w:rPr>
          <w:rFonts w:hint="default" w:ascii="Times New Roman" w:hAnsi="Times New Roman" w:eastAsia="仿宋" w:cs="Times New Roman"/>
          <w:b/>
          <w:bCs/>
          <w:color w:val="auto"/>
          <w:sz w:val="32"/>
          <w:szCs w:val="32"/>
          <w:lang w:eastAsia="zh-CN"/>
        </w:rPr>
        <w:t>。</w:t>
      </w:r>
      <w:r>
        <w:rPr>
          <w:rFonts w:hint="default" w:ascii="Times New Roman" w:hAnsi="Times New Roman" w:eastAsia="仿宋_GB2312" w:cs="Times New Roman"/>
          <w:color w:val="auto"/>
          <w:sz w:val="32"/>
          <w:szCs w:val="32"/>
          <w:lang w:eastAsia="zh-CN"/>
        </w:rPr>
        <w:t>通过开展社会化合作方式建设多阵地文化服务点，延伸文化服务触角，拓宽公共服务领域，</w:t>
      </w:r>
      <w:r>
        <w:rPr>
          <w:rFonts w:hint="default" w:ascii="Times New Roman" w:hAnsi="Times New Roman" w:eastAsia="仿宋_GB2312" w:cs="Times New Roman"/>
          <w:color w:val="auto"/>
          <w:sz w:val="32"/>
          <w:szCs w:val="32"/>
        </w:rPr>
        <w:t>完善基层文化</w:t>
      </w:r>
      <w:r>
        <w:rPr>
          <w:rFonts w:hint="default" w:ascii="Times New Roman" w:hAnsi="Times New Roman" w:eastAsia="仿宋_GB2312" w:cs="Times New Roman"/>
          <w:color w:val="auto"/>
          <w:sz w:val="32"/>
          <w:szCs w:val="32"/>
          <w:lang w:eastAsia="zh-CN"/>
        </w:rPr>
        <w:t>服务体系</w:t>
      </w:r>
      <w:r>
        <w:rPr>
          <w:rFonts w:hint="default" w:ascii="Times New Roman" w:hAnsi="Times New Roman" w:eastAsia="仿宋_GB2312" w:cs="Times New Roman"/>
          <w:color w:val="auto"/>
          <w:sz w:val="32"/>
          <w:szCs w:val="32"/>
        </w:rPr>
        <w:t>建设</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完成创排现代花鼓小戏《饭碗》、</w:t>
      </w:r>
      <w:r>
        <w:rPr>
          <w:rFonts w:hint="default" w:ascii="Times New Roman" w:hAnsi="Times New Roman" w:eastAsia="仿宋_GB2312" w:cs="Times New Roman"/>
          <w:color w:val="auto"/>
          <w:sz w:val="32"/>
          <w:szCs w:val="32"/>
          <w:lang w:val="en-US" w:eastAsia="zh-CN"/>
        </w:rPr>
        <w:t>创新编排森林防火小品《警示录》、</w:t>
      </w:r>
      <w:r>
        <w:rPr>
          <w:rFonts w:hint="default" w:ascii="Times New Roman" w:hAnsi="Times New Roman" w:eastAsia="仿宋_GB2312" w:cs="Times New Roman"/>
          <w:color w:val="auto"/>
          <w:sz w:val="32"/>
          <w:lang w:val="en-US" w:eastAsia="zh-CN"/>
        </w:rPr>
        <w:t>交通法制宣传小品《这就是事》</w:t>
      </w:r>
      <w:r>
        <w:rPr>
          <w:rFonts w:hint="default" w:ascii="Times New Roman" w:hAnsi="Times New Roman" w:eastAsia="仿宋_GB2312" w:cs="Times New Roman"/>
          <w:color w:val="auto"/>
          <w:sz w:val="32"/>
          <w:szCs w:val="32"/>
          <w:lang w:val="en-US" w:eastAsia="zh-CN"/>
        </w:rPr>
        <w:t>、红色短剧《亚秋》等作品，得到群众的一致好评。</w:t>
      </w:r>
      <w:r>
        <w:rPr>
          <w:rFonts w:hint="default" w:ascii="Times New Roman" w:hAnsi="Times New Roman" w:eastAsia="仿宋" w:cs="Times New Roman"/>
          <w:b/>
          <w:bCs/>
          <w:color w:val="auto"/>
          <w:sz w:val="32"/>
          <w:szCs w:val="32"/>
          <w:lang w:val="en-US" w:eastAsia="zh-CN"/>
        </w:rPr>
        <w:t>二是</w:t>
      </w:r>
      <w:r>
        <w:rPr>
          <w:rFonts w:hint="default" w:ascii="Times New Roman" w:hAnsi="Times New Roman" w:eastAsia="仿宋" w:cs="Times New Roman"/>
          <w:b/>
          <w:bCs/>
          <w:color w:val="auto"/>
          <w:sz w:val="32"/>
          <w:szCs w:val="32"/>
        </w:rPr>
        <w:t>文化惠民工程深入实施</w:t>
      </w:r>
      <w:r>
        <w:rPr>
          <w:rFonts w:hint="default" w:ascii="Times New Roman" w:hAnsi="Times New Roman" w:eastAsia="仿宋" w:cs="Times New Roman"/>
          <w:b/>
          <w:bCs/>
          <w:color w:val="auto"/>
          <w:sz w:val="32"/>
          <w:szCs w:val="32"/>
          <w:lang w:eastAsia="zh-CN"/>
        </w:rPr>
        <w:t>，群众满意度显著提升。</w:t>
      </w:r>
      <w:r>
        <w:rPr>
          <w:rFonts w:hint="default" w:ascii="Times New Roman" w:hAnsi="Times New Roman" w:eastAsia="仿宋_GB2312" w:cs="Times New Roman"/>
          <w:color w:val="auto"/>
          <w:sz w:val="32"/>
          <w:szCs w:val="32"/>
          <w:lang w:val="en-US" w:eastAsia="zh-CN"/>
        </w:rPr>
        <w:t>炎陵县垄溪乡和沔渡镇综合文化站评定为湖南省特级综合文化站；</w:t>
      </w:r>
      <w:r>
        <w:rPr>
          <w:rFonts w:hint="default" w:ascii="Times New Roman" w:hAnsi="Times New Roman" w:eastAsia="仿宋_GB2312" w:cs="Times New Roman"/>
          <w:color w:val="auto"/>
          <w:sz w:val="32"/>
          <w:szCs w:val="32"/>
        </w:rPr>
        <w:t>大力开展送戏</w:t>
      </w:r>
      <w:r>
        <w:rPr>
          <w:rFonts w:hint="default" w:ascii="Times New Roman" w:hAnsi="Times New Roman" w:eastAsia="仿宋_GB2312" w:cs="Times New Roman"/>
          <w:color w:val="auto"/>
          <w:sz w:val="32"/>
          <w:szCs w:val="32"/>
          <w:lang w:eastAsia="zh-CN"/>
        </w:rPr>
        <w:t>曲</w:t>
      </w:r>
      <w:r>
        <w:rPr>
          <w:rFonts w:hint="default" w:ascii="Times New Roman" w:hAnsi="Times New Roman" w:eastAsia="仿宋_GB2312" w:cs="Times New Roman"/>
          <w:color w:val="auto"/>
          <w:sz w:val="32"/>
          <w:szCs w:val="32"/>
        </w:rPr>
        <w:t>、送培训、送展览等</w:t>
      </w:r>
      <w:r>
        <w:rPr>
          <w:rFonts w:hint="default" w:ascii="Times New Roman" w:hAnsi="Times New Roman" w:eastAsia="仿宋_GB2312" w:cs="Times New Roman"/>
          <w:color w:val="auto"/>
          <w:sz w:val="32"/>
          <w:szCs w:val="32"/>
          <w:lang w:eastAsia="zh-CN"/>
        </w:rPr>
        <w:t>惠民</w:t>
      </w:r>
      <w:r>
        <w:rPr>
          <w:rFonts w:hint="default" w:ascii="Times New Roman" w:hAnsi="Times New Roman" w:eastAsia="仿宋_GB2312" w:cs="Times New Roman"/>
          <w:color w:val="auto"/>
          <w:sz w:val="32"/>
          <w:szCs w:val="32"/>
        </w:rPr>
        <w:t>活动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2024年</w:t>
      </w:r>
      <w:r>
        <w:rPr>
          <w:rFonts w:hint="default" w:ascii="Times New Roman" w:hAnsi="Times New Roman" w:eastAsia="仿宋_GB2312" w:cs="Times New Roman"/>
          <w:color w:val="auto"/>
          <w:sz w:val="32"/>
          <w:szCs w:val="32"/>
          <w:lang w:eastAsia="zh-CN"/>
        </w:rPr>
        <w:t>累计共</w:t>
      </w:r>
      <w:r>
        <w:rPr>
          <w:rFonts w:hint="default" w:ascii="Times New Roman" w:hAnsi="Times New Roman" w:eastAsia="仿宋_GB2312" w:cs="Times New Roman"/>
          <w:color w:val="auto"/>
          <w:sz w:val="32"/>
          <w:szCs w:val="32"/>
        </w:rPr>
        <w:t>开展“</w:t>
      </w:r>
      <w:r>
        <w:rPr>
          <w:rFonts w:hint="default" w:ascii="Times New Roman" w:hAnsi="Times New Roman" w:eastAsia="仿宋_GB2312" w:cs="Times New Roman"/>
          <w:color w:val="auto"/>
          <w:sz w:val="32"/>
          <w:szCs w:val="32"/>
          <w:lang w:eastAsia="zh-CN"/>
        </w:rPr>
        <w:t>送戏下乡</w:t>
      </w:r>
      <w:r>
        <w:rPr>
          <w:rFonts w:hint="default" w:ascii="Times New Roman" w:hAnsi="Times New Roman" w:eastAsia="仿宋_GB2312" w:cs="Times New Roman"/>
          <w:color w:val="auto"/>
          <w:sz w:val="32"/>
          <w:szCs w:val="32"/>
        </w:rPr>
        <w:t>”活动</w:t>
      </w:r>
      <w:r>
        <w:rPr>
          <w:rFonts w:hint="default" w:ascii="Times New Roman" w:hAnsi="Times New Roman" w:eastAsia="仿宋_GB2312" w:cs="Times New Roman"/>
          <w:color w:val="auto"/>
          <w:sz w:val="32"/>
          <w:szCs w:val="32"/>
          <w:lang w:val="en-US" w:eastAsia="zh-CN"/>
        </w:rPr>
        <w:t>150</w:t>
      </w:r>
      <w:r>
        <w:rPr>
          <w:rFonts w:hint="default" w:ascii="Times New Roman" w:hAnsi="Times New Roman" w:eastAsia="仿宋_GB2312" w:cs="Times New Roman"/>
          <w:color w:val="auto"/>
          <w:sz w:val="32"/>
          <w:szCs w:val="32"/>
        </w:rPr>
        <w:t>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“非遗进景区”活动20场、举办阅读推广活动</w:t>
      </w:r>
      <w:r>
        <w:rPr>
          <w:rFonts w:hint="default" w:ascii="Times New Roman" w:hAnsi="Times New Roman" w:eastAsia="方正小标宋简体" w:cs="Times New Roman"/>
          <w:color w:val="auto"/>
          <w:sz w:val="32"/>
          <w:szCs w:val="32"/>
          <w:lang w:val="en-US" w:eastAsia="zh-CN"/>
        </w:rPr>
        <w:t>220</w:t>
      </w:r>
      <w:r>
        <w:rPr>
          <w:rFonts w:hint="default" w:ascii="Times New Roman" w:hAnsi="Times New Roman" w:eastAsia="仿宋_GB2312" w:cs="Times New Roman"/>
          <w:color w:val="auto"/>
          <w:sz w:val="32"/>
          <w:szCs w:val="32"/>
          <w:lang w:val="en-US" w:eastAsia="zh-CN"/>
        </w:rPr>
        <w:t>场次，</w:t>
      </w:r>
      <w:r>
        <w:rPr>
          <w:rFonts w:hint="default" w:ascii="Times New Roman" w:hAnsi="Times New Roman" w:eastAsia="仿宋_GB2312" w:cs="Times New Roman"/>
          <w:color w:val="auto"/>
          <w:sz w:val="32"/>
          <w:szCs w:val="32"/>
        </w:rPr>
        <w:t>组织开展神农古琴培训、国学亲子诵读会、广场舞培训等各类公益辅导</w:t>
      </w:r>
      <w:r>
        <w:rPr>
          <w:rFonts w:hint="default" w:ascii="Times New Roman" w:hAnsi="Times New Roman" w:eastAsia="仿宋_GB2312" w:cs="Times New Roman"/>
          <w:color w:val="auto"/>
          <w:sz w:val="32"/>
          <w:szCs w:val="32"/>
          <w:lang w:eastAsia="zh-CN"/>
        </w:rPr>
        <w:t>、培训、</w:t>
      </w:r>
      <w:r>
        <w:rPr>
          <w:rFonts w:hint="default" w:ascii="Times New Roman" w:hAnsi="Times New Roman" w:eastAsia="仿宋_GB2312" w:cs="Times New Roman"/>
          <w:color w:val="auto"/>
          <w:sz w:val="32"/>
          <w:szCs w:val="32"/>
        </w:rPr>
        <w:t>讲座</w:t>
      </w:r>
      <w:r>
        <w:rPr>
          <w:rFonts w:hint="default" w:ascii="Times New Roman" w:hAnsi="Times New Roman" w:eastAsia="仿宋_GB2312" w:cs="Times New Roman"/>
          <w:color w:val="auto"/>
          <w:sz w:val="32"/>
          <w:szCs w:val="32"/>
          <w:lang w:val="en-US" w:eastAsia="zh-CN"/>
        </w:rPr>
        <w:t>80余场次</w:t>
      </w:r>
      <w:r>
        <w:rPr>
          <w:rFonts w:hint="default" w:ascii="Times New Roman" w:hAnsi="Times New Roman" w:eastAsia="仿宋_GB2312" w:cs="Times New Roman"/>
          <w:color w:val="auto"/>
          <w:sz w:val="32"/>
          <w:szCs w:val="32"/>
          <w:lang w:eastAsia="zh-CN"/>
        </w:rPr>
        <w:t>。大力开展</w:t>
      </w:r>
      <w:r>
        <w:rPr>
          <w:rFonts w:hint="default" w:ascii="Times New Roman" w:hAnsi="Times New Roman" w:eastAsia="仿宋_GB2312" w:cs="Times New Roman"/>
          <w:color w:val="auto"/>
          <w:sz w:val="32"/>
          <w:szCs w:val="32"/>
          <w:lang w:val="en-US" w:eastAsia="zh-CN"/>
        </w:rPr>
        <w:t>春节联欢晚会活动、</w:t>
      </w:r>
      <w:r>
        <w:rPr>
          <w:rFonts w:hint="default" w:ascii="Times New Roman" w:hAnsi="Times New Roman" w:eastAsia="仿宋_GB2312" w:cs="Times New Roman"/>
          <w:color w:val="auto"/>
          <w:sz w:val="32"/>
          <w:szCs w:val="32"/>
        </w:rPr>
        <w:t>龙舞元宵·福满炎陵2024年正月十五闹元宵</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活动</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2024（甲辰）年海峡两岸炎帝神农文化交流大会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2024年“世界读书日”等活动，不断增强群众的获得感和幸福感。</w:t>
      </w:r>
      <w:r>
        <w:rPr>
          <w:rFonts w:hint="default" w:ascii="Times New Roman" w:hAnsi="Times New Roman" w:eastAsia="仿宋" w:cs="Times New Roman"/>
          <w:b/>
          <w:bCs/>
          <w:color w:val="auto"/>
          <w:sz w:val="32"/>
          <w:szCs w:val="32"/>
          <w:lang w:val="en-US" w:eastAsia="zh-CN"/>
        </w:rPr>
        <w:t>三是文化交流与合作不断深化，品牌影响度持续扩大。</w:t>
      </w:r>
      <w:r>
        <w:rPr>
          <w:rFonts w:hint="default" w:ascii="Times New Roman" w:hAnsi="Times New Roman" w:eastAsia="仿宋_GB2312" w:cs="Times New Roman"/>
          <w:color w:val="auto"/>
          <w:kern w:val="2"/>
          <w:sz w:val="32"/>
          <w:szCs w:val="32"/>
          <w:lang w:val="en-US" w:eastAsia="zh-CN" w:bidi="ar-SA"/>
        </w:rPr>
        <w:t>受邀赴甘肃天水</w:t>
      </w:r>
      <w:r>
        <w:rPr>
          <w:rFonts w:hint="default" w:ascii="Times New Roman" w:hAnsi="Times New Roman" w:eastAsia="仿宋_GB2312" w:cs="Times New Roman"/>
          <w:color w:val="auto"/>
          <w:sz w:val="32"/>
          <w:szCs w:val="32"/>
          <w:lang w:val="en-US" w:eastAsia="zh-CN"/>
        </w:rPr>
        <w:t>参加“央视《乡村大舞台》”宣传推介炎陵本土特色产业；</w:t>
      </w:r>
      <w:r>
        <w:rPr>
          <w:rFonts w:hint="default" w:ascii="Times New Roman" w:hAnsi="Times New Roman" w:eastAsia="仿宋_GB2312" w:cs="Times New Roman"/>
          <w:color w:val="auto"/>
          <w:kern w:val="2"/>
          <w:sz w:val="32"/>
          <w:szCs w:val="32"/>
          <w:lang w:val="en-US" w:eastAsia="zh-CN" w:bidi="ar-SA"/>
        </w:rPr>
        <w:t>开展“开学第一课·红色文化进校园”宣传教育活动，</w:t>
      </w:r>
      <w:r>
        <w:rPr>
          <w:rFonts w:hint="default" w:ascii="Times New Roman" w:hAnsi="Times New Roman" w:eastAsia="仿宋_GB2312" w:cs="Times New Roman"/>
          <w:color w:val="auto"/>
          <w:sz w:val="32"/>
          <w:szCs w:val="32"/>
        </w:rPr>
        <w:t>开发炎陵特色</w:t>
      </w:r>
      <w:r>
        <w:rPr>
          <w:rFonts w:hint="default" w:ascii="Times New Roman" w:hAnsi="Times New Roman" w:eastAsia="仿宋_GB2312" w:cs="Times New Roman"/>
          <w:color w:val="auto"/>
          <w:sz w:val="32"/>
          <w:szCs w:val="32"/>
          <w:lang w:eastAsia="zh-CN"/>
        </w:rPr>
        <w:t>、受市场欢迎</w:t>
      </w:r>
      <w:r>
        <w:rPr>
          <w:rFonts w:hint="default" w:ascii="Times New Roman" w:hAnsi="Times New Roman" w:eastAsia="仿宋_GB2312" w:cs="Times New Roman"/>
          <w:color w:val="auto"/>
          <w:sz w:val="32"/>
          <w:szCs w:val="32"/>
        </w:rPr>
        <w:t>的红色微党课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2"/>
          <w:sz w:val="32"/>
          <w:szCs w:val="32"/>
          <w:lang w:val="en-US" w:eastAsia="zh-CN" w:bidi="ar-SA"/>
        </w:rPr>
        <w:t>参与中央</w:t>
      </w:r>
      <w:r>
        <w:rPr>
          <w:rFonts w:hint="default" w:ascii="Times New Roman" w:hAnsi="Times New Roman" w:eastAsia="方正小标宋简体" w:cs="Times New Roman"/>
          <w:color w:val="auto"/>
          <w:sz w:val="32"/>
          <w:szCs w:val="32"/>
          <w:lang w:val="en-US" w:eastAsia="zh-CN"/>
        </w:rPr>
        <w:t>7</w:t>
      </w:r>
      <w:r>
        <w:rPr>
          <w:rFonts w:hint="default" w:ascii="Times New Roman" w:hAnsi="Times New Roman" w:eastAsia="仿宋_GB2312" w:cs="Times New Roman"/>
          <w:color w:val="auto"/>
          <w:kern w:val="2"/>
          <w:sz w:val="32"/>
          <w:szCs w:val="32"/>
          <w:lang w:val="en-US" w:eastAsia="zh-CN" w:bidi="ar-SA"/>
        </w:rPr>
        <w:t>套《谁是终极英雄》节目录制并展播；红军标语博物馆获评“湖南省关心下一代党史国史教育基地”“株洲市关心下一代教育实践基地”的荣誉称号，图书馆</w:t>
      </w:r>
      <w:r>
        <w:rPr>
          <w:rFonts w:hint="default" w:ascii="Times New Roman" w:hAnsi="Times New Roman" w:cs="Times New Roman"/>
          <w:color w:val="auto"/>
          <w:sz w:val="28"/>
          <w:szCs w:val="28"/>
        </w:rPr>
        <w:t>《</w:t>
      </w:r>
      <w:r>
        <w:rPr>
          <w:rFonts w:hint="default" w:ascii="Times New Roman" w:hAnsi="Times New Roman" w:eastAsia="仿宋_GB2312" w:cs="Times New Roman"/>
          <w:color w:val="auto"/>
          <w:kern w:val="2"/>
          <w:sz w:val="32"/>
          <w:szCs w:val="32"/>
          <w:lang w:val="en-US" w:eastAsia="zh-CN" w:bidi="ar-SA"/>
        </w:rPr>
        <w:t>公共图书馆少儿阅读推广活动品牌化研究与实践—炎陵县国学亲子诵读会案例》入选湖南省公共图书馆学术论文和业务案例征集活动名单。</w:t>
      </w:r>
    </w:p>
    <w:p w14:paraId="70EC06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lang w:eastAsia="zh-CN"/>
        </w:rPr>
      </w:pPr>
      <w:r>
        <w:rPr>
          <w:rFonts w:hint="default" w:ascii="Times New Roman" w:hAnsi="Times New Roman" w:eastAsia="楷体" w:cs="Times New Roman"/>
          <w:color w:val="auto"/>
          <w:sz w:val="32"/>
          <w:szCs w:val="32"/>
          <w:lang w:eastAsia="zh-CN"/>
        </w:rPr>
        <w:t>（</w:t>
      </w:r>
      <w:r>
        <w:rPr>
          <w:rFonts w:hint="eastAsia" w:ascii="Times New Roman" w:hAnsi="Times New Roman" w:eastAsia="楷体" w:cs="Times New Roman"/>
          <w:color w:val="auto"/>
          <w:sz w:val="32"/>
          <w:szCs w:val="32"/>
          <w:lang w:val="en-US" w:eastAsia="zh-CN"/>
        </w:rPr>
        <w:t>二</w:t>
      </w:r>
      <w:r>
        <w:rPr>
          <w:rFonts w:hint="default" w:ascii="Times New Roman" w:hAnsi="Times New Roman" w:eastAsia="楷体" w:cs="Times New Roman"/>
          <w:color w:val="auto"/>
          <w:sz w:val="32"/>
          <w:szCs w:val="32"/>
          <w:lang w:eastAsia="zh-CN"/>
        </w:rPr>
        <w:t>）统筹谋划，攻坚克难，全力推进文物保护利用</w:t>
      </w:r>
    </w:p>
    <w:p w14:paraId="3A0170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 w:cs="Times New Roman"/>
          <w:b/>
          <w:bCs/>
          <w:color w:val="auto"/>
          <w:sz w:val="32"/>
          <w:szCs w:val="32"/>
          <w:lang w:val="en-US" w:eastAsia="zh-CN"/>
        </w:rPr>
        <w:t>一是文物保护项目建设稳步推进。</w:t>
      </w:r>
      <w:r>
        <w:rPr>
          <w:rFonts w:hint="default" w:ascii="Times New Roman" w:hAnsi="Times New Roman" w:eastAsia="仿宋_GB2312" w:cs="Times New Roman"/>
          <w:color w:val="auto"/>
          <w:kern w:val="2"/>
          <w:sz w:val="32"/>
          <w:szCs w:val="32"/>
          <w:lang w:val="en-US" w:eastAsia="zh-CN" w:bidi="ar-SA"/>
        </w:rPr>
        <w:t>共完成万寿宫、何炳麟故居等9处省文物局第十二批省级文物保护单位项目申报；稳步推进“六个一”红色育人体系</w:t>
      </w:r>
      <w:r>
        <w:rPr>
          <w:rFonts w:hint="default" w:ascii="Times New Roman" w:hAnsi="Times New Roman" w:eastAsia="仿宋_GB2312" w:cs="Times New Roman"/>
          <w:color w:val="auto"/>
          <w:kern w:val="2"/>
          <w:sz w:val="32"/>
          <w:szCs w:val="32"/>
          <w:highlight w:val="none"/>
          <w:lang w:val="en-US" w:eastAsia="zh-CN" w:bidi="ar-SA"/>
        </w:rPr>
        <w:t>项目、中共酃县县委机关旧址修缮项目、红</w:t>
      </w:r>
      <w:r>
        <w:rPr>
          <w:rFonts w:hint="default" w:ascii="Times New Roman" w:hAnsi="Times New Roman" w:eastAsia="仿宋_GB2312" w:cs="Times New Roman"/>
          <w:color w:val="auto"/>
          <w:kern w:val="2"/>
          <w:sz w:val="32"/>
          <w:szCs w:val="32"/>
          <w:lang w:val="en-US" w:eastAsia="zh-CN" w:bidi="ar-SA"/>
        </w:rPr>
        <w:t>军标语博物馆馆藏二级和三级标语文物保护修复与预防性保护等文保项目</w:t>
      </w:r>
      <w:r>
        <w:rPr>
          <w:rFonts w:hint="default" w:ascii="Times New Roman" w:hAnsi="Times New Roman" w:eastAsia="仿宋_GB2312" w:cs="Times New Roman"/>
          <w:color w:val="auto"/>
          <w:kern w:val="2"/>
          <w:sz w:val="32"/>
          <w:szCs w:val="32"/>
          <w:highlight w:val="none"/>
          <w:lang w:val="en-US" w:eastAsia="zh-CN" w:bidi="ar-SA"/>
        </w:rPr>
        <w:t>；开展炎陵县第四次全国文物普查工作，</w:t>
      </w:r>
      <w:r>
        <w:rPr>
          <w:rFonts w:hint="eastAsia" w:ascii="Times New Roman" w:hAnsi="Times New Roman" w:eastAsia="仿宋_GB2312" w:cs="Times New Roman"/>
          <w:color w:val="auto"/>
          <w:kern w:val="2"/>
          <w:sz w:val="32"/>
          <w:szCs w:val="32"/>
          <w:highlight w:val="none"/>
          <w:lang w:val="en-US" w:eastAsia="zh-CN" w:bidi="ar-SA"/>
        </w:rPr>
        <w:t>出台</w:t>
      </w:r>
      <w:r>
        <w:rPr>
          <w:rFonts w:hint="default" w:ascii="Times New Roman" w:hAnsi="Times New Roman" w:eastAsia="仿宋_GB2312" w:cs="Times New Roman"/>
          <w:color w:val="auto"/>
          <w:kern w:val="2"/>
          <w:sz w:val="32"/>
          <w:szCs w:val="32"/>
          <w:highlight w:val="none"/>
          <w:lang w:val="en-US" w:eastAsia="zh-CN" w:bidi="ar-SA"/>
        </w:rPr>
        <w:t>《炎陵县第四次全国文物普查实施方案》</w:t>
      </w:r>
      <w:r>
        <w:rPr>
          <w:rFonts w:hint="eastAsia" w:ascii="Times New Roman" w:hAnsi="Times New Roman" w:eastAsia="仿宋_GB2312" w:cs="Times New Roman"/>
          <w:color w:val="auto"/>
          <w:kern w:val="2"/>
          <w:sz w:val="32"/>
          <w:szCs w:val="32"/>
          <w:highlight w:val="none"/>
          <w:lang w:val="en-US" w:eastAsia="zh-CN" w:bidi="ar-SA"/>
        </w:rPr>
        <w:t>，完成普查田野考察项目经费申请及文物普查人员培训工作，正在启动招投标程序</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 w:cs="Times New Roman"/>
          <w:b/>
          <w:bCs/>
          <w:color w:val="auto"/>
          <w:sz w:val="32"/>
          <w:szCs w:val="32"/>
          <w:lang w:val="en-US" w:eastAsia="zh-CN"/>
        </w:rPr>
        <w:t>二是文化遗产活态传承并重并举。</w:t>
      </w:r>
      <w:r>
        <w:rPr>
          <w:rFonts w:hint="default" w:ascii="Times New Roman" w:hAnsi="Times New Roman" w:eastAsia="仿宋_GB2312" w:cs="Times New Roman"/>
          <w:color w:val="auto"/>
          <w:kern w:val="2"/>
          <w:sz w:val="32"/>
          <w:szCs w:val="32"/>
          <w:lang w:val="en-US" w:eastAsia="zh-CN" w:bidi="ar-SA"/>
        </w:rPr>
        <w:t>举办炎陵县首批“印照初心”系列馆藏打卡印章的启用仪式；创建全县首家红色文创展示体验区，精心打造文创产品46类168种；联合湖南卫视拍摄并播出《守护墙上痕，铭记心中誓》节目；</w:t>
      </w:r>
      <w:r>
        <w:rPr>
          <w:rFonts w:hint="default" w:ascii="Times New Roman" w:hAnsi="Times New Roman" w:eastAsia="仿宋_GB2312" w:cs="Times New Roman"/>
          <w:color w:val="auto"/>
          <w:sz w:val="32"/>
          <w:szCs w:val="32"/>
          <w:lang w:eastAsia="zh-CN"/>
        </w:rPr>
        <w:t>积极申报市级非遗代表性项目9项；农之味农业开发有限公司、沔渡镇、炎帝陵商业长廊街区分别入选为株洲市第二批非遗工坊、非遗村镇、非遗街区示范点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2"/>
          <w:sz w:val="32"/>
          <w:szCs w:val="32"/>
          <w:lang w:val="en-US" w:eastAsia="zh-CN" w:bidi="ar-SA"/>
        </w:rPr>
        <w:t>开展神农谷第二届民俗文化节、“三月三”畲族文化节、神农福宴非遗日、文化遗产日等系列非遗活动。</w:t>
      </w:r>
      <w:r>
        <w:rPr>
          <w:rFonts w:hint="default" w:ascii="Times New Roman" w:hAnsi="Times New Roman" w:eastAsia="仿宋" w:cs="Times New Roman"/>
          <w:b/>
          <w:bCs/>
          <w:color w:val="auto"/>
          <w:sz w:val="32"/>
          <w:szCs w:val="32"/>
          <w:lang w:val="en-US" w:eastAsia="zh-CN"/>
        </w:rPr>
        <w:t>三是</w:t>
      </w:r>
      <w:r>
        <w:rPr>
          <w:rFonts w:hint="default" w:ascii="Times New Roman" w:hAnsi="Times New Roman" w:eastAsia="仿宋" w:cs="Times New Roman"/>
          <w:b/>
          <w:bCs/>
          <w:color w:val="auto"/>
          <w:sz w:val="32"/>
          <w:szCs w:val="32"/>
          <w:lang w:eastAsia="zh-CN"/>
        </w:rPr>
        <w:t>文物安全巡查工作成效显著。</w:t>
      </w:r>
      <w:r>
        <w:rPr>
          <w:rFonts w:hint="default" w:ascii="Times New Roman" w:hAnsi="Times New Roman" w:eastAsia="仿宋_GB2312" w:cs="Times New Roman"/>
          <w:color w:val="auto"/>
          <w:kern w:val="2"/>
          <w:sz w:val="32"/>
          <w:szCs w:val="32"/>
          <w:lang w:val="en-US" w:eastAsia="zh-CN" w:bidi="ar-SA"/>
        </w:rPr>
        <w:t>全年共对全县文物、文博单位共进行文物安全检查和文物行政执法10余次，覆盖重点单位</w:t>
      </w:r>
      <w:r>
        <w:rPr>
          <w:rFonts w:hint="default" w:ascii="Times New Roman" w:hAnsi="Times New Roman" w:eastAsia="方正小标宋简体" w:cs="Times New Roman"/>
          <w:color w:val="auto"/>
          <w:sz w:val="32"/>
          <w:szCs w:val="32"/>
          <w:lang w:val="en-US" w:eastAsia="zh-CN"/>
        </w:rPr>
        <w:t>52</w:t>
      </w:r>
      <w:r>
        <w:rPr>
          <w:rFonts w:hint="default" w:ascii="Times New Roman" w:hAnsi="Times New Roman" w:eastAsia="仿宋_GB2312" w:cs="Times New Roman"/>
          <w:color w:val="auto"/>
          <w:kern w:val="2"/>
          <w:sz w:val="32"/>
          <w:szCs w:val="32"/>
          <w:lang w:val="en-US" w:eastAsia="zh-CN" w:bidi="ar-SA"/>
        </w:rPr>
        <w:t>处，发现</w:t>
      </w:r>
      <w:r>
        <w:rPr>
          <w:rFonts w:hint="default" w:ascii="Times New Roman" w:hAnsi="Times New Roman" w:eastAsia="方正小标宋简体" w:cs="Times New Roman"/>
          <w:color w:val="auto"/>
          <w:sz w:val="32"/>
          <w:szCs w:val="32"/>
          <w:lang w:val="en-US" w:eastAsia="zh-CN"/>
        </w:rPr>
        <w:t>4</w:t>
      </w:r>
      <w:r>
        <w:rPr>
          <w:rFonts w:hint="default" w:ascii="Times New Roman" w:hAnsi="Times New Roman" w:eastAsia="仿宋_GB2312" w:cs="Times New Roman"/>
          <w:color w:val="auto"/>
          <w:kern w:val="2"/>
          <w:sz w:val="32"/>
          <w:szCs w:val="32"/>
          <w:lang w:val="en-US" w:eastAsia="zh-CN" w:bidi="ar-SA"/>
        </w:rPr>
        <w:t xml:space="preserve">处文物安全隐患，并按要求整改到位。 </w:t>
      </w:r>
    </w:p>
    <w:p w14:paraId="6C0E11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kern w:val="2"/>
          <w:sz w:val="32"/>
          <w:szCs w:val="32"/>
          <w:lang w:val="en-US" w:eastAsia="zh-CN" w:bidi="ar-SA"/>
        </w:rPr>
        <w:t>（</w:t>
      </w:r>
      <w:r>
        <w:rPr>
          <w:rFonts w:hint="eastAsia" w:ascii="Times New Roman" w:hAnsi="Times New Roman" w:eastAsia="楷体" w:cs="Times New Roman"/>
          <w:color w:val="auto"/>
          <w:kern w:val="2"/>
          <w:sz w:val="32"/>
          <w:szCs w:val="32"/>
          <w:lang w:val="en-US" w:eastAsia="zh-CN" w:bidi="ar-SA"/>
        </w:rPr>
        <w:t>三</w:t>
      </w:r>
      <w:r>
        <w:rPr>
          <w:rFonts w:hint="default" w:ascii="Times New Roman" w:hAnsi="Times New Roman" w:eastAsia="楷体" w:cs="Times New Roman"/>
          <w:color w:val="auto"/>
          <w:kern w:val="2"/>
          <w:sz w:val="32"/>
          <w:szCs w:val="32"/>
          <w:lang w:val="en-US" w:eastAsia="zh-CN" w:bidi="ar-SA"/>
        </w:rPr>
        <w:t>）</w:t>
      </w:r>
      <w:r>
        <w:rPr>
          <w:rFonts w:hint="default" w:ascii="Times New Roman" w:hAnsi="Times New Roman" w:eastAsia="楷体" w:cs="Times New Roman"/>
          <w:color w:val="auto"/>
          <w:sz w:val="32"/>
          <w:szCs w:val="32"/>
          <w:lang w:val="en-US" w:eastAsia="zh-CN"/>
        </w:rPr>
        <w:t>聚力营销、提档增效，持续提升文旅融合发展</w:t>
      </w:r>
    </w:p>
    <w:p w14:paraId="3F184A55">
      <w:pPr>
        <w:pStyle w:val="9"/>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 w:cs="Times New Roman"/>
          <w:b/>
          <w:bCs/>
          <w:color w:val="auto"/>
          <w:sz w:val="32"/>
          <w:szCs w:val="32"/>
          <w:lang w:val="en-US" w:eastAsia="zh-CN"/>
        </w:rPr>
        <w:t>一是</w:t>
      </w:r>
      <w:r>
        <w:rPr>
          <w:rFonts w:hint="default" w:ascii="Times New Roman" w:hAnsi="Times New Roman" w:eastAsia="仿宋" w:cs="Times New Roman"/>
          <w:b/>
          <w:bCs/>
          <w:color w:val="auto"/>
          <w:sz w:val="32"/>
          <w:szCs w:val="32"/>
        </w:rPr>
        <w:t>旅游市场回暖显著，游客接待量稳步增长</w:t>
      </w:r>
      <w:r>
        <w:rPr>
          <w:rFonts w:hint="default" w:ascii="Times New Roman" w:hAnsi="Times New Roman" w:eastAsia="仿宋" w:cs="Times New Roman"/>
          <w:b/>
          <w:bCs/>
          <w:color w:val="auto"/>
          <w:sz w:val="32"/>
          <w:szCs w:val="32"/>
          <w:lang w:eastAsia="zh-CN"/>
        </w:rPr>
        <w:t>。</w:t>
      </w:r>
      <w:r>
        <w:rPr>
          <w:rFonts w:hint="default" w:ascii="Times New Roman" w:hAnsi="Times New Roman" w:eastAsia="仿宋_GB2312" w:cs="Times New Roman"/>
          <w:color w:val="auto"/>
          <w:sz w:val="32"/>
          <w:szCs w:val="32"/>
        </w:rPr>
        <w:t>积极开展旅游促销和旅游宣传，在各大新媒体平台推出炎陵旅游短视频，</w:t>
      </w:r>
      <w:r>
        <w:rPr>
          <w:rFonts w:hint="default" w:ascii="Times New Roman" w:hAnsi="Times New Roman" w:eastAsia="仿宋_GB2312" w:cs="Times New Roman"/>
          <w:color w:val="auto"/>
          <w:sz w:val="32"/>
          <w:szCs w:val="32"/>
          <w:lang w:val="en-US" w:eastAsia="zh-CN"/>
        </w:rPr>
        <w:t>全渠道、立体式开展品牌推广</w:t>
      </w:r>
      <w:r>
        <w:rPr>
          <w:rFonts w:hint="eastAsia" w:ascii="Times New Roman" w:hAnsi="Times New Roman" w:eastAsia="仿宋_GB2312" w:cs="Times New Roman"/>
          <w:color w:val="auto"/>
          <w:sz w:val="32"/>
          <w:szCs w:val="32"/>
          <w:lang w:val="en-US" w:eastAsia="zh-CN"/>
        </w:rPr>
        <w:t>。举办“寻中华始祖 品炎陵黄桃”第二届炎陵黄桃文化季，</w:t>
      </w:r>
      <w:r>
        <w:rPr>
          <w:rFonts w:hint="default" w:ascii="Times New Roman" w:hAnsi="Times New Roman" w:eastAsia="仿宋_GB2312" w:cs="Times New Roman"/>
          <w:color w:val="auto"/>
          <w:sz w:val="32"/>
          <w:szCs w:val="32"/>
        </w:rPr>
        <w:t>开展“景区集章打卡兑黄桃”、“桃李满天下，桃李敬师长”</w:t>
      </w:r>
      <w:r>
        <w:rPr>
          <w:rFonts w:hint="eastAsia"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rPr>
        <w:t>系列文旅活动，推出三条“黄桃+旅游”精品旅游路线，助力我县旅游升温。</w:t>
      </w:r>
      <w:r>
        <w:rPr>
          <w:rFonts w:hint="default" w:ascii="Times New Roman" w:hAnsi="Times New Roman" w:eastAsia="仿宋_GB2312" w:cs="Times New Roman"/>
          <w:color w:val="auto"/>
          <w:sz w:val="32"/>
          <w:szCs w:val="32"/>
          <w:lang w:val="en-US" w:eastAsia="zh-CN"/>
        </w:rPr>
        <w:t>2024年炎陵县共接待游客663万人次，同比增长20.77%，营业收入3.45亿元，同比增长37.45%。</w:t>
      </w:r>
      <w:r>
        <w:rPr>
          <w:rFonts w:hint="default" w:ascii="Times New Roman" w:hAnsi="Times New Roman" w:eastAsia="仿宋" w:cs="Times New Roman"/>
          <w:b/>
          <w:bCs/>
          <w:color w:val="auto"/>
          <w:sz w:val="32"/>
          <w:szCs w:val="32"/>
          <w:lang w:val="en-US" w:eastAsia="zh-CN"/>
        </w:rPr>
        <w:t>二是旅游项目加速落地，投资兴业热潮涌动。</w:t>
      </w:r>
      <w:r>
        <w:rPr>
          <w:rFonts w:hint="default" w:ascii="Times New Roman" w:hAnsi="Times New Roman" w:eastAsia="仿宋_GB2312" w:cs="Times New Roman"/>
          <w:color w:val="auto"/>
          <w:sz w:val="32"/>
          <w:szCs w:val="32"/>
          <w:lang w:val="en-US" w:eastAsia="zh-CN"/>
        </w:rPr>
        <w:t>炎陵县红色旅游综合开发项目</w:t>
      </w:r>
      <w:r>
        <w:rPr>
          <w:rFonts w:hint="default" w:ascii="Times New Roman" w:hAnsi="Times New Roman" w:eastAsia="仿宋_GB2312" w:cs="Times New Roman"/>
          <w:color w:val="auto"/>
          <w:kern w:val="0"/>
          <w:sz w:val="32"/>
          <w:szCs w:val="32"/>
          <w:shd w:val="clear" w:color="auto" w:fill="FFFFFF"/>
          <w:lang w:val="en-US" w:eastAsia="zh-CN" w:bidi="ar"/>
        </w:rPr>
        <w:t>完成固定资产投资18073万元，占全年计划投资129%</w:t>
      </w:r>
      <w:r>
        <w:rPr>
          <w:rFonts w:hint="default" w:ascii="Times New Roman" w:hAnsi="Times New Roman" w:eastAsia="仿宋_GB2312" w:cs="Times New Roman"/>
          <w:color w:val="auto"/>
          <w:sz w:val="32"/>
          <w:szCs w:val="32"/>
          <w:lang w:val="en-US" w:eastAsia="zh-CN"/>
        </w:rPr>
        <w:t>；炎陵县智慧文旅平台(一期)项目已完成立项批复和初步设计及概算批复；</w:t>
      </w:r>
      <w:r>
        <w:rPr>
          <w:rFonts w:hint="default" w:ascii="Times New Roman" w:hAnsi="Times New Roman" w:eastAsia="仿宋_GB2312" w:cs="Times New Roman"/>
          <w:color w:val="auto"/>
          <w:kern w:val="2"/>
          <w:sz w:val="32"/>
          <w:szCs w:val="32"/>
          <w:u w:val="none"/>
          <w:lang w:val="en-US" w:eastAsia="zh-CN" w:bidi="ar-SA"/>
        </w:rPr>
        <w:t>垄溪乡太空舱项目</w:t>
      </w:r>
      <w:r>
        <w:rPr>
          <w:rFonts w:hint="eastAsia" w:ascii="Times New Roman" w:hAnsi="Times New Roman" w:eastAsia="仿宋_GB2312" w:cs="Times New Roman"/>
          <w:color w:val="auto"/>
          <w:kern w:val="2"/>
          <w:sz w:val="32"/>
          <w:szCs w:val="32"/>
          <w:u w:val="none"/>
          <w:lang w:val="en-US" w:eastAsia="zh-CN" w:bidi="ar-SA"/>
        </w:rPr>
        <w:t>完成土地审批和文旅娱乐设施建设</w:t>
      </w:r>
      <w:r>
        <w:rPr>
          <w:rFonts w:hint="default" w:ascii="Times New Roman" w:hAnsi="Times New Roman" w:eastAsia="仿宋_GB2312" w:cs="Times New Roman"/>
          <w:color w:val="auto"/>
          <w:kern w:val="2"/>
          <w:sz w:val="32"/>
          <w:szCs w:val="32"/>
          <w:u w:val="none"/>
          <w:lang w:val="en-US" w:eastAsia="zh-CN" w:bidi="ar-SA"/>
        </w:rPr>
        <w:t>；酃峰旅游服务中心及配套停车场项目建设有序推进；</w:t>
      </w:r>
      <w:r>
        <w:rPr>
          <w:rFonts w:hint="default" w:ascii="Times New Roman" w:hAnsi="Times New Roman" w:eastAsia="仿宋_GB2312" w:cs="Times New Roman"/>
          <w:color w:val="auto"/>
          <w:sz w:val="32"/>
          <w:szCs w:val="32"/>
          <w:lang w:val="en-US" w:eastAsia="zh-CN"/>
        </w:rPr>
        <w:t>吸纳北京中城新媒文化科技有限公司、江西合翼文旅公司、湖南省国瓴私募基金管理有限公司等企业来炎洽谈文旅投资项目，达成合作意向；</w:t>
      </w:r>
      <w:r>
        <w:rPr>
          <w:rFonts w:hint="default" w:ascii="Times New Roman" w:hAnsi="Times New Roman" w:eastAsia="仿宋_GB2312" w:cs="Times New Roman"/>
          <w:color w:val="auto"/>
          <w:kern w:val="0"/>
          <w:sz w:val="32"/>
          <w:szCs w:val="32"/>
          <w:shd w:val="clear" w:color="auto" w:fill="FFFFFF"/>
          <w:lang w:val="en-US" w:eastAsia="zh-CN" w:bidi="ar"/>
        </w:rPr>
        <w:t>神农谷国家森林公园研</w:t>
      </w:r>
      <w:r>
        <w:rPr>
          <w:rFonts w:hint="default" w:ascii="Times New Roman" w:hAnsi="Times New Roman" w:eastAsia="仿宋_GB2312" w:cs="Times New Roman"/>
          <w:color w:val="auto"/>
          <w:sz w:val="32"/>
          <w:szCs w:val="32"/>
          <w:lang w:val="en-US" w:eastAsia="zh-CN"/>
        </w:rPr>
        <w:t>学旅游基地、万阳红旅游居住民宿等4个项目入选第二批湖南文旅消费“新生代•新场景”。</w:t>
      </w:r>
      <w:r>
        <w:rPr>
          <w:rFonts w:hint="default" w:ascii="Times New Roman" w:hAnsi="Times New Roman" w:eastAsia="仿宋" w:cs="Times New Roman"/>
          <w:b/>
          <w:bCs/>
          <w:color w:val="auto"/>
          <w:sz w:val="32"/>
          <w:szCs w:val="32"/>
          <w:lang w:val="en-US" w:eastAsia="zh-CN"/>
        </w:rPr>
        <w:t>三是旅游服务设施完善提升，游客满意度不断提高。</w:t>
      </w:r>
      <w:r>
        <w:rPr>
          <w:rFonts w:hint="default" w:ascii="Times New Roman" w:hAnsi="Times New Roman" w:eastAsia="仿宋_GB2312" w:cs="Times New Roman"/>
          <w:color w:val="auto"/>
          <w:sz w:val="32"/>
          <w:szCs w:val="32"/>
          <w:lang w:val="en-US" w:eastAsia="zh-CN"/>
        </w:rPr>
        <w:t>完成了乡村旅游驿站建设，水西村、梁桥村沿河风光带建设；神农谷露营基地、洋岐畲族村民宿聚集区、云上大院民宿聚集区入选“四个一百”工程评选目录；</w:t>
      </w:r>
      <w:r>
        <w:rPr>
          <w:rFonts w:hint="default" w:ascii="Times New Roman" w:hAnsi="Times New Roman" w:eastAsia="仿宋_GB2312" w:cs="Times New Roman"/>
          <w:color w:val="auto"/>
          <w:kern w:val="2"/>
          <w:sz w:val="32"/>
          <w:szCs w:val="32"/>
          <w:lang w:val="en-US" w:eastAsia="zh-CN" w:bidi="ar-SA"/>
        </w:rPr>
        <w:t>组织开展2024年炎陵县民宿培训班</w:t>
      </w:r>
      <w:r>
        <w:rPr>
          <w:rFonts w:hint="default" w:ascii="Times New Roman" w:hAnsi="Times New Roman"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旅居直播培训班</w:t>
      </w:r>
      <w:r>
        <w:rPr>
          <w:rFonts w:hint="default" w:ascii="Times New Roman" w:hAnsi="Times New Roman" w:eastAsia="仿宋_GB2312" w:cs="Times New Roman"/>
          <w:color w:val="auto"/>
          <w:sz w:val="32"/>
          <w:szCs w:val="32"/>
          <w:lang w:val="en-US" w:eastAsia="zh-CN"/>
        </w:rPr>
        <w:t>，提高了民宿经营户管理水平和服务水平。</w:t>
      </w:r>
    </w:p>
    <w:p w14:paraId="41F6969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lang w:eastAsia="zh-CN"/>
        </w:rPr>
      </w:pPr>
      <w:r>
        <w:rPr>
          <w:rFonts w:hint="default" w:ascii="Times New Roman" w:hAnsi="Times New Roman" w:eastAsia="楷体" w:cs="Times New Roman"/>
          <w:color w:val="auto"/>
          <w:sz w:val="32"/>
          <w:szCs w:val="32"/>
          <w:lang w:eastAsia="zh-CN"/>
        </w:rPr>
        <w:t>（</w:t>
      </w:r>
      <w:r>
        <w:rPr>
          <w:rFonts w:hint="eastAsia" w:ascii="Times New Roman" w:hAnsi="Times New Roman" w:eastAsia="楷体" w:cs="Times New Roman"/>
          <w:color w:val="auto"/>
          <w:sz w:val="32"/>
          <w:szCs w:val="32"/>
          <w:lang w:val="en-US" w:eastAsia="zh-CN"/>
        </w:rPr>
        <w:t>四</w:t>
      </w:r>
      <w:r>
        <w:rPr>
          <w:rFonts w:hint="default" w:ascii="Times New Roman" w:hAnsi="Times New Roman" w:eastAsia="楷体" w:cs="Times New Roman"/>
          <w:color w:val="auto"/>
          <w:sz w:val="32"/>
          <w:szCs w:val="32"/>
          <w:lang w:eastAsia="zh-CN"/>
        </w:rPr>
        <w:t>）激发市场、释放活力，营造全民健身浓厚氛围</w:t>
      </w:r>
    </w:p>
    <w:p w14:paraId="5381AB1D">
      <w:pPr>
        <w:pStyle w:val="13"/>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全年共完成炎陵县省体育局主办的2024“走红军走过的路”徒步穿越系列活动（炎陵站）暨首届湘赣边大穿越活动、炎陵县</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全民健身月</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、2024年炎陵县第二届“工惠杯”职工气排球赛等体育赛事活动10余次</w:t>
      </w:r>
      <w:r>
        <w:rPr>
          <w:rFonts w:hint="eastAsia" w:ascii="Times New Roman" w:hAnsi="Times New Roman" w:eastAsia="仿宋_GB2312" w:cs="Times New Roman"/>
          <w:color w:val="auto"/>
          <w:kern w:val="2"/>
          <w:sz w:val="32"/>
          <w:szCs w:val="32"/>
          <w:lang w:val="en-US" w:eastAsia="zh-CN" w:bidi="ar-SA"/>
        </w:rPr>
        <w:t>，其中“中国体育彩票”2024年“走红军走过的路”徒步穿越系列活动（炎陵站）暨首届湘赣边大穿越活动吸引来自全国各地的1200余名徒步爱好者齐聚红色炎陵，传承红色基因，弘扬长征精神</w:t>
      </w:r>
      <w:r>
        <w:rPr>
          <w:rFonts w:hint="default" w:ascii="Times New Roman" w:hAnsi="Times New Roman" w:eastAsia="仿宋_GB2312" w:cs="Times New Roman"/>
          <w:color w:val="auto"/>
          <w:kern w:val="2"/>
          <w:sz w:val="32"/>
          <w:szCs w:val="32"/>
          <w:lang w:val="en-US" w:eastAsia="zh-CN" w:bidi="ar-SA"/>
        </w:rPr>
        <w:t>；完成发放村社区健身路径10套；</w:t>
      </w:r>
      <w:r>
        <w:rPr>
          <w:rFonts w:hint="default" w:ascii="Times New Roman" w:hAnsi="Times New Roman" w:eastAsia="仿宋_GB2312" w:cs="Times New Roman"/>
          <w:color w:val="auto"/>
          <w:sz w:val="32"/>
          <w:szCs w:val="32"/>
          <w:lang w:val="en-US" w:eastAsia="zh-CN"/>
        </w:rPr>
        <w:t>体育场馆</w:t>
      </w:r>
      <w:r>
        <w:rPr>
          <w:rFonts w:hint="default" w:ascii="Times New Roman" w:hAnsi="Times New Roman" w:eastAsia="仿宋_GB2312" w:cs="Times New Roman"/>
          <w:color w:val="auto"/>
          <w:kern w:val="2"/>
          <w:sz w:val="32"/>
          <w:szCs w:val="32"/>
          <w:lang w:val="en-US" w:eastAsia="zh-CN" w:bidi="ar-SA"/>
        </w:rPr>
        <w:t>免费开放受益人次达40万；霞阳镇颜家村顺利通过省体育局补短板工程验收。</w:t>
      </w:r>
    </w:p>
    <w:p w14:paraId="1D79816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lang w:eastAsia="zh-CN"/>
        </w:rPr>
      </w:pPr>
      <w:r>
        <w:rPr>
          <w:rFonts w:hint="default" w:ascii="Times New Roman" w:hAnsi="Times New Roman" w:eastAsia="楷体" w:cs="Times New Roman"/>
          <w:color w:val="auto"/>
          <w:sz w:val="32"/>
          <w:szCs w:val="32"/>
          <w:lang w:eastAsia="zh-CN"/>
        </w:rPr>
        <w:t>（</w:t>
      </w:r>
      <w:r>
        <w:rPr>
          <w:rFonts w:hint="eastAsia" w:ascii="Times New Roman" w:hAnsi="Times New Roman" w:eastAsia="楷体" w:cs="Times New Roman"/>
          <w:color w:val="auto"/>
          <w:sz w:val="32"/>
          <w:szCs w:val="32"/>
          <w:lang w:val="en-US" w:eastAsia="zh-CN"/>
        </w:rPr>
        <w:t>五</w:t>
      </w:r>
      <w:r>
        <w:rPr>
          <w:rFonts w:hint="default" w:ascii="Times New Roman" w:hAnsi="Times New Roman" w:eastAsia="楷体" w:cs="Times New Roman"/>
          <w:color w:val="auto"/>
          <w:sz w:val="32"/>
          <w:szCs w:val="32"/>
          <w:lang w:eastAsia="zh-CN"/>
        </w:rPr>
        <w:t>）安全为基，强化监管，保障文旅市场平稳有序</w:t>
      </w:r>
    </w:p>
    <w:p w14:paraId="341CA81E">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FF"/>
          <w:sz w:val="32"/>
          <w:szCs w:val="32"/>
          <w:lang w:eastAsia="zh-CN"/>
        </w:rPr>
      </w:pPr>
      <w:r>
        <w:rPr>
          <w:rFonts w:hint="default" w:ascii="Times New Roman" w:hAnsi="Times New Roman" w:eastAsia="仿宋" w:cs="Times New Roman"/>
          <w:b/>
          <w:bCs/>
          <w:color w:val="auto"/>
          <w:sz w:val="32"/>
          <w:szCs w:val="32"/>
          <w:lang w:val="en-US" w:eastAsia="zh-CN"/>
        </w:rPr>
        <w:t>一是市场监管力度加大，市场秩序持续优化。</w:t>
      </w:r>
      <w:r>
        <w:rPr>
          <w:rFonts w:hint="default" w:ascii="Times New Roman" w:hAnsi="Times New Roman" w:eastAsia="仿宋_GB2312" w:cs="Times New Roman"/>
          <w:color w:val="auto"/>
          <w:sz w:val="32"/>
          <w:szCs w:val="32"/>
          <w:lang w:val="en-US" w:eastAsia="zh-CN"/>
        </w:rPr>
        <w:t>以</w:t>
      </w:r>
      <w:r>
        <w:rPr>
          <w:rFonts w:hint="default" w:ascii="Times New Roman" w:hAnsi="Times New Roman" w:eastAsia="仿宋_GB2312" w:cs="Times New Roman"/>
          <w:color w:val="auto"/>
          <w:sz w:val="32"/>
          <w:szCs w:val="32"/>
        </w:rPr>
        <w:t>“清风”、“正道”</w:t>
      </w:r>
      <w:r>
        <w:rPr>
          <w:rFonts w:hint="default" w:ascii="Times New Roman" w:hAnsi="Times New Roman" w:eastAsia="方正小标宋简体" w:cs="Times New Roman"/>
          <w:color w:val="auto"/>
          <w:sz w:val="32"/>
          <w:szCs w:val="32"/>
          <w:lang w:val="en-US" w:eastAsia="zh-CN"/>
        </w:rPr>
        <w:t>2</w:t>
      </w:r>
      <w:r>
        <w:rPr>
          <w:rFonts w:hint="default" w:ascii="Times New Roman" w:hAnsi="Times New Roman" w:eastAsia="仿宋_GB2312" w:cs="Times New Roman"/>
          <w:color w:val="auto"/>
          <w:sz w:val="32"/>
          <w:szCs w:val="32"/>
        </w:rPr>
        <w:t>大行动为抓手，组织</w:t>
      </w:r>
      <w:r>
        <w:rPr>
          <w:rFonts w:hint="default" w:ascii="Times New Roman" w:hAnsi="Times New Roman" w:eastAsia="仿宋_GB2312" w:cs="Times New Roman"/>
          <w:color w:val="auto"/>
          <w:sz w:val="32"/>
          <w:szCs w:val="32"/>
          <w:lang w:eastAsia="zh-CN"/>
        </w:rPr>
        <w:t>开展对</w:t>
      </w:r>
      <w:r>
        <w:rPr>
          <w:rFonts w:hint="default" w:ascii="Times New Roman" w:hAnsi="Times New Roman" w:eastAsia="仿宋_GB2312" w:cs="Times New Roman"/>
          <w:color w:val="auto"/>
          <w:sz w:val="32"/>
          <w:szCs w:val="32"/>
        </w:rPr>
        <w:t>全县出版物市场</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全面清查，扎实开展“利剑护蕾·雷霆行动”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对违规接纳未成年人的KTV进行了查处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联合开展“校园周边环境清理整治行动”</w:t>
      </w:r>
      <w:r>
        <w:rPr>
          <w:rFonts w:hint="default" w:ascii="Times New Roman" w:hAnsi="Times New Roman" w:eastAsia="仿宋_GB2312" w:cs="Times New Roman"/>
          <w:color w:val="auto"/>
          <w:kern w:val="2"/>
          <w:sz w:val="32"/>
          <w:szCs w:val="32"/>
          <w:lang w:val="en-US" w:eastAsia="zh-CN" w:bidi="ar-SA"/>
        </w:rPr>
        <w:t>，提升经营户的守法和安全经营意识。</w:t>
      </w:r>
      <w:r>
        <w:rPr>
          <w:rFonts w:hint="default" w:ascii="Times New Roman" w:hAnsi="Times New Roman" w:eastAsia="仿宋_GB2312" w:cs="Times New Roman"/>
          <w:color w:val="auto"/>
          <w:sz w:val="32"/>
          <w:szCs w:val="32"/>
          <w:lang w:val="en-US" w:eastAsia="zh-CN"/>
        </w:rPr>
        <w:t>2024年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bidi="ar"/>
        </w:rPr>
        <w:t>共出动执法人员近</w:t>
      </w:r>
      <w:r>
        <w:rPr>
          <w:rFonts w:hint="default" w:ascii="Times New Roman" w:hAnsi="Times New Roman" w:eastAsia="方正小标宋简体" w:cs="Times New Roman"/>
          <w:color w:val="auto"/>
          <w:sz w:val="32"/>
          <w:szCs w:val="32"/>
          <w:lang w:val="en-US" w:eastAsia="zh-CN"/>
        </w:rPr>
        <w:t>350</w:t>
      </w:r>
      <w:r>
        <w:rPr>
          <w:rFonts w:hint="default" w:ascii="Times New Roman" w:hAnsi="Times New Roman" w:eastAsia="仿宋_GB2312" w:cs="Times New Roman"/>
          <w:color w:val="auto"/>
          <w:sz w:val="32"/>
          <w:szCs w:val="32"/>
          <w:lang w:bidi="ar"/>
        </w:rPr>
        <w:t>人次，检查经营场所</w:t>
      </w:r>
      <w:r>
        <w:rPr>
          <w:rFonts w:hint="default" w:ascii="Times New Roman" w:hAnsi="Times New Roman" w:eastAsia="方正小标宋简体" w:cs="Times New Roman"/>
          <w:color w:val="auto"/>
          <w:sz w:val="32"/>
          <w:szCs w:val="32"/>
          <w:lang w:val="en-US" w:eastAsia="zh-CN"/>
        </w:rPr>
        <w:t>100</w:t>
      </w:r>
      <w:r>
        <w:rPr>
          <w:rFonts w:hint="default" w:ascii="Times New Roman" w:hAnsi="Times New Roman" w:eastAsia="仿宋_GB2312" w:cs="Times New Roman"/>
          <w:color w:val="auto"/>
          <w:sz w:val="32"/>
          <w:szCs w:val="32"/>
          <w:lang w:bidi="ar"/>
        </w:rPr>
        <w:t>余家次，作出行政处罚</w:t>
      </w:r>
      <w:r>
        <w:rPr>
          <w:rFonts w:hint="default" w:ascii="Times New Roman" w:hAnsi="Times New Roman" w:eastAsia="方正小标宋简体" w:cs="Times New Roman"/>
          <w:color w:val="auto"/>
          <w:sz w:val="32"/>
          <w:szCs w:val="32"/>
          <w:lang w:val="en-US" w:eastAsia="zh-CN"/>
        </w:rPr>
        <w:t>2</w:t>
      </w:r>
      <w:r>
        <w:rPr>
          <w:rFonts w:hint="default" w:ascii="Times New Roman" w:hAnsi="Times New Roman" w:eastAsia="仿宋_GB2312" w:cs="Times New Roman"/>
          <w:color w:val="auto"/>
          <w:sz w:val="32"/>
          <w:szCs w:val="32"/>
          <w:lang w:bidi="ar"/>
        </w:rPr>
        <w:t>起、</w:t>
      </w:r>
      <w:r>
        <w:rPr>
          <w:rFonts w:hint="default" w:ascii="Times New Roman" w:hAnsi="Times New Roman" w:eastAsia="仿宋_GB2312" w:cs="Times New Roman"/>
          <w:color w:val="auto"/>
          <w:sz w:val="32"/>
          <w:szCs w:val="32"/>
        </w:rPr>
        <w:t>查处违规经营行为</w:t>
      </w:r>
      <w:r>
        <w:rPr>
          <w:rFonts w:hint="default" w:ascii="Times New Roman" w:hAnsi="Times New Roman" w:eastAsia="仿宋_GB2312" w:cs="Times New Roman"/>
          <w:color w:val="auto"/>
          <w:sz w:val="32"/>
          <w:szCs w:val="32"/>
          <w:lang w:val="en-US" w:eastAsia="zh-CN"/>
        </w:rPr>
        <w:t>18起</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bidi="ar"/>
        </w:rPr>
        <w:t>有效地规范和维护了我县文化市场的正常经营秩序，确保了市场的平安健康发展。</w:t>
      </w:r>
      <w:r>
        <w:rPr>
          <w:rFonts w:hint="default" w:ascii="Times New Roman" w:hAnsi="Times New Roman" w:eastAsia="仿宋" w:cs="Times New Roman"/>
          <w:b/>
          <w:bCs/>
          <w:color w:val="auto"/>
          <w:sz w:val="32"/>
          <w:szCs w:val="32"/>
          <w:lang w:val="en-US" w:eastAsia="zh-CN"/>
        </w:rPr>
        <w:t>二是广电行业监管强化，内容质量显著提升。</w:t>
      </w:r>
      <w:r>
        <w:rPr>
          <w:rFonts w:hint="default" w:ascii="Times New Roman" w:hAnsi="Times New Roman" w:eastAsia="仿宋_GB2312" w:cs="Times New Roman"/>
          <w:color w:val="auto"/>
          <w:sz w:val="32"/>
          <w:szCs w:val="32"/>
          <w:lang w:val="en-US" w:eastAsia="zh-CN" w:bidi="ar"/>
        </w:rPr>
        <w:t>开展境外卫星电视传播秩序专项整治、广播电视设施保护、宾馆酒店行业电视信号传播秩序专项整治和酒店电视操作复杂专项治理工作；炎陵县应急广播体系建设项目顺利通过湖南省广播电视局验收；完成广播电视统计直报工作。</w:t>
      </w:r>
      <w:r>
        <w:rPr>
          <w:rFonts w:hint="default" w:ascii="Times New Roman" w:hAnsi="Times New Roman" w:eastAsia="仿宋" w:cs="Times New Roman"/>
          <w:b/>
          <w:bCs/>
          <w:color w:val="auto"/>
          <w:sz w:val="32"/>
          <w:szCs w:val="32"/>
          <w:lang w:val="en-US" w:eastAsia="zh-CN"/>
        </w:rPr>
        <w:t>三是安全生产常抓不懈，保障行业稳定发展。</w:t>
      </w:r>
      <w:r>
        <w:rPr>
          <w:rFonts w:hint="default" w:ascii="Times New Roman" w:hAnsi="Times New Roman" w:eastAsia="仿宋_GB2312" w:cs="Times New Roman"/>
          <w:color w:val="auto"/>
          <w:sz w:val="32"/>
          <w:szCs w:val="32"/>
          <w:lang w:val="en-US" w:eastAsia="zh-CN"/>
        </w:rPr>
        <w:t>开展全县文旅广体行业开展摸底排查工作，成立安全生产督查检查小组</w:t>
      </w:r>
      <w:r>
        <w:rPr>
          <w:rFonts w:hint="default" w:ascii="Times New Roman" w:hAnsi="Times New Roman" w:eastAsia="方正小标宋简体"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个，出动检查人员</w:t>
      </w:r>
      <w:r>
        <w:rPr>
          <w:rFonts w:hint="default" w:ascii="Times New Roman" w:hAnsi="Times New Roman" w:eastAsia="方正小标宋简体" w:cs="Times New Roman"/>
          <w:color w:val="auto"/>
          <w:sz w:val="32"/>
          <w:szCs w:val="32"/>
          <w:lang w:val="en-US" w:eastAsia="zh-CN"/>
        </w:rPr>
        <w:t>200</w:t>
      </w:r>
      <w:r>
        <w:rPr>
          <w:rFonts w:hint="default" w:ascii="Times New Roman" w:hAnsi="Times New Roman" w:eastAsia="仿宋_GB2312" w:cs="Times New Roman"/>
          <w:color w:val="auto"/>
          <w:sz w:val="32"/>
          <w:szCs w:val="32"/>
          <w:lang w:val="en-US" w:eastAsia="zh-CN"/>
        </w:rPr>
        <w:t>人次，检查文旅广体企业</w:t>
      </w:r>
      <w:r>
        <w:rPr>
          <w:rFonts w:hint="default" w:ascii="Times New Roman" w:hAnsi="Times New Roman" w:eastAsia="方正小标宋简体" w:cs="Times New Roman"/>
          <w:color w:val="auto"/>
          <w:sz w:val="32"/>
          <w:szCs w:val="32"/>
          <w:lang w:val="en-US" w:eastAsia="zh-CN"/>
        </w:rPr>
        <w:t>140</w:t>
      </w:r>
      <w:r>
        <w:rPr>
          <w:rFonts w:hint="default" w:ascii="Times New Roman" w:hAnsi="Times New Roman" w:eastAsia="仿宋_GB2312" w:cs="Times New Roman"/>
          <w:color w:val="auto"/>
          <w:sz w:val="32"/>
          <w:szCs w:val="32"/>
          <w:lang w:val="en-US" w:eastAsia="zh-CN"/>
        </w:rPr>
        <w:t>家，排查出大小安全隐患</w:t>
      </w:r>
      <w:r>
        <w:rPr>
          <w:rFonts w:hint="default" w:ascii="Times New Roman" w:hAnsi="Times New Roman" w:eastAsia="方正小标宋简体" w:cs="Times New Roman"/>
          <w:color w:val="auto"/>
          <w:sz w:val="32"/>
          <w:szCs w:val="32"/>
          <w:lang w:val="en-US" w:eastAsia="zh-CN"/>
        </w:rPr>
        <w:t>45</w:t>
      </w:r>
      <w:r>
        <w:rPr>
          <w:rFonts w:hint="default" w:ascii="Times New Roman" w:hAnsi="Times New Roman" w:eastAsia="仿宋_GB2312" w:cs="Times New Roman"/>
          <w:color w:val="auto"/>
          <w:sz w:val="32"/>
          <w:szCs w:val="32"/>
          <w:lang w:val="en-US" w:eastAsia="zh-CN"/>
        </w:rPr>
        <w:t>处，督促完成整改</w:t>
      </w:r>
      <w:r>
        <w:rPr>
          <w:rFonts w:hint="default" w:ascii="Times New Roman" w:hAnsi="Times New Roman" w:eastAsia="方正小标宋简体" w:cs="Times New Roman"/>
          <w:color w:val="auto"/>
          <w:sz w:val="32"/>
          <w:szCs w:val="32"/>
          <w:lang w:val="en-US" w:eastAsia="zh-CN"/>
        </w:rPr>
        <w:t>45</w:t>
      </w:r>
      <w:r>
        <w:rPr>
          <w:rFonts w:hint="default" w:ascii="Times New Roman" w:hAnsi="Times New Roman" w:eastAsia="仿宋_GB2312" w:cs="Times New Roman"/>
          <w:color w:val="auto"/>
          <w:sz w:val="32"/>
          <w:szCs w:val="32"/>
          <w:lang w:val="en-US" w:eastAsia="zh-CN"/>
        </w:rPr>
        <w:t>处。利用专题会议、行业管理群加大政策法规宣传力度，实行摸排整治全覆盖、零容忍，着力规范文化旅游市场经营行为，强化经营单位和业主行业自律。</w:t>
      </w:r>
    </w:p>
    <w:p w14:paraId="065510EB">
      <w:pPr>
        <w:pStyle w:val="13"/>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6F2D0B33">
      <w:pPr>
        <w:pStyle w:val="6"/>
        <w:keepNext w:val="0"/>
        <w:keepLines w:val="0"/>
        <w:pageBreakBefore w:val="0"/>
        <w:widowControl w:val="0"/>
        <w:kinsoku/>
        <w:wordWrap/>
        <w:topLinePunct w:val="0"/>
        <w:autoSpaceDE/>
        <w:autoSpaceDN/>
        <w:bidi w:val="0"/>
        <w:spacing w:after="0" w:line="560" w:lineRule="exact"/>
        <w:ind w:left="0" w:leftChars="0" w:right="0" w:rightChars="0" w:firstLine="640" w:firstLineChars="200"/>
        <w:jc w:val="both"/>
        <w:textAlignment w:val="auto"/>
        <w:rPr>
          <w:rFonts w:hint="eastAsia" w:ascii="仿宋_GB2312" w:hAnsi="仿宋" w:eastAsia="仿宋_GB2312" w:cs="楷体_GB2312"/>
          <w:snapToGrid w:val="0"/>
          <w:color w:val="auto"/>
          <w:kern w:val="0"/>
          <w:sz w:val="32"/>
          <w:szCs w:val="21"/>
          <w:lang w:val="en-US" w:eastAsia="zh-CN" w:bidi="ar-SA"/>
        </w:rPr>
      </w:pPr>
      <w:r>
        <w:rPr>
          <w:rFonts w:hint="eastAsia" w:ascii="仿宋_GB2312" w:hAnsi="仿宋" w:eastAsia="仿宋_GB2312" w:cs="楷体_GB2312"/>
          <w:snapToGrid w:val="0"/>
          <w:color w:val="auto"/>
          <w:kern w:val="0"/>
          <w:sz w:val="32"/>
          <w:szCs w:val="21"/>
          <w:lang w:val="en-US" w:eastAsia="zh-CN" w:bidi="ar-SA"/>
        </w:rPr>
        <w:t>1.</w:t>
      </w:r>
      <w:r>
        <w:rPr>
          <w:rFonts w:hint="default" w:ascii="仿宋_GB2312" w:hAnsi="仿宋" w:eastAsia="仿宋_GB2312" w:cs="楷体_GB2312"/>
          <w:snapToGrid w:val="0"/>
          <w:color w:val="auto"/>
          <w:kern w:val="0"/>
          <w:sz w:val="32"/>
          <w:szCs w:val="21"/>
          <w:lang w:val="en-US" w:eastAsia="zh-CN" w:bidi="ar-SA"/>
        </w:rPr>
        <w:t>预算追加比例较大，</w:t>
      </w:r>
      <w:r>
        <w:rPr>
          <w:rFonts w:hint="eastAsia" w:ascii="仿宋_GB2312" w:hAnsi="仿宋" w:eastAsia="仿宋_GB2312" w:cs="楷体_GB2312"/>
          <w:snapToGrid w:val="0"/>
          <w:color w:val="auto"/>
          <w:kern w:val="0"/>
          <w:sz w:val="32"/>
          <w:szCs w:val="21"/>
          <w:lang w:val="en-US" w:eastAsia="zh-CN" w:bidi="ar-SA"/>
        </w:rPr>
        <w:t>大</w:t>
      </w:r>
      <w:r>
        <w:rPr>
          <w:rFonts w:hint="default" w:ascii="仿宋_GB2312" w:hAnsi="仿宋" w:eastAsia="仿宋_GB2312" w:cs="楷体_GB2312"/>
          <w:snapToGrid w:val="0"/>
          <w:color w:val="auto"/>
          <w:kern w:val="0"/>
          <w:sz w:val="32"/>
          <w:szCs w:val="21"/>
          <w:lang w:val="en-US" w:eastAsia="zh-CN" w:bidi="ar-SA"/>
        </w:rPr>
        <w:t>部分</w:t>
      </w:r>
      <w:r>
        <w:rPr>
          <w:rFonts w:hint="eastAsia" w:ascii="仿宋_GB2312" w:hAnsi="仿宋" w:eastAsia="仿宋_GB2312" w:cs="楷体_GB2312"/>
          <w:snapToGrid w:val="0"/>
          <w:color w:val="auto"/>
          <w:kern w:val="0"/>
          <w:sz w:val="32"/>
          <w:szCs w:val="21"/>
          <w:lang w:val="en-US" w:eastAsia="zh-CN" w:bidi="ar-SA"/>
        </w:rPr>
        <w:t>向上争取的</w:t>
      </w:r>
      <w:r>
        <w:rPr>
          <w:rFonts w:hint="default" w:ascii="仿宋_GB2312" w:hAnsi="仿宋" w:eastAsia="仿宋_GB2312" w:cs="楷体_GB2312"/>
          <w:snapToGrid w:val="0"/>
          <w:color w:val="auto"/>
          <w:kern w:val="0"/>
          <w:sz w:val="32"/>
          <w:szCs w:val="21"/>
          <w:lang w:val="en-US" w:eastAsia="zh-CN" w:bidi="ar-SA"/>
        </w:rPr>
        <w:t>项目</w:t>
      </w:r>
      <w:r>
        <w:rPr>
          <w:rFonts w:hint="eastAsia" w:ascii="仿宋_GB2312" w:hAnsi="仿宋" w:eastAsia="仿宋_GB2312" w:cs="楷体_GB2312"/>
          <w:snapToGrid w:val="0"/>
          <w:color w:val="auto"/>
          <w:kern w:val="0"/>
          <w:sz w:val="32"/>
          <w:szCs w:val="21"/>
          <w:lang w:val="en-US" w:eastAsia="zh-CN" w:bidi="ar-SA"/>
        </w:rPr>
        <w:t>资金当年</w:t>
      </w:r>
      <w:r>
        <w:rPr>
          <w:rFonts w:hint="default" w:ascii="仿宋_GB2312" w:hAnsi="仿宋" w:eastAsia="仿宋_GB2312" w:cs="楷体_GB2312"/>
          <w:snapToGrid w:val="0"/>
          <w:color w:val="auto"/>
          <w:kern w:val="0"/>
          <w:sz w:val="32"/>
          <w:szCs w:val="21"/>
          <w:lang w:val="en-US" w:eastAsia="zh-CN" w:bidi="ar-SA"/>
        </w:rPr>
        <w:t>执行率较低。</w:t>
      </w:r>
      <w:r>
        <w:rPr>
          <w:rFonts w:hint="eastAsia" w:ascii="仿宋_GB2312" w:hAnsi="仿宋" w:eastAsia="仿宋_GB2312" w:cs="楷体_GB2312"/>
          <w:snapToGrid w:val="0"/>
          <w:color w:val="auto"/>
          <w:kern w:val="0"/>
          <w:sz w:val="32"/>
          <w:szCs w:val="21"/>
          <w:lang w:val="en-US" w:eastAsia="zh-CN" w:bidi="ar-SA"/>
        </w:rPr>
        <w:t>向上争取资金</w:t>
      </w:r>
      <w:r>
        <w:rPr>
          <w:rFonts w:hint="default" w:ascii="仿宋_GB2312" w:hAnsi="仿宋" w:eastAsia="仿宋_GB2312" w:cs="楷体_GB2312"/>
          <w:snapToGrid w:val="0"/>
          <w:color w:val="auto"/>
          <w:kern w:val="0"/>
          <w:sz w:val="32"/>
          <w:szCs w:val="21"/>
          <w:lang w:val="en-US" w:eastAsia="zh-CN" w:bidi="ar-SA"/>
        </w:rPr>
        <w:t>一是存在金额上的不确定，二是存在时间上及时性的不确定，</w:t>
      </w:r>
      <w:r>
        <w:rPr>
          <w:rFonts w:hint="eastAsia" w:ascii="仿宋_GB2312" w:eastAsia="仿宋_GB2312" w:cs="楷体_GB2312"/>
          <w:snapToGrid w:val="0"/>
          <w:color w:val="auto"/>
          <w:kern w:val="0"/>
          <w:sz w:val="32"/>
          <w:szCs w:val="21"/>
          <w:lang w:val="en-US" w:eastAsia="zh-CN" w:bidi="ar-SA"/>
        </w:rPr>
        <w:t>导致</w:t>
      </w:r>
      <w:r>
        <w:rPr>
          <w:rFonts w:hint="default" w:ascii="仿宋_GB2312" w:hAnsi="仿宋" w:eastAsia="仿宋_GB2312" w:cs="楷体_GB2312"/>
          <w:snapToGrid w:val="0"/>
          <w:color w:val="auto"/>
          <w:kern w:val="0"/>
          <w:sz w:val="32"/>
          <w:szCs w:val="21"/>
          <w:lang w:val="en-US" w:eastAsia="zh-CN" w:bidi="ar-SA"/>
        </w:rPr>
        <w:t>一定程度</w:t>
      </w:r>
      <w:r>
        <w:rPr>
          <w:rFonts w:hint="eastAsia" w:ascii="仿宋_GB2312" w:eastAsia="仿宋_GB2312" w:cs="楷体_GB2312"/>
          <w:snapToGrid w:val="0"/>
          <w:color w:val="auto"/>
          <w:kern w:val="0"/>
          <w:sz w:val="32"/>
          <w:szCs w:val="21"/>
          <w:lang w:val="en-US" w:eastAsia="zh-CN" w:bidi="ar-SA"/>
        </w:rPr>
        <w:t>地</w:t>
      </w:r>
      <w:r>
        <w:rPr>
          <w:rFonts w:hint="default" w:ascii="仿宋_GB2312" w:hAnsi="仿宋" w:eastAsia="仿宋_GB2312" w:cs="楷体_GB2312"/>
          <w:snapToGrid w:val="0"/>
          <w:color w:val="auto"/>
          <w:kern w:val="0"/>
          <w:sz w:val="32"/>
          <w:szCs w:val="21"/>
          <w:lang w:val="en-US" w:eastAsia="zh-CN" w:bidi="ar-SA"/>
        </w:rPr>
        <w:t>影响项目工作的计划和开展，也一定程度</w:t>
      </w:r>
      <w:r>
        <w:rPr>
          <w:rFonts w:hint="eastAsia" w:ascii="仿宋_GB2312" w:eastAsia="仿宋_GB2312" w:cs="楷体_GB2312"/>
          <w:snapToGrid w:val="0"/>
          <w:color w:val="auto"/>
          <w:kern w:val="0"/>
          <w:sz w:val="32"/>
          <w:szCs w:val="21"/>
          <w:lang w:val="en-US" w:eastAsia="zh-CN" w:bidi="ar-SA"/>
        </w:rPr>
        <w:t>地</w:t>
      </w:r>
      <w:r>
        <w:rPr>
          <w:rFonts w:hint="default" w:ascii="仿宋_GB2312" w:hAnsi="仿宋" w:eastAsia="仿宋_GB2312" w:cs="楷体_GB2312"/>
          <w:snapToGrid w:val="0"/>
          <w:color w:val="auto"/>
          <w:kern w:val="0"/>
          <w:sz w:val="32"/>
          <w:szCs w:val="21"/>
          <w:lang w:val="en-US" w:eastAsia="zh-CN" w:bidi="ar-SA"/>
        </w:rPr>
        <w:t>影响了项目支出的预算执行进度。</w:t>
      </w:r>
    </w:p>
    <w:p w14:paraId="23EEE0F1">
      <w:pPr>
        <w:spacing w:line="600" w:lineRule="exact"/>
        <w:ind w:firstLine="640" w:firstLineChars="200"/>
        <w:rPr>
          <w:rFonts w:hint="eastAsia" w:ascii="仿宋_GB2312" w:hAnsi="仿宋" w:eastAsia="仿宋_GB2312" w:cs="楷体_GB2312"/>
          <w:snapToGrid w:val="0"/>
          <w:color w:val="auto"/>
          <w:kern w:val="0"/>
          <w:sz w:val="32"/>
          <w:szCs w:val="21"/>
          <w:lang w:val="en-US" w:eastAsia="en-US" w:bidi="ar-SA"/>
        </w:rPr>
      </w:pPr>
      <w:r>
        <w:rPr>
          <w:rFonts w:hint="eastAsia" w:ascii="仿宋_GB2312" w:hAnsi="仿宋" w:eastAsia="仿宋_GB2312" w:cs="楷体_GB2312"/>
          <w:snapToGrid w:val="0"/>
          <w:color w:val="auto"/>
          <w:kern w:val="0"/>
          <w:sz w:val="32"/>
          <w:szCs w:val="21"/>
          <w:lang w:val="en-US" w:eastAsia="zh-CN" w:bidi="ar-SA"/>
        </w:rPr>
        <w:t>2.</w:t>
      </w:r>
      <w:r>
        <w:rPr>
          <w:rFonts w:hint="eastAsia" w:ascii="仿宋_GB2312" w:hAnsi="仿宋" w:eastAsia="仿宋_GB2312" w:cs="楷体_GB2312"/>
          <w:snapToGrid w:val="0"/>
          <w:color w:val="auto"/>
          <w:kern w:val="0"/>
          <w:sz w:val="32"/>
          <w:szCs w:val="21"/>
          <w:lang w:val="en-US" w:eastAsia="en-US" w:bidi="ar-SA"/>
        </w:rPr>
        <w:t>专业技术人才缺乏，局机关编制不足，仅有10个编制，不能满足各项业务工作开展的需要。</w:t>
      </w:r>
    </w:p>
    <w:p w14:paraId="6FE147F1">
      <w:pPr>
        <w:widowControl/>
        <w:numPr>
          <w:ilvl w:val="0"/>
          <w:numId w:val="3"/>
        </w:numPr>
        <w:spacing w:line="520" w:lineRule="exact"/>
        <w:ind w:firstLine="640" w:firstLineChars="200"/>
        <w:jc w:val="left"/>
        <w:rPr>
          <w:rFonts w:eastAsia="黑体"/>
          <w:sz w:val="32"/>
          <w:szCs w:val="32"/>
        </w:rPr>
      </w:pPr>
      <w:r>
        <w:rPr>
          <w:rFonts w:eastAsia="黑体"/>
          <w:sz w:val="32"/>
          <w:szCs w:val="32"/>
        </w:rPr>
        <w:t>下一步改进措施</w:t>
      </w:r>
    </w:p>
    <w:p w14:paraId="24B3B32C">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提前谋划，加强沟通，</w:t>
      </w:r>
      <w:r>
        <w:rPr>
          <w:rFonts w:hint="eastAsia" w:ascii="Times New Roman" w:hAnsi="Times New Roman" w:eastAsia="仿宋_GB2312" w:cs="Times New Roman"/>
          <w:color w:val="000000"/>
          <w:kern w:val="2"/>
          <w:sz w:val="32"/>
          <w:szCs w:val="32"/>
          <w:lang w:val="en-US" w:eastAsia="zh-CN" w:bidi="ar-SA"/>
        </w:rPr>
        <w:t>一</w:t>
      </w:r>
      <w:r>
        <w:rPr>
          <w:rFonts w:hint="default" w:ascii="Times New Roman" w:hAnsi="Times New Roman" w:eastAsia="仿宋_GB2312" w:cs="Times New Roman"/>
          <w:color w:val="000000"/>
          <w:kern w:val="2"/>
          <w:sz w:val="32"/>
          <w:szCs w:val="32"/>
          <w:lang w:val="en-US" w:eastAsia="zh-CN" w:bidi="ar-SA"/>
        </w:rPr>
        <w:t>是加快项目工作的实施，按设定的时限完成项目工作。</w:t>
      </w:r>
      <w:r>
        <w:rPr>
          <w:rFonts w:hint="eastAsia" w:ascii="Times New Roman" w:hAnsi="Times New Roman" w:eastAsia="仿宋_GB2312" w:cs="Times New Roman"/>
          <w:color w:val="000000"/>
          <w:kern w:val="2"/>
          <w:sz w:val="32"/>
          <w:szCs w:val="32"/>
          <w:lang w:val="en-US" w:eastAsia="zh-CN" w:bidi="ar-SA"/>
        </w:rPr>
        <w:t>二</w:t>
      </w:r>
      <w:r>
        <w:rPr>
          <w:rFonts w:hint="default" w:ascii="Times New Roman" w:hAnsi="Times New Roman" w:eastAsia="仿宋_GB2312" w:cs="Times New Roman"/>
          <w:color w:val="000000"/>
          <w:kern w:val="2"/>
          <w:sz w:val="32"/>
          <w:szCs w:val="32"/>
          <w:lang w:val="en-US" w:eastAsia="zh-CN" w:bidi="ar-SA"/>
        </w:rPr>
        <w:t>是按季度进行预算执行进度分析和通报，督促加快项目实施进度。</w:t>
      </w:r>
    </w:p>
    <w:p w14:paraId="4D7A1B8C">
      <w:pPr>
        <w:widowControl/>
        <w:spacing w:line="520" w:lineRule="exact"/>
        <w:ind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14:paraId="1ABA9582">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无。</w:t>
      </w:r>
    </w:p>
    <w:p w14:paraId="2EF0A72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14:paraId="7EE12FCE"/>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FF6C3">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BD336747"/>
    <w:multiLevelType w:val="singleLevel"/>
    <w:tmpl w:val="BD336747"/>
    <w:lvl w:ilvl="0" w:tentative="0">
      <w:start w:val="8"/>
      <w:numFmt w:val="chineseCounting"/>
      <w:suff w:val="nothing"/>
      <w:lvlText w:val="%1、"/>
      <w:lvlJc w:val="left"/>
      <w:rPr>
        <w:rFonts w:hint="eastAsia"/>
      </w:rPr>
    </w:lvl>
  </w:abstractNum>
  <w:abstractNum w:abstractNumId="2">
    <w:nsid w:val="FDC310B5"/>
    <w:multiLevelType w:val="singleLevel"/>
    <w:tmpl w:val="FDC310B5"/>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Yjc1MDY4NWRjMTBlZWQyNjZiOGYyYzZmOTUwOTMifQ=="/>
  </w:docVars>
  <w:rsids>
    <w:rsidRoot w:val="00000000"/>
    <w:rsid w:val="00A11DE7"/>
    <w:rsid w:val="09A4339E"/>
    <w:rsid w:val="108E1041"/>
    <w:rsid w:val="128A4884"/>
    <w:rsid w:val="1791130A"/>
    <w:rsid w:val="2A215BB5"/>
    <w:rsid w:val="337C7A9C"/>
    <w:rsid w:val="33CC4863"/>
    <w:rsid w:val="34BB4F56"/>
    <w:rsid w:val="4A063530"/>
    <w:rsid w:val="4C013C83"/>
    <w:rsid w:val="505871B8"/>
    <w:rsid w:val="532B7685"/>
    <w:rsid w:val="6D3C7206"/>
    <w:rsid w:val="72497A62"/>
    <w:rsid w:val="7ED90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Salutation"/>
    <w:next w:val="1"/>
    <w:qFormat/>
    <w:uiPriority w:val="99"/>
    <w:pPr>
      <w:widowControl w:val="0"/>
      <w:jc w:val="both"/>
    </w:pPr>
    <w:rPr>
      <w:rFonts w:ascii="Times New Roman" w:hAnsi="Times New Roman" w:eastAsia="宋体" w:cs="Times New Roman"/>
      <w:kern w:val="2"/>
      <w:sz w:val="21"/>
      <w:szCs w:val="22"/>
      <w:lang w:val="en-US" w:eastAsia="zh-CN" w:bidi="ar-SA"/>
    </w:rPr>
  </w:style>
  <w:style w:type="paragraph" w:styleId="6">
    <w:name w:val="Body Text"/>
    <w:basedOn w:val="1"/>
    <w:semiHidden/>
    <w:qFormat/>
    <w:uiPriority w:val="0"/>
    <w:rPr>
      <w:rFonts w:ascii="仿宋" w:hAnsi="仿宋" w:eastAsia="仿宋" w:cs="仿宋"/>
      <w:sz w:val="32"/>
      <w:szCs w:val="32"/>
      <w:lang w:val="en-US" w:eastAsia="en-US" w:bidi="ar-SA"/>
    </w:rPr>
  </w:style>
  <w:style w:type="paragraph" w:styleId="7">
    <w:name w:val="toc 1"/>
    <w:basedOn w:val="1"/>
    <w:next w:val="1"/>
    <w:semiHidden/>
    <w:qFormat/>
    <w:uiPriority w:val="99"/>
  </w:style>
  <w:style w:type="paragraph" w:styleId="8">
    <w:name w:val="toc 2"/>
    <w:basedOn w:val="1"/>
    <w:next w:val="1"/>
    <w:qFormat/>
    <w:uiPriority w:val="0"/>
    <w:pPr>
      <w:ind w:left="420" w:leftChars="200"/>
    </w:p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2">
    <w:name w:val="Strong"/>
    <w:basedOn w:val="11"/>
    <w:qFormat/>
    <w:uiPriority w:val="0"/>
    <w:rPr>
      <w:b/>
    </w:rPr>
  </w:style>
  <w:style w:type="paragraph" w:styleId="13">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4506</Words>
  <Characters>4739</Characters>
  <Lines>0</Lines>
  <Paragraphs>0</Paragraphs>
  <TotalTime>0</TotalTime>
  <ScaleCrop>false</ScaleCrop>
  <LinksUpToDate>false</LinksUpToDate>
  <CharactersWithSpaces>4753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2024-10-15T07:58:00Z</dcterms:created>
  <dc:creator>Administrator</dc:creator>
  <cp:lastModifiedBy>Administrator</cp:lastModifiedBy>
  <dcterms:modified xsi:type="dcterms:W3CDTF">2025-11-07T08:01:27Z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F1A404CBFEEF4D37AB52102BBF80FDB8_12</vt:lpwstr>
  </property>
  <property fmtid="{D5CDD505-2E9C-101B-9397-08002B2CF9AE}" pid="4" name="KSOTemplateDocerSaveRecord">
    <vt:lpwstr>eyJoZGlkIjoiMmYzODJiNWI0ODE2NjFmODRlMzgzNzY0N2UyZGIzNjYiLCJ1c2VySWQiOiI1NDY4MDAzMjYifQ==</vt:lpwstr>
  </property>
</Properties>
</file>