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bookmarkStart w:id="2" w:name="_GoBack"/>
      <w:bookmarkEnd w:id="2"/>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A3F7AAA">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2024年度炎陵县沔渡镇学校</w:t>
      </w: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17F58897">
      <w:pPr>
        <w:spacing w:line="600" w:lineRule="exact"/>
        <w:jc w:val="center"/>
        <w:rPr>
          <w:rFonts w:eastAsia="楷体_GB2312"/>
          <w:sz w:val="32"/>
          <w:szCs w:val="32"/>
        </w:rPr>
      </w:pP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082DCFC8">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14:paraId="123D12D1">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98BEB94">
      <w:pPr>
        <w:spacing w:line="600" w:lineRule="exact"/>
        <w:jc w:val="center"/>
        <w:rPr>
          <w:rFonts w:hint="eastAsia" w:ascii="仿宋_GB2312" w:hAnsi="仿宋_GB2312" w:eastAsia="仿宋_GB2312" w:cs="仿宋_GB2312"/>
          <w:sz w:val="32"/>
          <w:szCs w:val="32"/>
          <w:lang w:val="en-US" w:eastAsia="zh-CN"/>
        </w:rPr>
      </w:pP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7"/>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049DC1A2">
      <w:pPr>
        <w:pStyle w:val="7"/>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14:paraId="34096008">
      <w:pPr>
        <w:keepNext w:val="0"/>
        <w:keepLines w:val="0"/>
        <w:widowControl/>
        <w:suppressLineNumbers w:val="0"/>
        <w:snapToGrid w:val="0"/>
        <w:spacing w:before="0" w:beforeAutospacing="0" w:after="0" w:afterAutospacing="0" w:line="52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snapToGrid w:val="0"/>
          <w:color w:val="000000"/>
          <w:kern w:val="0"/>
          <w:sz w:val="32"/>
          <w:szCs w:val="32"/>
          <w:lang w:val="en-US" w:eastAsia="zh-CN" w:bidi="ar"/>
        </w:rPr>
        <w:t>1．主要职能。</w:t>
      </w:r>
    </w:p>
    <w:p w14:paraId="6D3B976A">
      <w:pPr>
        <w:keepNext w:val="0"/>
        <w:keepLines w:val="0"/>
        <w:widowControl/>
        <w:suppressLineNumbers w:val="0"/>
        <w:spacing w:before="0" w:beforeAutospacing="0" w:after="0" w:afterAutospacing="0" w:line="600" w:lineRule="exact"/>
        <w:ind w:left="0" w:right="0" w:firstLine="640" w:firstLineChars="200"/>
        <w:jc w:val="left"/>
        <w:rPr>
          <w:rFonts w:hint="eastAsia" w:ascii="仿宋_GB2312" w:eastAsia="仿宋_GB2312" w:cs="仿宋_GB2312"/>
          <w:sz w:val="32"/>
          <w:szCs w:val="32"/>
          <w:lang w:val="en-US"/>
        </w:rPr>
      </w:pPr>
      <w:bookmarkStart w:id="0" w:name="OLE_LINK1"/>
      <w:r>
        <w:rPr>
          <w:rFonts w:hint="eastAsia" w:ascii="仿宋_GB2312" w:hAnsi="宋体" w:eastAsia="仿宋_GB2312" w:cs="仿宋_GB2312"/>
          <w:snapToGrid w:val="0"/>
          <w:color w:val="000000"/>
          <w:kern w:val="0"/>
          <w:sz w:val="32"/>
          <w:szCs w:val="32"/>
          <w:lang w:val="en-US" w:eastAsia="zh-CN" w:bidi="ar"/>
        </w:rPr>
        <w:t>炎陵县沔渡镇学校是由教育主管部门管辖的独立核算单位之一，负责本单位的收入、支出的预算和决算工作，实行初中学历、小学学历教育。</w:t>
      </w:r>
    </w:p>
    <w:bookmarkEnd w:id="0"/>
    <w:p w14:paraId="37FF5C69">
      <w:pPr>
        <w:keepNext w:val="0"/>
        <w:keepLines w:val="0"/>
        <w:widowControl/>
        <w:suppressLineNumbers w:val="0"/>
        <w:snapToGrid w:val="0"/>
        <w:spacing w:before="0" w:beforeAutospacing="0" w:after="0" w:afterAutospacing="0" w:line="520" w:lineRule="exact"/>
        <w:ind w:left="0" w:right="0" w:firstLine="640" w:firstLineChars="200"/>
        <w:jc w:val="left"/>
        <w:rPr>
          <w:rFonts w:hint="eastAsia" w:ascii="仿宋_GB2312" w:hAnsi="仿宋" w:eastAsia="仿宋_GB2312" w:cs="仿宋_GB2312"/>
          <w:sz w:val="32"/>
          <w:szCs w:val="32"/>
          <w:lang w:val="en-US"/>
        </w:rPr>
      </w:pPr>
      <w:r>
        <w:rPr>
          <w:rFonts w:hint="eastAsia" w:ascii="仿宋_GB2312" w:hAnsi="仿宋" w:eastAsia="仿宋_GB2312" w:cs="仿宋_GB2312"/>
          <w:snapToGrid w:val="0"/>
          <w:color w:val="000000"/>
          <w:kern w:val="0"/>
          <w:sz w:val="32"/>
          <w:szCs w:val="32"/>
          <w:lang w:val="en-US" w:eastAsia="zh-CN" w:bidi="ar"/>
        </w:rPr>
        <w:t>2．机构情况</w:t>
      </w:r>
    </w:p>
    <w:p w14:paraId="42551F32">
      <w:pPr>
        <w:widowControl/>
        <w:spacing w:line="520" w:lineRule="exact"/>
        <w:ind w:firstLine="640" w:firstLineChars="200"/>
        <w:jc w:val="left"/>
        <w:rPr>
          <w:rFonts w:hint="eastAsia" w:ascii="仿宋_GB2312" w:eastAsia="仿宋_GB2312" w:cs="仿宋_GB2312"/>
          <w:sz w:val="32"/>
          <w:szCs w:val="32"/>
          <w:lang w:val="en-US"/>
        </w:rPr>
      </w:pPr>
      <w:r>
        <w:rPr>
          <w:rFonts w:hint="eastAsia" w:ascii="仿宋_GB2312" w:hAnsi="宋体" w:eastAsia="仿宋_GB2312" w:cs="仿宋_GB2312"/>
          <w:snapToGrid w:val="0"/>
          <w:color w:val="000000"/>
          <w:kern w:val="0"/>
          <w:sz w:val="32"/>
          <w:szCs w:val="32"/>
          <w:lang w:val="en-US" w:eastAsia="zh-CN" w:bidi="ar"/>
        </w:rPr>
        <w:t>炎陵县沔渡镇学校</w:t>
      </w:r>
      <w:r>
        <w:rPr>
          <w:rFonts w:hint="eastAsia" w:eastAsia="仿宋_GB2312"/>
          <w:sz w:val="32"/>
          <w:szCs w:val="32"/>
          <w:lang w:val="en-US" w:eastAsia="zh-CN"/>
        </w:rPr>
        <w:t>由沔渡镇中学、沔渡镇中心小学二所学校组成，属二级预算单位。</w:t>
      </w:r>
    </w:p>
    <w:p w14:paraId="7EC373F6">
      <w:pPr>
        <w:keepNext w:val="0"/>
        <w:keepLines w:val="0"/>
        <w:widowControl/>
        <w:suppressLineNumbers w:val="0"/>
        <w:spacing w:before="0" w:beforeAutospacing="0" w:after="0" w:afterAutospacing="0" w:line="600" w:lineRule="exact"/>
        <w:ind w:left="0" w:right="0" w:firstLine="640" w:firstLineChars="200"/>
        <w:jc w:val="left"/>
        <w:rPr>
          <w:rFonts w:hint="eastAsia" w:ascii="仿宋_GB2312" w:eastAsia="仿宋_GB2312" w:cs="仿宋_GB2312"/>
          <w:sz w:val="32"/>
          <w:szCs w:val="32"/>
          <w:lang w:val="en-US"/>
        </w:rPr>
      </w:pPr>
      <w:r>
        <w:rPr>
          <w:rFonts w:hint="eastAsia" w:ascii="仿宋_GB2312" w:hAnsi="宋体" w:eastAsia="仿宋_GB2312" w:cs="仿宋_GB2312"/>
          <w:snapToGrid w:val="0"/>
          <w:color w:val="000000"/>
          <w:kern w:val="0"/>
          <w:sz w:val="32"/>
          <w:szCs w:val="32"/>
          <w:lang w:val="en-US" w:eastAsia="zh-CN" w:bidi="ar"/>
        </w:rPr>
        <w:t>3．人员情况</w:t>
      </w:r>
    </w:p>
    <w:p w14:paraId="706FDDD9">
      <w:pPr>
        <w:keepNext w:val="0"/>
        <w:keepLines w:val="0"/>
        <w:widowControl/>
        <w:suppressLineNumbers w:val="0"/>
        <w:snapToGrid w:val="0"/>
        <w:spacing w:before="0" w:beforeAutospacing="0" w:after="0" w:afterAutospacing="0" w:line="520" w:lineRule="exact"/>
        <w:ind w:left="0" w:right="0" w:firstLine="640" w:firstLineChars="200"/>
        <w:jc w:val="left"/>
        <w:rPr>
          <w:rFonts w:hint="eastAsia" w:ascii="楷体_GB2312" w:hAnsi="楷体_GB2312" w:eastAsia="楷体_GB2312" w:cs="楷体_GB2312"/>
          <w:sz w:val="32"/>
          <w:szCs w:val="32"/>
          <w:lang w:val="en-US" w:eastAsia="zh-CN"/>
        </w:rPr>
      </w:pPr>
      <w:r>
        <w:rPr>
          <w:rFonts w:hint="eastAsia" w:ascii="仿宋_GB2312" w:eastAsia="仿宋_GB2312"/>
          <w:sz w:val="32"/>
          <w:szCs w:val="32"/>
        </w:rPr>
        <w:t>根据编办核定，我单位编制为54人，截止2024年</w:t>
      </w:r>
      <w:r>
        <w:rPr>
          <w:rFonts w:ascii="仿宋_GB2312" w:eastAsia="仿宋_GB2312"/>
          <w:sz w:val="32"/>
          <w:szCs w:val="32"/>
        </w:rPr>
        <w:t>12</w:t>
      </w:r>
      <w:r>
        <w:rPr>
          <w:rFonts w:hint="eastAsia" w:ascii="仿宋_GB2312" w:eastAsia="仿宋_GB2312"/>
          <w:sz w:val="32"/>
          <w:szCs w:val="32"/>
        </w:rPr>
        <w:t>月底，年末在编</w:t>
      </w:r>
      <w:r>
        <w:rPr>
          <w:rFonts w:hint="eastAsia" w:ascii="仿宋_GB2312" w:eastAsia="仿宋_GB2312"/>
          <w:bCs/>
          <w:sz w:val="32"/>
          <w:szCs w:val="32"/>
        </w:rPr>
        <w:t>在岗54人、退休84人、遗属补助</w:t>
      </w:r>
      <w:r>
        <w:rPr>
          <w:rFonts w:ascii="仿宋_GB2312" w:eastAsia="仿宋_GB2312"/>
          <w:bCs/>
          <w:sz w:val="32"/>
          <w:szCs w:val="32"/>
        </w:rPr>
        <w:t>1</w:t>
      </w:r>
      <w:r>
        <w:rPr>
          <w:rFonts w:hint="eastAsia" w:ascii="仿宋_GB2312" w:eastAsia="仿宋_GB2312"/>
          <w:bCs/>
          <w:sz w:val="32"/>
          <w:szCs w:val="32"/>
        </w:rPr>
        <w:t>3人。</w:t>
      </w:r>
    </w:p>
    <w:p w14:paraId="334A4526">
      <w:pPr>
        <w:pStyle w:val="7"/>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val="en-US" w:eastAsia="zh-CN"/>
        </w:rPr>
        <w:t>年度整体支出绩效目标</w:t>
      </w:r>
    </w:p>
    <w:p w14:paraId="0AFBD694">
      <w:pPr>
        <w:widowControl/>
        <w:spacing w:line="520" w:lineRule="exact"/>
        <w:ind w:firstLine="640" w:firstLineChars="200"/>
        <w:jc w:val="left"/>
        <w:rPr>
          <w:rFonts w:hint="default" w:eastAsia="仿宋_GB2312"/>
          <w:sz w:val="32"/>
          <w:szCs w:val="32"/>
          <w:lang w:val="en-US" w:eastAsia="zh-CN"/>
        </w:rPr>
      </w:pPr>
      <w:r>
        <w:rPr>
          <w:rFonts w:hint="default" w:eastAsia="仿宋_GB2312"/>
          <w:sz w:val="32"/>
          <w:szCs w:val="32"/>
          <w:lang w:val="en-US" w:eastAsia="zh-CN"/>
        </w:rPr>
        <w:t>提高教学质量、促进学生发展、增强师资队伍建设、强化校园文化建设和社会责任，努力提高整体绩效，促进学校的可持续发展，为学生和社会创造更大的价值。</w:t>
      </w:r>
    </w:p>
    <w:p w14:paraId="7587B28A">
      <w:pPr>
        <w:pStyle w:val="7"/>
        <w:widowControl/>
        <w:spacing w:line="520" w:lineRule="exact"/>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599696B5">
      <w:pPr>
        <w:pStyle w:val="7"/>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2C1111C4">
      <w:pPr>
        <w:widowControl/>
        <w:spacing w:line="52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2024年基本支出为1095.03万元，占总支出的99.73%。其中包括基本工资、津贴补贴、奖金、其他工资福利支出以及办公费、印刷费、水电费、办公设备购置等日常公用经费。其中人员工资及社会保障支出892.07万元，此项支出占基本支出的81.47%；商品和服务支出111.2万元，此项支出占基本支出的10.15%；对个人和家庭的补助支出67.7万元，占基本支出的6.18%；资本性支出24.35万元，此项支出占基本支出的2.2%。</w:t>
      </w:r>
    </w:p>
    <w:p w14:paraId="761A5473">
      <w:pPr>
        <w:pStyle w:val="7"/>
        <w:widowControl/>
        <w:spacing w:line="520" w:lineRule="exact"/>
        <w:ind w:left="0" w:leftChars="0" w:firstLine="0" w:firstLineChars="0"/>
        <w:rPr>
          <w:rFonts w:hint="eastAsia" w:ascii="楷体_GB2312" w:hAnsi="楷体_GB2312" w:eastAsia="楷体_GB2312" w:cs="楷体_GB2312"/>
          <w:sz w:val="32"/>
          <w:szCs w:val="32"/>
        </w:rPr>
      </w:pPr>
    </w:p>
    <w:p w14:paraId="3EA65D05">
      <w:pPr>
        <w:pStyle w:val="7"/>
        <w:widowControl/>
        <w:spacing w:line="520" w:lineRule="exact"/>
        <w:ind w:left="0" w:leftChars="0" w:firstLine="0" w:firstLineChars="0"/>
        <w:rPr>
          <w:rFonts w:hint="eastAsia" w:ascii="楷体_GB2312" w:hAnsi="楷体_GB2312" w:eastAsia="楷体_GB2312" w:cs="楷体_GB2312"/>
          <w:sz w:val="32"/>
          <w:szCs w:val="32"/>
        </w:rPr>
      </w:pPr>
    </w:p>
    <w:p w14:paraId="1C83B61C">
      <w:pPr>
        <w:pStyle w:val="7"/>
        <w:widowControl/>
        <w:spacing w:line="520" w:lineRule="exact"/>
        <w:ind w:left="640" w:firstLine="0" w:firstLineChars="0"/>
        <w:rPr>
          <w:rFonts w:hint="eastAsia" w:ascii="楷体_GB2312" w:hAnsi="楷体_GB2312" w:eastAsia="楷体_GB2312" w:cs="楷体_GB2312"/>
          <w:sz w:val="32"/>
          <w:szCs w:val="32"/>
        </w:rPr>
      </w:pPr>
    </w:p>
    <w:p w14:paraId="7C11EFB6">
      <w:pPr>
        <w:pStyle w:val="7"/>
        <w:widowControl/>
        <w:spacing w:line="520" w:lineRule="exact"/>
        <w:ind w:left="0" w:lef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（二）项目支出情况</w:t>
      </w:r>
    </w:p>
    <w:p w14:paraId="4C7E5ECE">
      <w:pPr>
        <w:pStyle w:val="7"/>
        <w:widowControl/>
        <w:numPr>
          <w:ilvl w:val="0"/>
          <w:numId w:val="0"/>
        </w:numPr>
        <w:spacing w:line="520" w:lineRule="exact"/>
        <w:ind w:left="220" w:leftChars="0" w:firstLine="640" w:firstLineChars="2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2024年度项目支出3万元，</w:t>
      </w:r>
      <w:r>
        <w:rPr>
          <w:rFonts w:hint="eastAsia" w:ascii="楷体_GB2312" w:hAnsi="楷体_GB2312" w:eastAsia="楷体_GB2312" w:cs="楷体_GB2312"/>
          <w:snapToGrid w:val="0"/>
          <w:color w:val="auto"/>
          <w:kern w:val="0"/>
          <w:sz w:val="32"/>
          <w:szCs w:val="32"/>
          <w:lang w:val="en-US" w:eastAsia="zh-CN" w:bidi="ar-SA"/>
        </w:rPr>
        <w:t>占总支出的0.27%。</w:t>
      </w:r>
      <w:r>
        <w:rPr>
          <w:rFonts w:hint="eastAsia" w:ascii="楷体_GB2312" w:hAnsi="楷体_GB2312" w:eastAsia="楷体_GB2312" w:cs="楷体_GB2312"/>
          <w:sz w:val="32"/>
          <w:szCs w:val="32"/>
          <w:lang w:val="en-US" w:eastAsia="zh-CN"/>
        </w:rPr>
        <w:t>为农村少年宫经费。</w:t>
      </w:r>
    </w:p>
    <w:p w14:paraId="751A51C8">
      <w:pPr>
        <w:pStyle w:val="7"/>
        <w:widowControl/>
        <w:numPr>
          <w:ilvl w:val="0"/>
          <w:numId w:val="0"/>
        </w:numPr>
        <w:spacing w:line="520" w:lineRule="exact"/>
        <w:ind w:left="0" w:leftChars="0" w:firstLine="640" w:firstLineChars="200"/>
        <w:jc w:val="left"/>
        <w:rPr>
          <w:rFonts w:ascii="Times New Roman" w:hAnsi="Times New Roman" w:eastAsia="黑体"/>
          <w:sz w:val="32"/>
          <w:szCs w:val="32"/>
        </w:rPr>
      </w:pPr>
      <w:r>
        <w:rPr>
          <w:rFonts w:hint="eastAsia" w:ascii="Times New Roman" w:hAnsi="Times New Roman" w:eastAsia="黑体" w:cs="Times New Roman"/>
          <w:snapToGrid w:val="0"/>
          <w:color w:val="000000"/>
          <w:kern w:val="0"/>
          <w:sz w:val="32"/>
          <w:szCs w:val="32"/>
          <w:lang w:val="en-US" w:eastAsia="zh-CN" w:bidi="ar-SA"/>
        </w:rPr>
        <w:t>三</w:t>
      </w:r>
      <w:r>
        <w:rPr>
          <w:rFonts w:hint="eastAsia" w:ascii="Times New Roman" w:hAnsi="Times New Roman" w:eastAsia="黑体" w:cs="Times New Roman"/>
          <w:snapToGrid w:val="0"/>
          <w:color w:val="000000"/>
          <w:kern w:val="0"/>
          <w:sz w:val="32"/>
          <w:szCs w:val="32"/>
          <w:lang w:val="en-US" w:eastAsia="en-US" w:bidi="ar-SA"/>
        </w:rPr>
        <w:t>、</w:t>
      </w:r>
      <w:r>
        <w:rPr>
          <w:rFonts w:ascii="Times New Roman" w:hAnsi="Times New Roman" w:eastAsia="黑体"/>
          <w:sz w:val="32"/>
          <w:szCs w:val="32"/>
        </w:rPr>
        <w:t>政府性基金预算支出情况</w:t>
      </w:r>
    </w:p>
    <w:p w14:paraId="7430BB65">
      <w:pPr>
        <w:pStyle w:val="7"/>
        <w:widowControl/>
        <w:numPr>
          <w:ilvl w:val="0"/>
          <w:numId w:val="0"/>
        </w:numPr>
        <w:spacing w:line="520" w:lineRule="exact"/>
        <w:ind w:leftChars="200" w:firstLine="320" w:firstLineChars="100"/>
        <w:jc w:val="left"/>
        <w:rPr>
          <w:rFonts w:hint="default" w:ascii="Times New Roman" w:hAnsi="Times New Roman" w:eastAsia="黑体"/>
          <w:sz w:val="32"/>
          <w:szCs w:val="32"/>
          <w:lang w:val="en-US"/>
        </w:rPr>
      </w:pPr>
      <w:r>
        <w:rPr>
          <w:rFonts w:hint="eastAsia" w:ascii="楷体_GB2312" w:hAnsi="楷体_GB2312" w:eastAsia="楷体_GB2312" w:cs="楷体_GB2312"/>
          <w:sz w:val="32"/>
          <w:szCs w:val="32"/>
          <w:lang w:val="en-US" w:eastAsia="zh-CN"/>
        </w:rPr>
        <w:t>2024年政府性基金3万元为少年宫经费。</w:t>
      </w:r>
    </w:p>
    <w:p w14:paraId="216101D4">
      <w:pPr>
        <w:pStyle w:val="7"/>
        <w:widowControl/>
        <w:numPr>
          <w:ilvl w:val="0"/>
          <w:numId w:val="0"/>
        </w:numPr>
        <w:spacing w:line="520" w:lineRule="exact"/>
        <w:ind w:left="0" w:leftChars="0" w:firstLine="640" w:firstLineChars="200"/>
        <w:jc w:val="left"/>
        <w:rPr>
          <w:rFonts w:hint="eastAsia" w:ascii="Times New Roman" w:hAnsi="Times New Roman" w:eastAsia="黑体"/>
          <w:sz w:val="32"/>
          <w:szCs w:val="32"/>
          <w:lang w:val="en-US" w:eastAsia="zh-CN"/>
        </w:rPr>
      </w:pPr>
      <w:r>
        <w:rPr>
          <w:rFonts w:hint="eastAsia" w:ascii="Times New Roman" w:hAnsi="Times New Roman" w:eastAsia="黑体" w:cs="Times New Roman"/>
          <w:snapToGrid w:val="0"/>
          <w:color w:val="000000"/>
          <w:kern w:val="0"/>
          <w:sz w:val="32"/>
          <w:szCs w:val="32"/>
          <w:lang w:val="en-US" w:eastAsia="zh-CN" w:bidi="ar-SA"/>
        </w:rPr>
        <w:t>四、</w:t>
      </w:r>
      <w:r>
        <w:rPr>
          <w:rFonts w:hint="eastAsia" w:ascii="Times New Roman" w:hAnsi="Times New Roman" w:eastAsia="黑体"/>
          <w:sz w:val="32"/>
          <w:szCs w:val="32"/>
          <w:lang w:val="en-US" w:eastAsia="zh-CN"/>
        </w:rPr>
        <w:t>国有资本经营预算支出情况</w:t>
      </w:r>
    </w:p>
    <w:p w14:paraId="73DA66DB">
      <w:pPr>
        <w:pStyle w:val="7"/>
        <w:widowControl/>
        <w:numPr>
          <w:ilvl w:val="0"/>
          <w:numId w:val="0"/>
        </w:numPr>
        <w:spacing w:line="520" w:lineRule="exact"/>
        <w:ind w:leftChars="200" w:firstLine="320" w:firstLineChars="100"/>
        <w:jc w:val="left"/>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无</w:t>
      </w:r>
    </w:p>
    <w:p w14:paraId="690EE68D">
      <w:pPr>
        <w:pStyle w:val="7"/>
        <w:widowControl/>
        <w:numPr>
          <w:ilvl w:val="0"/>
          <w:numId w:val="0"/>
        </w:numPr>
        <w:spacing w:line="520" w:lineRule="exact"/>
        <w:ind w:left="0" w:leftChars="0" w:firstLine="640" w:firstLineChars="200"/>
        <w:jc w:val="left"/>
        <w:rPr>
          <w:rFonts w:ascii="Times New Roman" w:hAnsi="Times New Roman" w:eastAsia="黑体"/>
          <w:sz w:val="32"/>
          <w:szCs w:val="32"/>
        </w:rPr>
      </w:pPr>
      <w:r>
        <w:rPr>
          <w:rFonts w:hint="eastAsia" w:ascii="Times New Roman" w:hAnsi="Times New Roman" w:eastAsia="黑体" w:cs="Times New Roman"/>
          <w:snapToGrid w:val="0"/>
          <w:color w:val="000000"/>
          <w:kern w:val="0"/>
          <w:sz w:val="32"/>
          <w:szCs w:val="32"/>
          <w:lang w:val="en-US" w:eastAsia="zh-CN" w:bidi="ar-SA"/>
        </w:rPr>
        <w:t>五</w:t>
      </w:r>
      <w:r>
        <w:rPr>
          <w:rFonts w:hint="eastAsia" w:ascii="Times New Roman" w:hAnsi="Times New Roman" w:eastAsia="黑体" w:cs="Times New Roman"/>
          <w:snapToGrid w:val="0"/>
          <w:color w:val="000000"/>
          <w:kern w:val="0"/>
          <w:sz w:val="32"/>
          <w:szCs w:val="32"/>
          <w:lang w:val="en-US" w:eastAsia="en-US" w:bidi="ar-SA"/>
        </w:rPr>
        <w:t>、</w:t>
      </w:r>
      <w:r>
        <w:rPr>
          <w:rFonts w:ascii="Times New Roman" w:hAnsi="Times New Roman" w:eastAsia="黑体"/>
          <w:sz w:val="32"/>
          <w:szCs w:val="32"/>
        </w:rPr>
        <w:t>社会保险基金预算支出情况</w:t>
      </w:r>
    </w:p>
    <w:p w14:paraId="4DBD8EBB">
      <w:pPr>
        <w:pStyle w:val="7"/>
        <w:widowControl/>
        <w:numPr>
          <w:ilvl w:val="0"/>
          <w:numId w:val="0"/>
        </w:numPr>
        <w:spacing w:line="520" w:lineRule="exact"/>
        <w:ind w:leftChars="200" w:firstLine="320" w:firstLineChars="100"/>
        <w:jc w:val="left"/>
        <w:rPr>
          <w:rFonts w:ascii="Times New Roman" w:hAnsi="Times New Roman" w:eastAsia="黑体"/>
          <w:sz w:val="32"/>
          <w:szCs w:val="32"/>
        </w:rPr>
      </w:pPr>
      <w:r>
        <w:rPr>
          <w:rFonts w:hint="eastAsia" w:ascii="Times New Roman" w:hAnsi="Times New Roman" w:eastAsia="黑体"/>
          <w:sz w:val="32"/>
          <w:szCs w:val="32"/>
          <w:lang w:val="en-US" w:eastAsia="zh-CN"/>
        </w:rPr>
        <w:t>无</w:t>
      </w:r>
    </w:p>
    <w:p w14:paraId="7074D3E2">
      <w:pPr>
        <w:widowControl/>
        <w:numPr>
          <w:ilvl w:val="0"/>
          <w:numId w:val="0"/>
        </w:numPr>
        <w:spacing w:line="520" w:lineRule="exact"/>
        <w:ind w:left="0" w:leftChars="0" w:firstLine="640" w:firstLineChars="200"/>
        <w:jc w:val="left"/>
        <w:rPr>
          <w:rFonts w:eastAsia="黑体"/>
          <w:sz w:val="32"/>
          <w:szCs w:val="32"/>
        </w:rPr>
      </w:pPr>
      <w:r>
        <w:rPr>
          <w:rFonts w:hint="eastAsia" w:eastAsia="黑体" w:cs="Arial"/>
          <w:snapToGrid w:val="0"/>
          <w:color w:val="000000"/>
          <w:kern w:val="0"/>
          <w:sz w:val="32"/>
          <w:szCs w:val="32"/>
          <w:lang w:val="en-US" w:eastAsia="zh-CN" w:bidi="ar-SA"/>
        </w:rPr>
        <w:t>六</w:t>
      </w:r>
      <w:r>
        <w:rPr>
          <w:rFonts w:hint="eastAsia" w:ascii="Arial" w:hAnsi="Arial" w:eastAsia="黑体" w:cs="Arial"/>
          <w:snapToGrid w:val="0"/>
          <w:color w:val="000000"/>
          <w:kern w:val="0"/>
          <w:sz w:val="32"/>
          <w:szCs w:val="32"/>
          <w:lang w:val="en-US" w:eastAsia="en-US" w:bidi="ar-SA"/>
        </w:rPr>
        <w:t>、</w:t>
      </w:r>
      <w:r>
        <w:rPr>
          <w:rFonts w:eastAsia="黑体"/>
          <w:sz w:val="32"/>
          <w:szCs w:val="32"/>
        </w:rPr>
        <w:t>部门整体支出绩效情况</w:t>
      </w:r>
    </w:p>
    <w:p w14:paraId="7C8278C1">
      <w:pPr>
        <w:widowControl/>
        <w:spacing w:line="520" w:lineRule="exact"/>
        <w:ind w:firstLine="640" w:firstLineChars="200"/>
        <w:jc w:val="left"/>
        <w:rPr>
          <w:rFonts w:hint="eastAsia" w:eastAsia="仿宋_GB2312"/>
          <w:sz w:val="32"/>
          <w:szCs w:val="32"/>
          <w:lang w:val="en-US" w:eastAsia="zh-CN"/>
        </w:rPr>
      </w:pPr>
      <w:r>
        <w:rPr>
          <w:rFonts w:hint="eastAsia" w:eastAsia="黑体"/>
          <w:sz w:val="32"/>
          <w:szCs w:val="32"/>
          <w:lang w:val="en-US" w:eastAsia="zh-CN"/>
        </w:rPr>
        <w:t xml:space="preserve"> </w:t>
      </w:r>
      <w:r>
        <w:rPr>
          <w:rFonts w:hint="eastAsia" w:eastAsia="仿宋_GB2312"/>
          <w:sz w:val="32"/>
          <w:szCs w:val="32"/>
          <w:lang w:val="en-US" w:eastAsia="zh-CN"/>
        </w:rPr>
        <w:t xml:space="preserve"> 从履职及履职效益情况来看，总体效果比较好。从经济性来看，各负责部门能够按照预算来抓好成本控制，强化勤俭办事的意识，注重节约开支，年度开支控制在财政局规定的范围内;从效率性来看，各部门对所承担的工作能够按照计划的时间把握进度，抓好质量，注重了工作的效率;从有效性来看，各专项工作的分工负责部门均能够按照制度和各自的目标来抓好落实，注重了专项资金的使用效果;从可持续性来看，后续的政策、相关的配套资金、必要的人员机构要继续保持，管理制度做到与时俱进，相关内容进行了及时补充完善。</w:t>
      </w:r>
    </w:p>
    <w:p w14:paraId="01DAE247">
      <w:pPr>
        <w:widowControl/>
        <w:numPr>
          <w:ilvl w:val="0"/>
          <w:numId w:val="0"/>
        </w:numPr>
        <w:spacing w:line="520" w:lineRule="exact"/>
        <w:jc w:val="left"/>
        <w:rPr>
          <w:rFonts w:eastAsia="黑体"/>
          <w:sz w:val="32"/>
          <w:szCs w:val="32"/>
        </w:rPr>
      </w:pPr>
    </w:p>
    <w:p w14:paraId="40A07C61">
      <w:pPr>
        <w:pStyle w:val="7"/>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6F7C91CB">
      <w:pPr>
        <w:widowControl/>
        <w:spacing w:line="520" w:lineRule="exact"/>
        <w:ind w:firstLine="640" w:firstLineChars="200"/>
        <w:jc w:val="left"/>
        <w:rPr>
          <w:rFonts w:hint="eastAsia" w:eastAsia="仿宋_GB2312"/>
          <w:sz w:val="32"/>
          <w:szCs w:val="32"/>
        </w:rPr>
      </w:pPr>
      <w:r>
        <w:rPr>
          <w:rFonts w:hint="eastAsia" w:eastAsia="仿宋_GB2312"/>
          <w:sz w:val="32"/>
          <w:szCs w:val="32"/>
        </w:rPr>
        <w:t>(一)评价结论:</w:t>
      </w:r>
      <w:bookmarkStart w:id="1" w:name="OLE_LINK2"/>
      <w:r>
        <w:rPr>
          <w:rFonts w:hint="eastAsia" w:eastAsia="仿宋_GB2312"/>
          <w:sz w:val="32"/>
          <w:szCs w:val="32"/>
        </w:rPr>
        <w:t>20</w:t>
      </w:r>
      <w:r>
        <w:rPr>
          <w:rFonts w:hint="eastAsia" w:eastAsia="仿宋_GB2312"/>
          <w:sz w:val="32"/>
          <w:szCs w:val="32"/>
          <w:lang w:val="en-US" w:eastAsia="zh-CN"/>
        </w:rPr>
        <w:t>24</w:t>
      </w:r>
      <w:r>
        <w:rPr>
          <w:rFonts w:hint="eastAsia" w:eastAsia="仿宋_GB2312"/>
          <w:sz w:val="32"/>
          <w:szCs w:val="32"/>
        </w:rPr>
        <w:t>年，我校努力做好财政预算收入、</w:t>
      </w:r>
    </w:p>
    <w:p w14:paraId="17B55F08">
      <w:pPr>
        <w:widowControl/>
        <w:spacing w:line="520" w:lineRule="exact"/>
        <w:jc w:val="left"/>
        <w:rPr>
          <w:rFonts w:hint="eastAsia" w:eastAsia="仿宋_GB2312"/>
          <w:sz w:val="32"/>
          <w:szCs w:val="32"/>
        </w:rPr>
      </w:pPr>
      <w:r>
        <w:rPr>
          <w:rFonts w:hint="eastAsia" w:eastAsia="仿宋_GB2312"/>
          <w:sz w:val="32"/>
          <w:szCs w:val="32"/>
        </w:rPr>
        <w:t>支出以及各项目的管理工作，将预算及时公开到相关的信息网络平台，对预算的资金进行全方位的监督和管理，使每一笔资金都能起到最大的使用效益。达到合理高效地运用资金、提升资金的产出结果、节约成本与资源、提高部门的办事效率，促进义务教育均衡发展。</w:t>
      </w:r>
    </w:p>
    <w:bookmarkEnd w:id="1"/>
    <w:p w14:paraId="339651F8">
      <w:pPr>
        <w:widowControl/>
        <w:spacing w:line="520" w:lineRule="exact"/>
        <w:ind w:firstLine="640" w:firstLineChars="200"/>
        <w:jc w:val="left"/>
        <w:rPr>
          <w:rFonts w:hint="eastAsia" w:eastAsia="仿宋_GB2312"/>
          <w:sz w:val="32"/>
          <w:szCs w:val="32"/>
        </w:rPr>
      </w:pPr>
      <w:r>
        <w:rPr>
          <w:rFonts w:hint="eastAsia" w:eastAsia="仿宋_GB2312"/>
          <w:sz w:val="32"/>
          <w:szCs w:val="32"/>
        </w:rPr>
        <w:t>(二)存在问题:</w:t>
      </w:r>
      <w:r>
        <w:rPr>
          <w:rFonts w:hint="eastAsia" w:eastAsia="仿宋_GB2312"/>
          <w:sz w:val="32"/>
          <w:szCs w:val="32"/>
          <w:lang w:val="en-US" w:eastAsia="zh-CN"/>
        </w:rPr>
        <w:t>因年初预算只预算了人员经费和工会经费，生均公用经费和营养改善计划资金等未纳入年初预算，根据实际工作需要进行追加，影响了预算编制的准确完整性，造成财政拨款收入决算数和预算数差异较大。</w:t>
      </w:r>
    </w:p>
    <w:p w14:paraId="1DEA3781">
      <w:pPr>
        <w:widowControl/>
        <w:spacing w:line="520" w:lineRule="exact"/>
        <w:jc w:val="left"/>
        <w:rPr>
          <w:rFonts w:eastAsia="仿宋_GB2312"/>
          <w:sz w:val="32"/>
          <w:szCs w:val="32"/>
        </w:rPr>
      </w:pPr>
    </w:p>
    <w:p w14:paraId="3F38B95E">
      <w:pPr>
        <w:widowControl/>
        <w:numPr>
          <w:ilvl w:val="0"/>
          <w:numId w:val="3"/>
        </w:numPr>
        <w:spacing w:line="520" w:lineRule="exact"/>
        <w:ind w:firstLine="640" w:firstLineChars="200"/>
        <w:jc w:val="left"/>
        <w:rPr>
          <w:rFonts w:eastAsia="黑体"/>
          <w:sz w:val="32"/>
          <w:szCs w:val="32"/>
        </w:rPr>
      </w:pPr>
      <w:r>
        <w:rPr>
          <w:rFonts w:eastAsia="黑体"/>
          <w:sz w:val="32"/>
          <w:szCs w:val="32"/>
        </w:rPr>
        <w:t>下一步改进措施</w:t>
      </w:r>
    </w:p>
    <w:p w14:paraId="6F6C5F24">
      <w:pPr>
        <w:widowControl/>
        <w:numPr>
          <w:ilvl w:val="0"/>
          <w:numId w:val="4"/>
        </w:numPr>
        <w:spacing w:line="520" w:lineRule="exact"/>
        <w:ind w:left="480" w:leftChars="0" w:firstLine="0" w:firstLineChars="0"/>
        <w:jc w:val="left"/>
        <w:rPr>
          <w:rFonts w:hint="eastAsia" w:eastAsia="仿宋_GB2312"/>
          <w:sz w:val="32"/>
          <w:szCs w:val="32"/>
          <w:lang w:val="en-US" w:eastAsia="zh-CN"/>
        </w:rPr>
      </w:pPr>
      <w:r>
        <w:rPr>
          <w:rFonts w:hint="eastAsia" w:eastAsia="黑体"/>
          <w:sz w:val="32"/>
          <w:szCs w:val="32"/>
          <w:lang w:val="en-US" w:eastAsia="zh-CN"/>
        </w:rPr>
        <w:t>、</w:t>
      </w:r>
      <w:r>
        <w:rPr>
          <w:rFonts w:hint="eastAsia" w:eastAsia="仿宋_GB2312"/>
          <w:sz w:val="32"/>
          <w:szCs w:val="32"/>
          <w:lang w:val="en-US" w:eastAsia="zh-CN"/>
        </w:rPr>
        <w:t>财务分析制度、稽核制度尚未建立健全，在实施内部监督制度和内部控制制度时，还未能完全达到《会计法》所规定的要求，今后要进一步完善这方面的制度，实行更有力的措施，力求将这方面的.工作做的更好。</w:t>
      </w:r>
    </w:p>
    <w:p w14:paraId="57B662D6">
      <w:pPr>
        <w:widowControl/>
        <w:spacing w:line="520" w:lineRule="exact"/>
        <w:ind w:firstLine="640" w:firstLineChars="200"/>
        <w:jc w:val="left"/>
        <w:rPr>
          <w:rFonts w:hint="eastAsia" w:eastAsia="仿宋_GB2312"/>
          <w:sz w:val="32"/>
          <w:szCs w:val="32"/>
        </w:rPr>
      </w:pPr>
      <w:r>
        <w:rPr>
          <w:rFonts w:hint="eastAsia" w:eastAsia="仿宋_GB2312"/>
          <w:sz w:val="32"/>
          <w:szCs w:val="32"/>
          <w:lang w:eastAsia="zh-CN"/>
        </w:rPr>
        <w:t>（二）、</w:t>
      </w:r>
      <w:r>
        <w:rPr>
          <w:rFonts w:hint="eastAsia" w:eastAsia="仿宋_GB2312"/>
          <w:sz w:val="32"/>
          <w:szCs w:val="32"/>
        </w:rPr>
        <w:t>建立健全部门预算绩效管理体系与指标评估体系;提升绩效管理从业人员的专业素质和思想水平。</w:t>
      </w:r>
    </w:p>
    <w:p w14:paraId="746188B9">
      <w:pPr>
        <w:widowControl/>
        <w:numPr>
          <w:ilvl w:val="0"/>
          <w:numId w:val="0"/>
        </w:numPr>
        <w:spacing w:line="520" w:lineRule="exact"/>
        <w:ind w:left="480" w:leftChars="0"/>
        <w:jc w:val="left"/>
        <w:rPr>
          <w:rFonts w:hint="default" w:eastAsia="仿宋_GB2312"/>
          <w:sz w:val="32"/>
          <w:szCs w:val="32"/>
          <w:lang w:val="en-US" w:eastAsia="zh-CN"/>
        </w:rPr>
      </w:pPr>
    </w:p>
    <w:p w14:paraId="5A9FAF35">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61898C20">
      <w:pPr>
        <w:widowControl/>
        <w:spacing w:line="520" w:lineRule="exact"/>
        <w:ind w:firstLine="645"/>
        <w:jc w:val="left"/>
        <w:rPr>
          <w:rFonts w:hint="eastAsia" w:eastAsia="黑体"/>
          <w:sz w:val="32"/>
          <w:szCs w:val="32"/>
          <w:lang w:eastAsia="zh-CN"/>
        </w:rPr>
      </w:pPr>
      <w:r>
        <w:rPr>
          <w:rFonts w:hint="eastAsia" w:eastAsia="黑体"/>
          <w:sz w:val="32"/>
          <w:szCs w:val="32"/>
          <w:lang w:eastAsia="zh-CN"/>
        </w:rPr>
        <w:t>无</w:t>
      </w:r>
    </w:p>
    <w:p w14:paraId="18515C2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p w14:paraId="115797C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sectPr>
      <w:footerReference r:id="rId5" w:type="default"/>
      <w:pgSz w:w="11906" w:h="16838"/>
      <w:pgMar w:top="1440" w:right="1800" w:bottom="1440" w:left="20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FDC310B5"/>
    <w:multiLevelType w:val="singleLevel"/>
    <w:tmpl w:val="FDC310B5"/>
    <w:lvl w:ilvl="0" w:tentative="0">
      <w:start w:val="1"/>
      <w:numFmt w:val="chineseCounting"/>
      <w:suff w:val="nothing"/>
      <w:lvlText w:val="%1、"/>
      <w:lvlJc w:val="left"/>
      <w:rPr>
        <w:rFonts w:hint="eastAsia"/>
      </w:rPr>
    </w:lvl>
  </w:abstractNum>
  <w:abstractNum w:abstractNumId="2">
    <w:nsid w:val="175400C2"/>
    <w:multiLevelType w:val="singleLevel"/>
    <w:tmpl w:val="175400C2"/>
    <w:lvl w:ilvl="0" w:tentative="0">
      <w:start w:val="1"/>
      <w:numFmt w:val="chineseCounting"/>
      <w:lvlText w:val="（%1)"/>
      <w:lvlJc w:val="left"/>
      <w:pPr>
        <w:tabs>
          <w:tab w:val="left" w:pos="312"/>
        </w:tabs>
        <w:ind w:left="480" w:leftChars="0" w:firstLine="0" w:firstLineChars="0"/>
      </w:pPr>
      <w:rPr>
        <w:rFonts w:hint="eastAsia"/>
      </w:rPr>
    </w:lvl>
  </w:abstractNum>
  <w:abstractNum w:abstractNumId="3">
    <w:nsid w:val="1894C918"/>
    <w:multiLevelType w:val="singleLevel"/>
    <w:tmpl w:val="1894C918"/>
    <w:lvl w:ilvl="0" w:tentative="0">
      <w:start w:val="8"/>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YjM2OWEwNDQ4ZmQ3Yzg4MmVhMWNlZTIyZTQ4MWMifQ=="/>
  </w:docVars>
  <w:rsids>
    <w:rsidRoot w:val="00000000"/>
    <w:rsid w:val="10F82EE7"/>
    <w:rsid w:val="15BF56EC"/>
    <w:rsid w:val="35CB6416"/>
    <w:rsid w:val="4B4334AB"/>
    <w:rsid w:val="53274909"/>
    <w:rsid w:val="5403276E"/>
    <w:rsid w:val="54C57A37"/>
    <w:rsid w:val="57FC6971"/>
    <w:rsid w:val="70AB0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paragraph" w:styleId="7">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1242</Words>
  <Characters>1314</Characters>
  <Lines>0</Lines>
  <Paragraphs>0</Paragraphs>
  <TotalTime>28</TotalTime>
  <ScaleCrop>false</ScaleCrop>
  <LinksUpToDate>false</LinksUpToDate>
  <CharactersWithSpaces>1316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沔渡学校雷绯鸾</cp:lastModifiedBy>
  <cp:lastPrinted>2025-07-24T11:47:00Z</cp:lastPrinted>
  <dcterms:modified xsi:type="dcterms:W3CDTF">2025-07-27T12:13:05Z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DEC29D6FF1984251977FAFE43F2C91AB_12</vt:lpwstr>
  </property>
  <property fmtid="{D5CDD505-2E9C-101B-9397-08002B2CF9AE}" pid="4" name="KSOTemplateDocerSaveRecord">
    <vt:lpwstr>eyJoZGlkIjoiZjYyZWQxMzVmNTA0YmFhYzg3Y2I0NmViZjA0M2IxM2UiLCJ1c2VySWQiOiI1NjAxMzA4NzkifQ==</vt:lpwstr>
  </property>
</Properties>
</file>