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5BE74003">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2024年度炎陵县鹿原镇学校</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19678453">
      <w:pPr>
        <w:spacing w:line="600" w:lineRule="exact"/>
        <w:jc w:val="center"/>
        <w:rPr>
          <w:rFonts w:hint="eastAsia" w:ascii="黑体" w:hAnsi="黑体" w:eastAsia="黑体" w:cs="黑体"/>
          <w:sz w:val="36"/>
          <w:szCs w:val="36"/>
          <w:lang w:val="en-US" w:eastAsia="zh-CN"/>
        </w:rPr>
      </w:pPr>
    </w:p>
    <w:p w14:paraId="2CCA08D3">
      <w:pPr>
        <w:spacing w:line="600" w:lineRule="exact"/>
        <w:jc w:val="center"/>
        <w:rPr>
          <w:rFonts w:hint="eastAsia" w:ascii="黑体" w:hAnsi="黑体" w:eastAsia="黑体" w:cs="黑体"/>
          <w:sz w:val="36"/>
          <w:szCs w:val="36"/>
          <w:lang w:val="en-US" w:eastAsia="zh-CN"/>
        </w:rPr>
      </w:pPr>
    </w:p>
    <w:p w14:paraId="082DCFC8">
      <w:pPr>
        <w:spacing w:line="600" w:lineRule="exact"/>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单位名称（盖章）：炎陵县鹿原镇学校</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4A7A17E6">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基本情况</w:t>
      </w:r>
    </w:p>
    <w:p w14:paraId="3F1125D0">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1．主要职能：实施九年一贯制义务教育，促进基础教育发展。初中学历教育、小学学历教育。</w:t>
      </w:r>
    </w:p>
    <w:p w14:paraId="6B3D7E81">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2．机构情况：炎陵县鹿原镇学校由鹿原中学、鹿原第一中心小学、鹿原航天希望小学、鲁坑复式小学（教学点）四所学校组成，属二级预算单位。</w:t>
      </w:r>
    </w:p>
    <w:p w14:paraId="0548AECE">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3．人员情况：实有人员：在职76人，退休104人，遗补43人。</w:t>
      </w:r>
    </w:p>
    <w:p w14:paraId="334A4526">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年度整体支出绩效目标</w:t>
      </w:r>
    </w:p>
    <w:p w14:paraId="0AFBD694">
      <w:pPr>
        <w:widowControl/>
        <w:spacing w:line="520" w:lineRule="exact"/>
        <w:ind w:firstLine="640" w:firstLineChars="200"/>
        <w:jc w:val="left"/>
        <w:rPr>
          <w:rFonts w:hint="default" w:eastAsia="仿宋_GB2312"/>
          <w:sz w:val="32"/>
          <w:szCs w:val="32"/>
          <w:lang w:val="en-US" w:eastAsia="zh-CN"/>
        </w:rPr>
      </w:pPr>
      <w:bookmarkStart w:id="0" w:name="OLE_LINK1"/>
      <w:r>
        <w:rPr>
          <w:rFonts w:hint="default" w:eastAsia="仿宋_GB2312"/>
          <w:sz w:val="32"/>
          <w:szCs w:val="32"/>
          <w:lang w:val="en-US" w:eastAsia="zh-CN"/>
        </w:rPr>
        <w:t>提高教学质量、促进学生发展、增强师资队伍建设、强化校园文化建设和社会责任，努力提高整体绩效，促进学校的可持续发展，为学生和社会创造更大的价值。</w:t>
      </w:r>
    </w:p>
    <w:bookmarkEnd w:id="0"/>
    <w:p w14:paraId="7587B28A">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0A8B6DD9">
      <w:pPr>
        <w:widowControl/>
        <w:spacing w:line="520" w:lineRule="exact"/>
        <w:ind w:firstLine="640" w:firstLineChars="200"/>
        <w:jc w:val="left"/>
        <w:rPr>
          <w:rFonts w:hint="eastAsia" w:ascii="楷体_GB2312" w:hAnsi="楷体_GB2312" w:eastAsia="楷体_GB2312" w:cs="楷体_GB2312"/>
          <w:color w:val="auto"/>
          <w:sz w:val="32"/>
          <w:szCs w:val="32"/>
        </w:rPr>
      </w:pPr>
      <w:r>
        <w:rPr>
          <w:rFonts w:hint="eastAsia" w:ascii="楷体_GB2312" w:hAnsi="楷体_GB2312" w:eastAsia="楷体_GB2312" w:cs="楷体_GB2312"/>
          <w:snapToGrid w:val="0"/>
          <w:color w:val="auto"/>
          <w:kern w:val="0"/>
          <w:sz w:val="32"/>
          <w:szCs w:val="32"/>
          <w:lang w:val="en-US" w:eastAsia="zh-CN" w:bidi="ar-SA"/>
        </w:rPr>
        <w:t>2024年基本支出为1521.94万元，占总支出的100%。其中包括基本工资、津贴补贴、奖金、其他工资福利支出以及办公费、印刷费、水电费、办公设备购置等日常公用经费。其中人员工资及社会保障支出1163.03万元，此项支出占总支出的76.42%；商品和服务支出146.5万元，此项支出占总支出的9.63%；对个人和家庭的补助支出211.06万元，占总支出的13.87%。</w:t>
      </w:r>
    </w:p>
    <w:p w14:paraId="7C11EFB6">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项目支出情况</w:t>
      </w:r>
    </w:p>
    <w:p w14:paraId="7AC34448">
      <w:pPr>
        <w:pStyle w:val="6"/>
        <w:widowControl/>
        <w:numPr>
          <w:ilvl w:val="0"/>
          <w:numId w:val="0"/>
        </w:numPr>
        <w:spacing w:line="520" w:lineRule="exact"/>
        <w:ind w:left="630" w:leftChars="0" w:firstLine="320" w:firstLineChars="100"/>
        <w:rPr>
          <w:rFonts w:eastAsia="仿宋_GB2312"/>
          <w:sz w:val="32"/>
          <w:szCs w:val="32"/>
        </w:rPr>
      </w:pPr>
      <w:r>
        <w:rPr>
          <w:rFonts w:hint="eastAsia" w:ascii="楷体_GB2312" w:hAnsi="楷体_GB2312" w:eastAsia="楷体_GB2312" w:cs="楷体_GB2312"/>
          <w:sz w:val="32"/>
          <w:szCs w:val="32"/>
          <w:lang w:val="en-US" w:eastAsia="zh-CN"/>
        </w:rPr>
        <w:t>无。</w:t>
      </w:r>
    </w:p>
    <w:p w14:paraId="751A51C8">
      <w:pPr>
        <w:pStyle w:val="6"/>
        <w:widowControl/>
        <w:numPr>
          <w:ilvl w:val="0"/>
          <w:numId w:val="0"/>
        </w:numPr>
        <w:spacing w:line="520" w:lineRule="exact"/>
        <w:ind w:leftChars="200" w:firstLine="320" w:firstLineChars="100"/>
        <w:jc w:val="left"/>
        <w:rPr>
          <w:rFonts w:ascii="Times New Roman" w:hAnsi="Times New Roman" w:eastAsia="黑体"/>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政府性基金预算支出情况</w:t>
      </w:r>
    </w:p>
    <w:p w14:paraId="0E7DD46F">
      <w:pPr>
        <w:pStyle w:val="6"/>
        <w:widowControl/>
        <w:numPr>
          <w:ilvl w:val="0"/>
          <w:numId w:val="0"/>
        </w:numPr>
        <w:spacing w:line="520" w:lineRule="exact"/>
        <w:ind w:left="640" w:leftChars="0" w:firstLine="640" w:firstLineChars="200"/>
        <w:jc w:val="left"/>
        <w:rPr>
          <w:rFonts w:hint="default" w:ascii="Times New Roman" w:hAnsi="Times New Roman" w:eastAsia="黑体"/>
          <w:sz w:val="32"/>
          <w:szCs w:val="32"/>
          <w:lang w:val="en-US" w:eastAsia="zh-CN"/>
        </w:rPr>
      </w:pPr>
      <w:r>
        <w:rPr>
          <w:rFonts w:hint="eastAsia" w:ascii="楷体_GB2312" w:hAnsi="楷体_GB2312" w:eastAsia="楷体_GB2312" w:cs="楷体_GB2312"/>
          <w:snapToGrid w:val="0"/>
          <w:color w:val="000000"/>
          <w:kern w:val="0"/>
          <w:sz w:val="32"/>
          <w:szCs w:val="32"/>
          <w:lang w:val="en-US" w:eastAsia="zh-CN" w:bidi="ar-SA"/>
        </w:rPr>
        <w:t>无。</w:t>
      </w:r>
    </w:p>
    <w:p w14:paraId="216101D4">
      <w:pPr>
        <w:pStyle w:val="6"/>
        <w:widowControl/>
        <w:numPr>
          <w:ilvl w:val="0"/>
          <w:numId w:val="3"/>
        </w:numPr>
        <w:spacing w:line="520" w:lineRule="exact"/>
        <w:ind w:left="640" w:firstLine="0" w:firstLineChars="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41C89006">
      <w:pPr>
        <w:pStyle w:val="6"/>
        <w:widowControl/>
        <w:numPr>
          <w:ilvl w:val="0"/>
          <w:numId w:val="0"/>
        </w:numPr>
        <w:spacing w:line="520" w:lineRule="exact"/>
        <w:ind w:left="640" w:leftChars="0" w:firstLine="640" w:firstLineChars="200"/>
        <w:jc w:val="left"/>
        <w:rPr>
          <w:rFonts w:hint="default" w:ascii="Times New Roman" w:hAnsi="Times New Roman" w:eastAsia="黑体"/>
          <w:sz w:val="32"/>
          <w:szCs w:val="32"/>
          <w:lang w:val="en-US" w:eastAsia="zh-CN"/>
        </w:rPr>
      </w:pPr>
      <w:r>
        <w:rPr>
          <w:rFonts w:hint="eastAsia" w:ascii="楷体_GB2312" w:hAnsi="楷体_GB2312" w:eastAsia="楷体_GB2312" w:cs="楷体_GB2312"/>
          <w:snapToGrid w:val="0"/>
          <w:color w:val="000000"/>
          <w:kern w:val="0"/>
          <w:sz w:val="32"/>
          <w:szCs w:val="32"/>
          <w:lang w:val="en-US" w:eastAsia="zh-CN" w:bidi="ar-SA"/>
        </w:rPr>
        <w:t>无。</w:t>
      </w:r>
      <w:bookmarkStart w:id="1" w:name="_GoBack"/>
      <w:bookmarkEnd w:id="1"/>
    </w:p>
    <w:p w14:paraId="690EE68D">
      <w:pPr>
        <w:pStyle w:val="6"/>
        <w:widowControl/>
        <w:numPr>
          <w:ilvl w:val="0"/>
          <w:numId w:val="3"/>
        </w:numPr>
        <w:spacing w:line="520" w:lineRule="exact"/>
        <w:ind w:left="640" w:leftChars="0" w:firstLine="0" w:firstLineChars="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50B6FAFC">
      <w:pPr>
        <w:pStyle w:val="6"/>
        <w:widowControl/>
        <w:numPr>
          <w:ilvl w:val="0"/>
          <w:numId w:val="0"/>
        </w:numPr>
        <w:spacing w:line="520" w:lineRule="exact"/>
        <w:ind w:left="640" w:leftChars="0"/>
        <w:jc w:val="left"/>
        <w:rPr>
          <w:rFonts w:hint="default" w:ascii="楷体_GB2312" w:hAnsi="楷体_GB2312" w:eastAsia="楷体_GB2312" w:cs="楷体_GB2312"/>
          <w:snapToGrid w:val="0"/>
          <w:color w:val="000000"/>
          <w:kern w:val="0"/>
          <w:sz w:val="32"/>
          <w:szCs w:val="32"/>
          <w:lang w:val="en-US" w:eastAsia="zh-CN" w:bidi="ar-SA"/>
        </w:rPr>
      </w:pPr>
      <w:r>
        <w:rPr>
          <w:rFonts w:hint="eastAsia" w:ascii="Times New Roman" w:hAnsi="Times New Roman" w:eastAsia="黑体"/>
          <w:sz w:val="32"/>
          <w:szCs w:val="32"/>
          <w:lang w:val="en-US" w:eastAsia="zh-CN"/>
        </w:rPr>
        <w:t xml:space="preserve">    </w:t>
      </w:r>
      <w:r>
        <w:rPr>
          <w:rFonts w:hint="eastAsia" w:ascii="楷体_GB2312" w:hAnsi="楷体_GB2312" w:eastAsia="楷体_GB2312" w:cs="楷体_GB2312"/>
          <w:snapToGrid w:val="0"/>
          <w:color w:val="000000"/>
          <w:kern w:val="0"/>
          <w:sz w:val="32"/>
          <w:szCs w:val="32"/>
          <w:lang w:val="en-US" w:eastAsia="zh-CN" w:bidi="ar-SA"/>
        </w:rPr>
        <w:t>无。</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7C8278C1">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从履职及履职效益情况来看，总体效果比较好。从经济性来看，各负责部门能够按照预算来抓好成本控制，强化勤俭办事的意识，注重节约开支，年度开支控制在财政局规定的范围内;从效率性来看，各部门对所承担的工作能够按照计划的时间把握进度，抓好质量，注重了工作的效率;从有效性来看，各专项工作的分工负责部门均能够按照制度和各自的目标来抓好落实，注重了专项资金的使用效果;从可持续性来看，后续的政策、相关的配套资金、必要的人员机构要继续保持，管理制度做到与时俱进，相关内容进行了及时补充完善。</w:t>
      </w:r>
    </w:p>
    <w:p w14:paraId="40A07C61">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339651F8">
      <w:pPr>
        <w:widowControl/>
        <w:spacing w:line="520" w:lineRule="exact"/>
        <w:ind w:firstLine="640" w:firstLineChars="200"/>
        <w:jc w:val="left"/>
        <w:rPr>
          <w:rFonts w:eastAsia="仿宋_GB2312"/>
          <w:sz w:val="32"/>
          <w:szCs w:val="32"/>
        </w:rPr>
      </w:pPr>
      <w:r>
        <w:rPr>
          <w:rFonts w:hint="eastAsia" w:ascii="楷体_GB2312" w:hAnsi="楷体_GB2312" w:eastAsia="楷体_GB2312" w:cs="楷体_GB2312"/>
          <w:snapToGrid w:val="0"/>
          <w:color w:val="000000"/>
          <w:kern w:val="0"/>
          <w:sz w:val="32"/>
          <w:szCs w:val="32"/>
          <w:lang w:val="en-US" w:eastAsia="zh-CN" w:bidi="ar-SA"/>
        </w:rPr>
        <w:t>因年初预算只预算了人员经费和工会经费，生均公用经费和营养改善计划资金等未纳入年初预算，根据实际工作需要进行追加，影响了预算编制的准确完整性，造成财政拨款收入决算数和预算数差异较大。</w:t>
      </w:r>
    </w:p>
    <w:p w14:paraId="455796B8">
      <w:pPr>
        <w:widowControl/>
        <w:numPr>
          <w:ilvl w:val="0"/>
          <w:numId w:val="4"/>
        </w:numPr>
        <w:spacing w:line="520" w:lineRule="exact"/>
        <w:ind w:firstLine="640" w:firstLineChars="200"/>
        <w:jc w:val="left"/>
        <w:rPr>
          <w:rFonts w:eastAsia="黑体"/>
          <w:sz w:val="32"/>
          <w:szCs w:val="32"/>
        </w:rPr>
      </w:pPr>
      <w:r>
        <w:rPr>
          <w:rFonts w:eastAsia="黑体"/>
          <w:sz w:val="32"/>
          <w:szCs w:val="32"/>
        </w:rPr>
        <w:t>下一步改进措施</w:t>
      </w:r>
    </w:p>
    <w:p w14:paraId="518138F6">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（1）严格按项目性质的时效开展项目，预算应更实际合理。</w:t>
      </w:r>
    </w:p>
    <w:p w14:paraId="61AA876F">
      <w:pPr>
        <w:widowControl/>
        <w:spacing w:line="520" w:lineRule="exact"/>
        <w:ind w:firstLine="640" w:firstLineChars="200"/>
        <w:jc w:val="left"/>
        <w:rPr>
          <w:rFonts w:eastAsia="黑体"/>
          <w:sz w:val="32"/>
          <w:szCs w:val="32"/>
        </w:rPr>
      </w:pPr>
      <w:r>
        <w:rPr>
          <w:rFonts w:hint="eastAsia" w:ascii="楷体_GB2312" w:hAnsi="楷体_GB2312" w:eastAsia="楷体_GB2312" w:cs="楷体_GB2312"/>
          <w:snapToGrid w:val="0"/>
          <w:color w:val="000000"/>
          <w:kern w:val="0"/>
          <w:sz w:val="32"/>
          <w:szCs w:val="32"/>
          <w:lang w:val="en-US" w:eastAsia="zh-CN" w:bidi="ar-SA"/>
        </w:rPr>
        <w:t>（2）严格按相关法律法规执行，做到过各规范合法，结果最优，把资金的效力发挥到最高。</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156D23C7">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无。</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134" w:right="1800" w:bottom="1134"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AE65CF88"/>
    <w:multiLevelType w:val="singleLevel"/>
    <w:tmpl w:val="AE65CF88"/>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abstractNum w:abstractNumId="3">
    <w:nsid w:val="20C038CE"/>
    <w:multiLevelType w:val="singleLevel"/>
    <w:tmpl w:val="20C038CE"/>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5BF56EC"/>
    <w:rsid w:val="19C77A5A"/>
    <w:rsid w:val="2C0537F3"/>
    <w:rsid w:val="2F7F7006"/>
    <w:rsid w:val="35CB6416"/>
    <w:rsid w:val="388A5DE2"/>
    <w:rsid w:val="4B4334AB"/>
    <w:rsid w:val="51A86D61"/>
    <w:rsid w:val="5403276E"/>
    <w:rsid w:val="54C57A37"/>
    <w:rsid w:val="70AB011F"/>
    <w:rsid w:val="79640E95"/>
    <w:rsid w:val="7B124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935</Words>
  <Characters>986</Characters>
  <Lines>0</Lines>
  <Paragraphs>0</Paragraphs>
  <TotalTime>1</TotalTime>
  <ScaleCrop>false</ScaleCrop>
  <LinksUpToDate>false</LinksUpToDate>
  <CharactersWithSpaces>990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暖暖手</cp:lastModifiedBy>
  <dcterms:modified xsi:type="dcterms:W3CDTF">2025-07-25T02:32:01Z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DEC29D6FF1984251977FAFE43F2C91AB_12</vt:lpwstr>
  </property>
  <property fmtid="{D5CDD505-2E9C-101B-9397-08002B2CF9AE}" pid="4" name="KSOTemplateDocerSaveRecord">
    <vt:lpwstr>eyJoZGlkIjoiZTQ2NDgxYWRhMmU1YmM4OTUxMDY3NzFhZjhmZjM3ZDkiLCJ1c2VySWQiOiIxMDc3Njg1NDYyIn0=</vt:lpwstr>
  </property>
</Properties>
</file>