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2024年度教育局</w:t>
      </w:r>
      <w:r>
        <w:rPr>
          <w:rFonts w:hint="eastAsia" w:ascii="方正小标宋简体" w:hAnsi="方正小标宋简体" w:eastAsia="方正小标宋简体" w:cs="方正小标宋简体"/>
          <w:sz w:val="44"/>
          <w:szCs w:val="44"/>
        </w:rPr>
        <w:t>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230D26B3">
      <w:pPr>
        <w:spacing w:line="600" w:lineRule="exact"/>
        <w:jc w:val="center"/>
        <w:rPr>
          <w:rFonts w:eastAsia="楷体_GB2312"/>
          <w:sz w:val="32"/>
          <w:szCs w:val="32"/>
        </w:rPr>
      </w:pPr>
    </w:p>
    <w:p w14:paraId="49E1A974">
      <w:pPr>
        <w:spacing w:line="600" w:lineRule="exact"/>
        <w:jc w:val="center"/>
        <w:rPr>
          <w:rFonts w:eastAsia="楷体_GB2312"/>
          <w:sz w:val="32"/>
          <w:szCs w:val="32"/>
        </w:rPr>
      </w:pPr>
    </w:p>
    <w:p w14:paraId="002AC6FC">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6A991FBD">
      <w:pPr>
        <w:spacing w:line="600" w:lineRule="exact"/>
        <w:jc w:val="center"/>
        <w:rPr>
          <w:rFonts w:hint="eastAsia" w:ascii="黑体" w:hAnsi="黑体" w:eastAsia="黑体" w:cs="黑体"/>
          <w:sz w:val="36"/>
          <w:szCs w:val="36"/>
          <w:lang w:val="en-US" w:eastAsia="zh-CN"/>
        </w:rPr>
      </w:pPr>
    </w:p>
    <w:p w14:paraId="0F7089F1">
      <w:pPr>
        <w:spacing w:line="600" w:lineRule="exact"/>
        <w:jc w:val="center"/>
        <w:rPr>
          <w:rFonts w:hint="eastAsia" w:ascii="黑体" w:hAnsi="黑体" w:eastAsia="黑体" w:cs="黑体"/>
          <w:sz w:val="36"/>
          <w:szCs w:val="36"/>
          <w:lang w:val="en-US" w:eastAsia="zh-CN"/>
        </w:rPr>
      </w:pPr>
    </w:p>
    <w:p w14:paraId="123D12D1">
      <w:pPr>
        <w:spacing w:line="600" w:lineRule="exact"/>
        <w:jc w:val="both"/>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0"/>
        </w:num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en-US" w:bidi="ar-SA"/>
        </w:rPr>
        <w:t>一、</w:t>
      </w:r>
      <w:r>
        <w:rPr>
          <w:rFonts w:ascii="Times New Roman" w:hAnsi="Times New Roman" w:eastAsia="黑体"/>
          <w:sz w:val="32"/>
          <w:szCs w:val="32"/>
        </w:rPr>
        <w:t>基本情况</w:t>
      </w:r>
    </w:p>
    <w:p w14:paraId="049DC1A2">
      <w:pPr>
        <w:pStyle w:val="6"/>
        <w:widowControl/>
        <w:numPr>
          <w:ilvl w:val="0"/>
          <w:numId w:val="0"/>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（一）</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60C17F42">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1、部门职责：炎陵县教育局是政府组成局，为正科级一级预算单位。</w:t>
      </w:r>
    </w:p>
    <w:p w14:paraId="082E0C97">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设置：炎陵县教育局内设机构包括：办公室（行政审批股）、政工人事股（县语言文字工作委员会办公室）、财务内审股（发展建设股）、教育股、安全保卫股、教育督导室（县人民政府教育督导办公室）、县委教育工作领导小组秘书组秘书股及所属事业单位的炎陵县基层教育服务中心、炎陵县学生资助事务中心、炎陵县学生社会实践教育基地。</w:t>
      </w:r>
    </w:p>
    <w:p w14:paraId="5839AC33">
      <w:pPr>
        <w:pStyle w:val="6"/>
        <w:widowControl/>
        <w:numPr>
          <w:ilvl w:val="0"/>
          <w:numId w:val="0"/>
        </w:numPr>
        <w:spacing w:line="520" w:lineRule="exact"/>
        <w:ind w:firstLine="640" w:firstLineChars="200"/>
        <w:rPr>
          <w:rFonts w:hint="default" w:ascii="仿宋_GB2312" w:hAnsi="仿宋_GB2312" w:eastAsia="仿宋_GB2312" w:cs="仿宋_GB2312"/>
          <w:sz w:val="32"/>
          <w:szCs w:val="32"/>
          <w:lang w:val="en-US"/>
        </w:rPr>
      </w:pPr>
      <w:r>
        <w:rPr>
          <w:rFonts w:hint="eastAsia" w:ascii="仿宋_GB2312" w:hAnsi="仿宋" w:eastAsia="仿宋_GB2312"/>
          <w:sz w:val="32"/>
          <w:szCs w:val="32"/>
          <w:lang w:val="en-US" w:eastAsia="zh-CN"/>
        </w:rPr>
        <w:t>3.</w:t>
      </w:r>
      <w:r>
        <w:rPr>
          <w:rFonts w:hint="eastAsia" w:eastAsia="仿宋_GB2312"/>
          <w:sz w:val="32"/>
          <w:szCs w:val="32"/>
          <w:lang w:val="en-US" w:eastAsia="zh-CN"/>
        </w:rPr>
        <w:t>人员情况：</w:t>
      </w:r>
      <w:r>
        <w:rPr>
          <w:rFonts w:eastAsia="仿宋_GB2312"/>
          <w:sz w:val="32"/>
          <w:szCs w:val="32"/>
        </w:rPr>
        <w:t>核定人员编制</w:t>
      </w:r>
      <w:r>
        <w:rPr>
          <w:rFonts w:hint="eastAsia" w:eastAsia="仿宋_GB2312"/>
          <w:sz w:val="32"/>
          <w:szCs w:val="32"/>
          <w:lang w:val="en-US" w:eastAsia="zh-CN"/>
        </w:rPr>
        <w:t>49</w:t>
      </w:r>
      <w:r>
        <w:rPr>
          <w:rFonts w:eastAsia="仿宋_GB2312"/>
          <w:sz w:val="32"/>
          <w:szCs w:val="32"/>
        </w:rPr>
        <w:t>名</w:t>
      </w:r>
      <w:r>
        <w:rPr>
          <w:rFonts w:hint="default" w:eastAsia="仿宋_GB2312"/>
          <w:sz w:val="32"/>
          <w:szCs w:val="32"/>
        </w:rPr>
        <w:t>，</w:t>
      </w:r>
      <w:r>
        <w:rPr>
          <w:rFonts w:eastAsia="仿宋_GB2312"/>
          <w:sz w:val="32"/>
          <w:szCs w:val="32"/>
        </w:rPr>
        <w:t>其中行政编制</w:t>
      </w:r>
      <w:r>
        <w:rPr>
          <w:rFonts w:hint="eastAsia" w:eastAsia="仿宋_GB2312"/>
          <w:sz w:val="32"/>
          <w:szCs w:val="32"/>
          <w:lang w:val="en-US" w:eastAsia="zh-CN"/>
        </w:rPr>
        <w:t>9</w:t>
      </w:r>
      <w:r>
        <w:rPr>
          <w:rFonts w:eastAsia="仿宋_GB2312"/>
          <w:sz w:val="32"/>
          <w:szCs w:val="32"/>
        </w:rPr>
        <w:t>名</w:t>
      </w:r>
      <w:r>
        <w:rPr>
          <w:rFonts w:hint="default" w:eastAsia="仿宋_GB2312"/>
          <w:sz w:val="32"/>
          <w:szCs w:val="32"/>
        </w:rPr>
        <w:t>，</w:t>
      </w:r>
      <w:r>
        <w:rPr>
          <w:rFonts w:eastAsia="仿宋_GB2312"/>
          <w:sz w:val="32"/>
          <w:szCs w:val="32"/>
        </w:rPr>
        <w:t>全额拨款事业编制</w:t>
      </w:r>
      <w:r>
        <w:rPr>
          <w:rFonts w:hint="eastAsia" w:eastAsia="仿宋_GB2312"/>
          <w:sz w:val="32"/>
          <w:szCs w:val="32"/>
          <w:lang w:val="en-US" w:eastAsia="zh-CN"/>
        </w:rPr>
        <w:t>26</w:t>
      </w:r>
      <w:r>
        <w:rPr>
          <w:rFonts w:eastAsia="仿宋_GB2312"/>
          <w:sz w:val="32"/>
          <w:szCs w:val="32"/>
        </w:rPr>
        <w:t>名</w:t>
      </w:r>
      <w:r>
        <w:rPr>
          <w:rFonts w:hint="eastAsia" w:eastAsia="仿宋_GB2312"/>
          <w:sz w:val="32"/>
          <w:szCs w:val="32"/>
          <w:lang w:eastAsia="zh-CN"/>
        </w:rPr>
        <w:t>，机关工勤</w:t>
      </w:r>
      <w:r>
        <w:rPr>
          <w:rFonts w:hint="eastAsia" w:eastAsia="仿宋_GB2312"/>
          <w:sz w:val="32"/>
          <w:szCs w:val="32"/>
          <w:lang w:val="en-US" w:eastAsia="zh-CN"/>
        </w:rPr>
        <w:t>1名，学生资助中心7人，学生社会实践基地6名。</w:t>
      </w:r>
    </w:p>
    <w:p w14:paraId="5556C9CE">
      <w:pPr>
        <w:pStyle w:val="6"/>
        <w:widowControl/>
        <w:numPr>
          <w:ilvl w:val="0"/>
          <w:numId w:val="0"/>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7D227F57">
      <w:pPr>
        <w:widowControl/>
        <w:spacing w:line="520" w:lineRule="exact"/>
        <w:ind w:firstLine="640" w:firstLineChars="200"/>
        <w:jc w:val="left"/>
        <w:rPr>
          <w:rFonts w:hint="eastAsia" w:eastAsia="仿宋_GB2312"/>
          <w:sz w:val="32"/>
          <w:szCs w:val="32"/>
        </w:rPr>
      </w:pPr>
      <w:r>
        <w:rPr>
          <w:rFonts w:hint="eastAsia" w:eastAsia="仿宋_GB2312"/>
          <w:sz w:val="32"/>
          <w:szCs w:val="32"/>
        </w:rPr>
        <w:t>保证教育</w:t>
      </w:r>
      <w:r>
        <w:rPr>
          <w:rFonts w:hint="eastAsia" w:eastAsia="仿宋_GB2312"/>
          <w:sz w:val="32"/>
          <w:szCs w:val="32"/>
          <w:lang w:eastAsia="zh-CN"/>
        </w:rPr>
        <w:t>机关各项开支正常运转，</w:t>
      </w:r>
      <w:r>
        <w:rPr>
          <w:rFonts w:hint="eastAsia" w:eastAsia="仿宋_GB2312"/>
          <w:sz w:val="32"/>
          <w:szCs w:val="32"/>
        </w:rPr>
        <w:t>各项</w:t>
      </w:r>
      <w:r>
        <w:rPr>
          <w:rFonts w:hint="eastAsia" w:eastAsia="仿宋_GB2312"/>
          <w:sz w:val="32"/>
          <w:szCs w:val="32"/>
          <w:lang w:eastAsia="zh-CN"/>
        </w:rPr>
        <w:t>、</w:t>
      </w:r>
      <w:r>
        <w:rPr>
          <w:rFonts w:hint="eastAsia" w:eastAsia="仿宋_GB2312"/>
          <w:sz w:val="32"/>
          <w:szCs w:val="32"/>
        </w:rPr>
        <w:t>专项经费（校车安全专项补助、职业发展专项和职教经费、心理健康教育和安全管理专项、入学新生肺结核筛查经费、教师节表彰和走访慰问经费、教育督导经费、学前教育发展专项经费、高考学考经费、教师招聘、“双减”学生文体科技活动组织、国家义务教育质量监测）足额到位。</w:t>
      </w:r>
    </w:p>
    <w:p w14:paraId="07C3212A">
      <w:pPr>
        <w:widowControl/>
        <w:spacing w:line="520" w:lineRule="exact"/>
        <w:ind w:firstLine="640" w:firstLineChars="200"/>
        <w:jc w:val="left"/>
        <w:rPr>
          <w:rFonts w:hint="eastAsia" w:eastAsia="仿宋_GB2312"/>
          <w:sz w:val="32"/>
          <w:szCs w:val="32"/>
        </w:rPr>
      </w:pPr>
      <w:r>
        <w:rPr>
          <w:rFonts w:hint="eastAsia" w:eastAsia="仿宋_GB2312"/>
          <w:sz w:val="32"/>
          <w:szCs w:val="32"/>
        </w:rPr>
        <w:t>2、专项资金绩效目标</w:t>
      </w:r>
    </w:p>
    <w:p w14:paraId="7B0263A8">
      <w:pPr>
        <w:widowControl/>
        <w:spacing w:line="520" w:lineRule="exact"/>
        <w:ind w:firstLine="640" w:firstLineChars="200"/>
        <w:jc w:val="left"/>
        <w:rPr>
          <w:rFonts w:hint="eastAsia" w:eastAsia="仿宋_GB2312"/>
          <w:sz w:val="32"/>
          <w:szCs w:val="32"/>
        </w:rPr>
      </w:pPr>
      <w:r>
        <w:rPr>
          <w:rFonts w:hint="eastAsia" w:eastAsia="仿宋_GB2312"/>
          <w:sz w:val="32"/>
          <w:szCs w:val="32"/>
        </w:rPr>
        <w:t>农村教师公费定向培养：实施农村中小学、幼儿园教师公费定向培养，承担农村教师公费定向培养经费。</w:t>
      </w:r>
    </w:p>
    <w:p w14:paraId="066C428F">
      <w:pPr>
        <w:widowControl/>
        <w:spacing w:line="520" w:lineRule="exact"/>
        <w:ind w:firstLine="640" w:firstLineChars="200"/>
        <w:jc w:val="left"/>
        <w:rPr>
          <w:rFonts w:hint="eastAsia" w:eastAsia="仿宋_GB2312"/>
          <w:sz w:val="32"/>
          <w:szCs w:val="32"/>
        </w:rPr>
      </w:pPr>
      <w:r>
        <w:rPr>
          <w:rFonts w:hint="eastAsia" w:eastAsia="仿宋_GB2312"/>
          <w:sz w:val="32"/>
          <w:szCs w:val="32"/>
        </w:rPr>
        <w:t>原民办教师和代课教师生活困难补助经费：继续实施原民办教师和代课教师生活困难补助计划，承担原民办教师和代课教师基本生活困难补助。</w:t>
      </w:r>
    </w:p>
    <w:p w14:paraId="33E53BB8">
      <w:pPr>
        <w:widowControl/>
        <w:spacing w:line="520" w:lineRule="exact"/>
        <w:ind w:firstLine="640" w:firstLineChars="200"/>
        <w:jc w:val="left"/>
        <w:rPr>
          <w:rFonts w:hint="eastAsia" w:eastAsia="仿宋_GB2312"/>
          <w:sz w:val="32"/>
          <w:szCs w:val="32"/>
        </w:rPr>
      </w:pPr>
      <w:r>
        <w:rPr>
          <w:rFonts w:hint="eastAsia" w:eastAsia="仿宋_GB2312"/>
          <w:sz w:val="32"/>
          <w:szCs w:val="32"/>
        </w:rPr>
        <w:t>中小学生饮水费：解决义务教育学生饮用水安全，助力义务教育均衡发展，教育公平显著提升，满足家庭经济困难学生的生活需要。继续实施中小学生安全饮水计划，承担义务教育学生饮用水费用。</w:t>
      </w:r>
    </w:p>
    <w:p w14:paraId="6A94EE47">
      <w:pPr>
        <w:widowControl/>
        <w:spacing w:line="520" w:lineRule="exact"/>
        <w:ind w:firstLine="640" w:firstLineChars="200"/>
        <w:jc w:val="left"/>
        <w:rPr>
          <w:rFonts w:hint="eastAsia" w:eastAsia="仿宋_GB2312"/>
          <w:sz w:val="32"/>
          <w:szCs w:val="32"/>
        </w:rPr>
      </w:pPr>
      <w:r>
        <w:rPr>
          <w:rFonts w:hint="eastAsia" w:eastAsia="仿宋_GB2312"/>
          <w:sz w:val="32"/>
          <w:szCs w:val="32"/>
        </w:rPr>
        <w:t>学生资助资金：对全县建档立卡未脱贫对象家庭就读子女开展教育扶贫“精准助学”，确保无一人因贫失学，无一个家庭因学致贫返贫；落实义务教育家庭经济困难学生生活补助、家庭经济困难幼儿补助、普通高中助学金免学费和建档立卡等学生免教材及教辅费、中职助学金和免学费、外县建档立卡学生补助、义务教育雨露计划、义务教育建档立卡等学生免教辅费等资金。</w:t>
      </w:r>
    </w:p>
    <w:p w14:paraId="40F56214">
      <w:pPr>
        <w:widowControl/>
        <w:spacing w:line="520" w:lineRule="exact"/>
        <w:ind w:firstLine="640" w:firstLineChars="200"/>
        <w:jc w:val="left"/>
        <w:rPr>
          <w:rFonts w:hint="eastAsia" w:eastAsia="仿宋_GB2312"/>
          <w:sz w:val="32"/>
          <w:szCs w:val="32"/>
        </w:rPr>
      </w:pPr>
      <w:r>
        <w:rPr>
          <w:rFonts w:hint="eastAsia" w:eastAsia="仿宋_GB2312"/>
          <w:sz w:val="32"/>
          <w:szCs w:val="32"/>
        </w:rPr>
        <w:t>中小学幼儿园安保员配备经费：加强中小学幼儿园安防“三项”建设，政府对学校专职保安员配备采取购买服务，为每一所中小学配备专职保安员，确保专职保安人员配备经费。</w:t>
      </w:r>
    </w:p>
    <w:p w14:paraId="74CCB82A">
      <w:pPr>
        <w:widowControl/>
        <w:spacing w:line="520" w:lineRule="exact"/>
        <w:ind w:firstLine="640" w:firstLineChars="200"/>
        <w:jc w:val="left"/>
        <w:rPr>
          <w:rFonts w:hint="eastAsia" w:eastAsia="仿宋_GB2312"/>
          <w:sz w:val="32"/>
          <w:szCs w:val="32"/>
        </w:rPr>
      </w:pPr>
      <w:bookmarkStart w:id="0" w:name="_GoBack"/>
      <w:bookmarkEnd w:id="0"/>
      <w:r>
        <w:rPr>
          <w:rFonts w:hint="eastAsia" w:eastAsia="仿宋_GB2312"/>
          <w:sz w:val="32"/>
          <w:szCs w:val="32"/>
        </w:rPr>
        <w:t>公办幼儿园分园奖补经费</w:t>
      </w:r>
      <w:r>
        <w:rPr>
          <w:rFonts w:hint="eastAsia" w:eastAsia="仿宋_GB2312"/>
          <w:sz w:val="32"/>
          <w:szCs w:val="32"/>
        </w:rPr>
        <w:tab/>
      </w:r>
      <w:r>
        <w:rPr>
          <w:rFonts w:hint="eastAsia" w:eastAsia="仿宋_GB2312"/>
          <w:sz w:val="32"/>
          <w:szCs w:val="32"/>
        </w:rPr>
        <w:t>：进一步完善办公幼儿园管理体制和政策保障，推进我县学前教育普及普惠安全优质发展。确保公办幼儿园占比达50%以上，保障公办幼儿园分园生均300元奖补经费落实到位。</w:t>
      </w:r>
    </w:p>
    <w:p w14:paraId="1294D0B0">
      <w:pPr>
        <w:widowControl/>
        <w:spacing w:line="520" w:lineRule="exact"/>
        <w:ind w:firstLine="640" w:firstLineChars="200"/>
        <w:jc w:val="left"/>
        <w:rPr>
          <w:rFonts w:hint="default" w:ascii="楷体_GB2312" w:hAnsi="楷体_GB2312" w:eastAsia="仿宋_GB2312" w:cs="楷体_GB2312"/>
          <w:sz w:val="32"/>
          <w:szCs w:val="32"/>
          <w:lang w:val="en-US" w:eastAsia="zh-CN"/>
        </w:rPr>
      </w:pPr>
      <w:r>
        <w:rPr>
          <w:rFonts w:hint="eastAsia" w:eastAsia="仿宋_GB2312"/>
          <w:sz w:val="32"/>
          <w:szCs w:val="32"/>
        </w:rPr>
        <w:t>3、其他项目支出（除专项资金以外）绩效目标</w:t>
      </w:r>
      <w:r>
        <w:rPr>
          <w:rFonts w:hint="eastAsia" w:eastAsia="仿宋_GB2312"/>
          <w:sz w:val="32"/>
          <w:szCs w:val="32"/>
          <w:lang w:val="en-US" w:eastAsia="zh-CN"/>
        </w:rPr>
        <w:t xml:space="preserve">                                                                                                                                                                                                                                                                                                                                                                                                                                                                                                                                                                                                                                                                                                                                                                                                                                                                                                                                                                                                                                                                                                                                                                                                                                                                                                                                                                                                                                                                                                                                                                                                                                                                                                                                                                                                                                                                                                                                                                                                                                                                                                                                                                                                                                                                                                                                                                                                                                                                                                                                                                                                                                                                                                                                                                                            </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7FFB28B7">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eastAsia="仿宋_GB2312"/>
          <w:sz w:val="32"/>
          <w:szCs w:val="32"/>
          <w:lang w:val="en-US" w:eastAsia="zh-CN"/>
        </w:rPr>
        <w:t>基本支出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9460114.49</w:t>
      </w:r>
      <w:r>
        <w:rPr>
          <w:rFonts w:hint="eastAsia" w:ascii="仿宋_GB2312" w:hAnsi="仿宋_GB2312" w:eastAsia="仿宋_GB2312" w:cs="仿宋_GB2312"/>
          <w:sz w:val="32"/>
          <w:szCs w:val="32"/>
        </w:rPr>
        <w:t>元，是指为保障单位机构正常运转、完成日常工作任务而发生的各项支出，包括用于基本工资、津贴补贴等人员经费以及日常公用经费、业务性商品和服务支出。其中包括</w:t>
      </w:r>
      <w:r>
        <w:rPr>
          <w:rFonts w:hint="eastAsia" w:ascii="仿宋_GB2312" w:hAnsi="仿宋_GB2312" w:eastAsia="仿宋_GB2312" w:cs="仿宋_GB2312"/>
          <w:sz w:val="32"/>
          <w:szCs w:val="32"/>
          <w:lang w:eastAsia="zh-CN"/>
        </w:rPr>
        <w:t>人员经费</w:t>
      </w:r>
      <w:r>
        <w:rPr>
          <w:rFonts w:hint="eastAsia" w:ascii="仿宋_GB2312" w:hAnsi="仿宋_GB2312" w:eastAsia="仿宋_GB2312" w:cs="仿宋_GB2312"/>
          <w:sz w:val="32"/>
          <w:szCs w:val="32"/>
          <w:lang w:val="en-US" w:eastAsia="zh-CN"/>
        </w:rPr>
        <w:t>7351596.05元，</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2108518.44</w:t>
      </w:r>
      <w:r>
        <w:rPr>
          <w:rFonts w:hint="eastAsia" w:ascii="仿宋_GB2312" w:hAnsi="仿宋_GB2312" w:eastAsia="仿宋_GB2312" w:cs="仿宋_GB2312"/>
          <w:sz w:val="32"/>
          <w:szCs w:val="32"/>
        </w:rPr>
        <w:t>元。</w:t>
      </w:r>
    </w:p>
    <w:p w14:paraId="099B3A17">
      <w:pPr>
        <w:pStyle w:val="6"/>
        <w:widowControl/>
        <w:spacing w:line="520" w:lineRule="exact"/>
        <w:ind w:left="640" w:firstLine="0" w:firstLineChars="0"/>
        <w:rPr>
          <w:rFonts w:hint="eastAsia" w:ascii="宋体" w:cs="宋体"/>
          <w:color w:val="000000"/>
          <w:kern w:val="0"/>
          <w:sz w:val="32"/>
          <w:szCs w:val="32"/>
        </w:rPr>
      </w:pPr>
      <w:r>
        <w:rPr>
          <w:rFonts w:hint="eastAsia" w:ascii="楷体_GB2312" w:hAnsi="楷体_GB2312" w:eastAsia="楷体_GB2312" w:cs="楷体_GB2312"/>
          <w:sz w:val="32"/>
          <w:szCs w:val="32"/>
        </w:rPr>
        <w:t>（二）项目支出情况</w:t>
      </w:r>
    </w:p>
    <w:p w14:paraId="59DE0BC3">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eastAsia="仿宋_GB2312"/>
          <w:sz w:val="32"/>
          <w:szCs w:val="32"/>
          <w:lang w:val="en-US" w:eastAsia="zh-CN"/>
        </w:rPr>
        <w:t>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42854178.11。</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原民办教师和代课教师生活困难补助经费</w:t>
      </w:r>
      <w:r>
        <w:rPr>
          <w:rFonts w:hint="eastAsia" w:ascii="仿宋_GB2312" w:hAnsi="仿宋_GB2312" w:eastAsia="仿宋_GB2312" w:cs="仿宋_GB2312"/>
          <w:sz w:val="32"/>
          <w:szCs w:val="32"/>
          <w:lang w:val="en-US" w:eastAsia="zh-CN"/>
        </w:rPr>
        <w:t>1042040.00元、</w:t>
      </w:r>
      <w:r>
        <w:rPr>
          <w:rFonts w:hint="eastAsia" w:ascii="仿宋_GB2312" w:hAnsi="仿宋_GB2312" w:eastAsia="仿宋_GB2312" w:cs="仿宋_GB2312"/>
          <w:sz w:val="32"/>
          <w:szCs w:val="32"/>
        </w:rPr>
        <w:t>中小学生饮水费</w:t>
      </w:r>
      <w:r>
        <w:rPr>
          <w:rFonts w:hint="eastAsia" w:ascii="仿宋_GB2312" w:hAnsi="仿宋_GB2312" w:eastAsia="仿宋_GB2312" w:cs="仿宋_GB2312"/>
          <w:sz w:val="32"/>
          <w:szCs w:val="32"/>
          <w:lang w:val="en-US" w:eastAsia="zh-CN"/>
        </w:rPr>
        <w:t>841119.50元、</w:t>
      </w:r>
      <w:r>
        <w:rPr>
          <w:rFonts w:hint="eastAsia" w:ascii="仿宋_GB2312" w:hAnsi="仿宋_GB2312" w:eastAsia="仿宋_GB2312" w:cs="仿宋_GB2312"/>
          <w:sz w:val="32"/>
          <w:szCs w:val="32"/>
        </w:rPr>
        <w:t>学生资助资金</w:t>
      </w:r>
      <w:r>
        <w:rPr>
          <w:rFonts w:hint="eastAsia" w:ascii="仿宋_GB2312" w:hAnsi="仿宋_GB2312" w:eastAsia="仿宋_GB2312" w:cs="仿宋_GB2312"/>
          <w:sz w:val="32"/>
          <w:szCs w:val="32"/>
          <w:lang w:val="en-US" w:eastAsia="zh-CN"/>
        </w:rPr>
        <w:t>5810712.68元、</w:t>
      </w:r>
      <w:r>
        <w:rPr>
          <w:rFonts w:hint="eastAsia" w:ascii="仿宋_GB2312" w:hAnsi="仿宋_GB2312" w:eastAsia="仿宋_GB2312" w:cs="仿宋_GB2312"/>
          <w:sz w:val="32"/>
          <w:szCs w:val="32"/>
        </w:rPr>
        <w:t>中小学幼儿园安保员配备经费</w:t>
      </w:r>
      <w:r>
        <w:rPr>
          <w:rFonts w:hint="eastAsia" w:ascii="仿宋_GB2312" w:hAnsi="仿宋_GB2312" w:eastAsia="仿宋_GB2312" w:cs="仿宋_GB2312"/>
          <w:sz w:val="32"/>
          <w:szCs w:val="32"/>
          <w:lang w:val="en-US" w:eastAsia="zh-CN"/>
        </w:rPr>
        <w:t>3782545.60元、</w:t>
      </w:r>
      <w:r>
        <w:rPr>
          <w:rFonts w:hint="eastAsia" w:ascii="仿宋_GB2312" w:hAnsi="仿宋_GB2312" w:eastAsia="仿宋_GB2312" w:cs="仿宋_GB2312"/>
          <w:sz w:val="32"/>
          <w:szCs w:val="32"/>
        </w:rPr>
        <w:t>公办幼儿园分园奖补经费</w:t>
      </w:r>
      <w:r>
        <w:rPr>
          <w:rFonts w:hint="eastAsia" w:ascii="仿宋_GB2312" w:hAnsi="仿宋_GB2312" w:eastAsia="仿宋_GB2312" w:cs="仿宋_GB2312"/>
          <w:sz w:val="32"/>
          <w:szCs w:val="32"/>
          <w:lang w:val="en-US" w:eastAsia="zh-CN"/>
        </w:rPr>
        <w:t>1115650.00元、</w:t>
      </w:r>
      <w:r>
        <w:rPr>
          <w:rFonts w:hint="eastAsia" w:ascii="仿宋_GB2312" w:hAnsi="仿宋_GB2312" w:eastAsia="仿宋_GB2312" w:cs="仿宋_GB2312"/>
          <w:sz w:val="32"/>
          <w:szCs w:val="32"/>
        </w:rPr>
        <w:t>农村教师公费定向培养</w:t>
      </w:r>
      <w:r>
        <w:rPr>
          <w:rFonts w:hint="eastAsia" w:ascii="仿宋_GB2312" w:hAnsi="仿宋_GB2312" w:eastAsia="仿宋_GB2312" w:cs="仿宋_GB2312"/>
          <w:sz w:val="32"/>
          <w:szCs w:val="32"/>
          <w:lang w:val="en-US" w:eastAsia="zh-CN"/>
        </w:rPr>
        <w:t>471120.00元、学校设备款974531.20、各学校工程款28816459.13元。</w:t>
      </w:r>
    </w:p>
    <w:p w14:paraId="751A51C8">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三</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政府性基金预算支出情况</w:t>
      </w:r>
    </w:p>
    <w:p w14:paraId="1752605B">
      <w:pPr>
        <w:pStyle w:val="6"/>
        <w:widowControl/>
        <w:numPr>
          <w:ilvl w:val="0"/>
          <w:numId w:val="0"/>
        </w:numPr>
        <w:spacing w:line="520" w:lineRule="exact"/>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2024年本单位无政府性基金预算支出</w:t>
      </w:r>
    </w:p>
    <w:p w14:paraId="216101D4">
      <w:pPr>
        <w:pStyle w:val="6"/>
        <w:widowControl/>
        <w:numPr>
          <w:ilvl w:val="0"/>
          <w:numId w:val="0"/>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2AE75270">
      <w:pPr>
        <w:pStyle w:val="6"/>
        <w:widowControl/>
        <w:numPr>
          <w:ilvl w:val="0"/>
          <w:numId w:val="0"/>
        </w:numPr>
        <w:spacing w:line="520" w:lineRule="exact"/>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2024年本单位无国有资本经营预算支出</w:t>
      </w:r>
    </w:p>
    <w:p w14:paraId="690EE68D">
      <w:pPr>
        <w:pStyle w:val="6"/>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五</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社会保险基金预算支出情况</w:t>
      </w:r>
    </w:p>
    <w:p w14:paraId="335879F3">
      <w:pPr>
        <w:pStyle w:val="6"/>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2024年本单位无社会保险基金预算支出</w:t>
      </w:r>
    </w:p>
    <w:p w14:paraId="7074D3E2">
      <w:pPr>
        <w:widowControl/>
        <w:numPr>
          <w:ilvl w:val="0"/>
          <w:numId w:val="0"/>
        </w:numPr>
        <w:spacing w:line="520" w:lineRule="exact"/>
        <w:ind w:left="0" w:leftChars="0" w:firstLine="640" w:firstLineChars="200"/>
        <w:jc w:val="left"/>
        <w:rPr>
          <w:rFonts w:eastAsia="黑体"/>
          <w:sz w:val="32"/>
          <w:szCs w:val="32"/>
        </w:rPr>
      </w:pPr>
      <w:r>
        <w:rPr>
          <w:rFonts w:hint="eastAsia" w:eastAsia="黑体" w:cs="Arial"/>
          <w:snapToGrid w:val="0"/>
          <w:color w:val="000000"/>
          <w:kern w:val="0"/>
          <w:sz w:val="32"/>
          <w:szCs w:val="32"/>
          <w:lang w:val="en-US" w:eastAsia="zh-CN" w:bidi="ar-SA"/>
        </w:rPr>
        <w:t>六</w:t>
      </w:r>
      <w:r>
        <w:rPr>
          <w:rFonts w:hint="eastAsia" w:ascii="Arial" w:hAnsi="Arial" w:eastAsia="黑体" w:cs="Arial"/>
          <w:snapToGrid w:val="0"/>
          <w:color w:val="000000"/>
          <w:kern w:val="0"/>
          <w:sz w:val="32"/>
          <w:szCs w:val="32"/>
          <w:lang w:val="en-US" w:eastAsia="en-US" w:bidi="ar-SA"/>
        </w:rPr>
        <w:t>、</w:t>
      </w:r>
      <w:r>
        <w:rPr>
          <w:rFonts w:eastAsia="黑体"/>
          <w:sz w:val="32"/>
          <w:szCs w:val="32"/>
        </w:rPr>
        <w:t>部门整体支出绩效情况</w:t>
      </w:r>
    </w:p>
    <w:p w14:paraId="5017FD3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eastAsia="仿宋_GB2312"/>
          <w:color w:val="000000"/>
          <w:sz w:val="32"/>
          <w:szCs w:val="32"/>
        </w:rPr>
      </w:pPr>
      <w:r>
        <w:rPr>
          <w:rFonts w:hint="eastAsia"/>
          <w:lang w:val="en-US" w:eastAsia="zh-CN"/>
        </w:rPr>
        <w:t xml:space="preserve">     </w:t>
      </w:r>
      <w:r>
        <w:rPr>
          <w:rFonts w:hint="eastAsia" w:ascii="仿宋_GB2312" w:hAnsi="仿宋_GB2312" w:eastAsia="仿宋_GB2312" w:cs="仿宋_GB2312"/>
          <w:sz w:val="32"/>
          <w:szCs w:val="32"/>
          <w:lang w:val="en-US" w:eastAsia="zh-CN"/>
        </w:rPr>
        <w:t>从整体上看2024年教育局机关资金运行维护决策正确，资金管理规范，项目管理到位，政策执行有力，有效发挥了财政资金的使用效率。项目资金其主要用途是</w:t>
      </w:r>
      <w:r>
        <w:rPr>
          <w:rFonts w:hint="eastAsia" w:eastAsia="仿宋_GB2312"/>
          <w:sz w:val="32"/>
          <w:szCs w:val="32"/>
        </w:rPr>
        <w:t>校车安全专项补助、职业发展专项和职教经费、心理健康教育和安全管理专项、入学新生肺结核筛查经费、教育督导经费、学前教育发展专项经费、高考学考经费、教师招聘、“双减”学生文体科技活动组织、国家义务教育质量监测</w:t>
      </w:r>
      <w:r>
        <w:rPr>
          <w:rFonts w:hint="eastAsia" w:ascii="仿宋_GB2312" w:hAnsi="仿宋_GB2312" w:eastAsia="仿宋_GB2312" w:cs="仿宋_GB2312"/>
          <w:sz w:val="32"/>
          <w:szCs w:val="32"/>
          <w:lang w:val="en-US" w:eastAsia="zh-CN"/>
        </w:rPr>
        <w:t>；在人员经费支出、公共支出严格执行县委县政府的各项制度；在项目经费的使用上，在保证各项任务顺利完成的同时，严格落实厉行节约的原则；三公经费的使用严格控制在预算申报的范围内。</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2ECE9865">
      <w:pPr>
        <w:widowControl/>
        <w:numPr>
          <w:ilvl w:val="0"/>
          <w:numId w:val="0"/>
        </w:numPr>
        <w:spacing w:line="520" w:lineRule="exact"/>
        <w:ind w:firstLine="1280" w:firstLineChars="400"/>
        <w:jc w:val="left"/>
        <w:rPr>
          <w:rFonts w:hint="eastAsia" w:eastAsia="黑体"/>
          <w:sz w:val="32"/>
          <w:szCs w:val="32"/>
          <w:lang w:val="en-US" w:eastAsia="zh-CN"/>
        </w:rPr>
      </w:pPr>
      <w:r>
        <w:rPr>
          <w:rFonts w:hint="eastAsia" w:eastAsia="黑体"/>
          <w:sz w:val="32"/>
          <w:szCs w:val="32"/>
          <w:lang w:val="en-US" w:eastAsia="zh-CN"/>
        </w:rPr>
        <w:t>无</w:t>
      </w:r>
    </w:p>
    <w:p w14:paraId="31999ED7">
      <w:pPr>
        <w:widowControl/>
        <w:numPr>
          <w:ilvl w:val="0"/>
          <w:numId w:val="1"/>
        </w:numPr>
        <w:spacing w:line="520" w:lineRule="exact"/>
        <w:ind w:firstLine="640" w:firstLineChars="200"/>
        <w:jc w:val="left"/>
        <w:rPr>
          <w:rFonts w:eastAsia="黑体"/>
          <w:sz w:val="32"/>
          <w:szCs w:val="32"/>
        </w:rPr>
      </w:pPr>
      <w:r>
        <w:rPr>
          <w:rFonts w:eastAsia="黑体"/>
          <w:sz w:val="32"/>
          <w:szCs w:val="32"/>
        </w:rPr>
        <w:t>下一步改进措施</w:t>
      </w:r>
    </w:p>
    <w:p w14:paraId="629F0081">
      <w:pPr>
        <w:widowControl/>
        <w:numPr>
          <w:ilvl w:val="0"/>
          <w:numId w:val="0"/>
        </w:numPr>
        <w:spacing w:line="520" w:lineRule="exact"/>
        <w:jc w:val="left"/>
        <w:rPr>
          <w:rFonts w:hint="default" w:eastAsia="黑体"/>
          <w:sz w:val="32"/>
          <w:szCs w:val="32"/>
          <w:lang w:val="en-US" w:eastAsia="zh-CN"/>
        </w:rPr>
      </w:pPr>
      <w:r>
        <w:rPr>
          <w:rFonts w:hint="eastAsia" w:eastAsia="黑体"/>
          <w:sz w:val="32"/>
          <w:szCs w:val="32"/>
          <w:lang w:val="en-US" w:eastAsia="zh-CN"/>
        </w:rPr>
        <w:t xml:space="preserve">        无</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3BDB4B2F">
      <w:pPr>
        <w:widowControl/>
        <w:spacing w:line="520" w:lineRule="exact"/>
        <w:ind w:firstLine="645"/>
        <w:jc w:val="left"/>
        <w:rPr>
          <w:rFonts w:hint="default" w:eastAsia="黑体"/>
          <w:sz w:val="32"/>
          <w:szCs w:val="32"/>
          <w:lang w:val="en-US" w:eastAsia="zh-CN"/>
        </w:rPr>
      </w:pPr>
      <w:r>
        <w:rPr>
          <w:rFonts w:hint="eastAsia" w:eastAsia="黑体"/>
          <w:sz w:val="32"/>
          <w:szCs w:val="32"/>
          <w:lang w:val="en-US" w:eastAsia="zh-CN"/>
        </w:rPr>
        <w:t xml:space="preserve">    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D36AE"/>
    <w:multiLevelType w:val="singleLevel"/>
    <w:tmpl w:val="D46D36A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zMyNGJjM2U5ZTkyNDFjMGVhYTdjNTVhMDViZTMifQ=="/>
  </w:docVars>
  <w:rsids>
    <w:rsidRoot w:val="00000000"/>
    <w:rsid w:val="06F10F1F"/>
    <w:rsid w:val="15BF56EC"/>
    <w:rsid w:val="22BF297E"/>
    <w:rsid w:val="2AAE6418"/>
    <w:rsid w:val="2D816501"/>
    <w:rsid w:val="31AA705D"/>
    <w:rsid w:val="3277324F"/>
    <w:rsid w:val="35CB6416"/>
    <w:rsid w:val="37F80C2F"/>
    <w:rsid w:val="47034D0F"/>
    <w:rsid w:val="4B4334AB"/>
    <w:rsid w:val="5403276E"/>
    <w:rsid w:val="54C57A37"/>
    <w:rsid w:val="65016B6A"/>
    <w:rsid w:val="7959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1771</Words>
  <Characters>1916</Characters>
  <Lines>0</Lines>
  <Paragraphs>0</Paragraphs>
  <TotalTime>26</TotalTime>
  <ScaleCrop>false</ScaleCrop>
  <LinksUpToDate>false</LinksUpToDate>
  <CharactersWithSpaces>4639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知音</cp:lastModifiedBy>
  <dcterms:modified xsi:type="dcterms:W3CDTF">2025-07-28T02:33:02Z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DEC29D6FF1984251977FAFE43F2C91AB_12</vt:lpwstr>
  </property>
  <property fmtid="{D5CDD505-2E9C-101B-9397-08002B2CF9AE}" pid="4" name="KSOTemplateDocerSaveRecord">
    <vt:lpwstr>eyJoZGlkIjoiOTExYzMyNGJjM2U5ZTkyNDFjMGVhYTdjNTVhMDViZTMiLCJ1c2VySWQiOiIzNzc3NjY4MjgifQ==</vt:lpwstr>
  </property>
</Properties>
</file>