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2F60D9F">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2024年度炎陵县红军标语博物馆</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7252BE40">
      <w:pPr>
        <w:spacing w:line="600" w:lineRule="exact"/>
        <w:jc w:val="center"/>
        <w:rPr>
          <w:rFonts w:eastAsia="楷体_GB2312"/>
          <w:sz w:val="32"/>
          <w:szCs w:val="32"/>
        </w:rPr>
      </w:pPr>
    </w:p>
    <w:p w14:paraId="2C430E07">
      <w:pPr>
        <w:spacing w:line="600" w:lineRule="exact"/>
        <w:jc w:val="center"/>
        <w:rPr>
          <w:rFonts w:eastAsia="楷体_GB2312"/>
          <w:sz w:val="32"/>
          <w:szCs w:val="32"/>
        </w:rPr>
      </w:pPr>
    </w:p>
    <w:p w14:paraId="0C75A481">
      <w:pPr>
        <w:spacing w:line="600" w:lineRule="exact"/>
        <w:jc w:val="center"/>
        <w:rPr>
          <w:rFonts w:eastAsia="楷体_GB2312"/>
          <w:sz w:val="32"/>
          <w:szCs w:val="32"/>
        </w:rPr>
      </w:pPr>
    </w:p>
    <w:p w14:paraId="6F149491">
      <w:pPr>
        <w:spacing w:line="600" w:lineRule="exact"/>
        <w:jc w:val="center"/>
        <w:rPr>
          <w:rFonts w:eastAsia="楷体_GB2312"/>
          <w:sz w:val="32"/>
          <w:szCs w:val="32"/>
        </w:rPr>
      </w:pPr>
    </w:p>
    <w:p w14:paraId="2D02DA92">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炎陵县红军标语博物馆</w:t>
      </w:r>
    </w:p>
    <w:p w14:paraId="4F6BE492">
      <w:pPr>
        <w:pStyle w:val="9"/>
        <w:jc w:val="center"/>
        <w:rPr>
          <w:rFonts w:hint="default"/>
          <w:lang w:val="en-US" w:eastAsia="zh-CN"/>
        </w:rPr>
      </w:pPr>
      <w:r>
        <w:rPr>
          <w:rFonts w:hint="eastAsia" w:ascii="黑体" w:hAnsi="黑体" w:eastAsia="黑体" w:cs="黑体"/>
          <w:sz w:val="36"/>
          <w:szCs w:val="36"/>
          <w:lang w:val="en-US" w:eastAsia="zh-CN"/>
        </w:rPr>
        <w:t>（炎陵县考古研究和文物保护中心）</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084269F2">
      <w:pPr>
        <w:spacing w:line="600" w:lineRule="exact"/>
        <w:jc w:val="both"/>
        <w:rPr>
          <w:rFonts w:hint="eastAsia" w:ascii="黑体" w:hAnsi="黑体" w:eastAsia="黑体" w:cs="黑体"/>
          <w:sz w:val="36"/>
          <w:szCs w:val="36"/>
          <w:lang w:val="en-US" w:eastAsia="zh-CN"/>
        </w:rPr>
      </w:pPr>
    </w:p>
    <w:p w14:paraId="69FD9C40">
      <w:pPr>
        <w:pStyle w:val="8"/>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8"/>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15063FB2">
      <w:pPr>
        <w:pStyle w:val="8"/>
        <w:widowControl/>
        <w:numPr>
          <w:ilvl w:val="0"/>
          <w:numId w:val="0"/>
        </w:numPr>
        <w:spacing w:line="240" w:lineRule="auto"/>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1、部门职能职责</w:t>
      </w:r>
    </w:p>
    <w:p w14:paraId="10DF0B95">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一）负责全县文物保护利用和考古研究的日常业务工作。</w:t>
      </w:r>
    </w:p>
    <w:p w14:paraId="6B3DB592">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（二）协助管理全县文物调查、申报、保护、抢救、维修和利用工作。</w:t>
      </w:r>
    </w:p>
    <w:p w14:paraId="4304B47C">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（三）落实全县文物和博物馆安全防范工作，依法协助查处文物违法的重大件。</w:t>
      </w:r>
    </w:p>
    <w:p w14:paraId="557E7E75">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（四）负责红军标语博物馆、中国工农红军革命活动炎陵纪念馆、全县文物保护单位有关项目的申报、建设等事务性工作。</w:t>
      </w:r>
    </w:p>
    <w:p w14:paraId="752796D3">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（五）做好博物馆和纪念馆的日常开放工作。</w:t>
      </w:r>
    </w:p>
    <w:p w14:paraId="1445A1AB">
      <w:pPr>
        <w:keepNext w:val="0"/>
        <w:keepLines w:val="0"/>
        <w:pageBreakBefore w:val="0"/>
        <w:widowControl w:val="0"/>
        <w:kinsoku/>
        <w:wordWrap/>
        <w:overflowPunct/>
        <w:topLinePunct w:val="0"/>
        <w:autoSpaceDE/>
        <w:autoSpaceDN/>
        <w:bidi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lang w:val="en-US" w:eastAsia="zh-CN"/>
        </w:rPr>
        <w:t>（六）做好全县县纪以上文物保护单位的日常管理、讲解培训等事务性工作。</w:t>
      </w:r>
    </w:p>
    <w:p w14:paraId="26C935B2">
      <w:pPr>
        <w:pStyle w:val="8"/>
        <w:widowControl/>
        <w:numPr>
          <w:ilvl w:val="0"/>
          <w:numId w:val="0"/>
        </w:numPr>
        <w:spacing w:line="520" w:lineRule="exact"/>
        <w:ind w:firstLine="960" w:firstLineChars="3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2、机构设置情况</w:t>
      </w:r>
    </w:p>
    <w:p w14:paraId="0F479014">
      <w:pPr>
        <w:tabs>
          <w:tab w:val="left" w:pos="7560"/>
        </w:tabs>
        <w:adjustRightInd w:val="0"/>
        <w:snapToGrid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2024年未，</w:t>
      </w:r>
      <w:r>
        <w:rPr>
          <w:rFonts w:hint="eastAsia" w:eastAsia="仿宋_GB2312"/>
          <w:bCs/>
          <w:sz w:val="32"/>
          <w:szCs w:val="32"/>
        </w:rPr>
        <w:t>炎陵县红军标语博物馆（副科级，公益一类事业单位）属</w:t>
      </w:r>
      <w:r>
        <w:rPr>
          <w:rFonts w:hint="eastAsia" w:ascii="Times New Roman" w:hAnsi="Times New Roman" w:eastAsia="仿宋_GB2312" w:cs="Times New Roman"/>
          <w:bCs/>
          <w:sz w:val="32"/>
          <w:szCs w:val="32"/>
        </w:rPr>
        <w:t>炎陵县文化旅游广电体育局二级预算单位。</w:t>
      </w:r>
      <w:r>
        <w:rPr>
          <w:rFonts w:hint="eastAsia" w:ascii="仿宋_GB2312" w:hAnsi="仿宋_GB2312" w:eastAsia="仿宋_GB2312" w:cs="仿宋_GB2312"/>
          <w:bCs/>
          <w:sz w:val="32"/>
          <w:szCs w:val="32"/>
          <w:lang w:val="en-US" w:eastAsia="zh-CN"/>
        </w:rPr>
        <w:t>设4个内设机构：办公室、文博室、陈列室、接待部。</w:t>
      </w:r>
    </w:p>
    <w:p w14:paraId="426F4066">
      <w:pPr>
        <w:pStyle w:val="8"/>
        <w:widowControl/>
        <w:numPr>
          <w:ilvl w:val="0"/>
          <w:numId w:val="0"/>
        </w:numPr>
        <w:spacing w:line="520" w:lineRule="exact"/>
        <w:ind w:firstLine="960" w:firstLineChars="3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3、人员编制情况</w:t>
      </w:r>
    </w:p>
    <w:p w14:paraId="52A745B4">
      <w:pPr>
        <w:tabs>
          <w:tab w:val="left" w:pos="756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2024年未，我单位共有全额拨款事业编制13名，实有在职在编11人，退休人员3人，其他享受财政定期生活补助（遗属）人员2人。</w:t>
      </w:r>
    </w:p>
    <w:p w14:paraId="24A69BCE">
      <w:pPr>
        <w:pStyle w:val="8"/>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p>
    <w:p w14:paraId="5556C9CE">
      <w:pPr>
        <w:pStyle w:val="8"/>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530BA2F6">
      <w:pPr>
        <w:tabs>
          <w:tab w:val="left" w:pos="7560"/>
        </w:tabs>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加大红色文化思政教育阵地建设力度。加强馆校合作，拓展红色文化思政教育渠道，开设红色文化思政课堂，主动送教上门，将红色文化思政课堂搬进学校，在德育教研、实践培训、人才培养等方面开展深度合作，充分发挥爱国主义教育基地的作用。</w:t>
      </w:r>
    </w:p>
    <w:p w14:paraId="348FB5A4">
      <w:pPr>
        <w:tabs>
          <w:tab w:val="left" w:pos="7560"/>
        </w:tabs>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不断提高接待水平。采用“走出去”和“请进来”的方式，做好讲解员培训。邀请县党史专家开展讲座，进一步深入挖掘炎陵县红色文化，讲好炎陵红色故事，聘请专业老师对讲解员的讲解技巧、讲解礼仪进行培训。同时，组织讲解员到同类博物馆学习经验，提高讲解水平。</w:t>
      </w:r>
    </w:p>
    <w:p w14:paraId="4E01D83F">
      <w:pPr>
        <w:tabs>
          <w:tab w:val="left" w:pos="7560"/>
        </w:tabs>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3.做好线上服务。持续做好“红色炎陵”微信公众号，探索推出抖音、快手等视频号，进一步加大对炎陵红色文化的宣传推介，发布藏品及文博工作资讯。</w:t>
      </w:r>
    </w:p>
    <w:p w14:paraId="5C8F623F">
      <w:pPr>
        <w:tabs>
          <w:tab w:val="left" w:pos="7560"/>
        </w:tabs>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以活动扩影响。做好志愿者团队建设工作，开展2024年红领巾志愿讲解员招募、培训等工作。积极策划2024年“博物馆日”“中国旅游日”“文化和自然遗产日”“七一建军”“八一建党”等系列红色文化教育活动。</w:t>
      </w:r>
    </w:p>
    <w:p w14:paraId="73951730">
      <w:pPr>
        <w:tabs>
          <w:tab w:val="left" w:pos="7560"/>
        </w:tabs>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5.筑牢安全基础。进一步深化景区安全工作，不断强化景区安全巡查，深入开展安全生产专项整治力度，确保景区无火灾、无盗窃、无人为破坏损毁文物事故发生。</w:t>
      </w:r>
    </w:p>
    <w:p w14:paraId="7587B28A">
      <w:pPr>
        <w:pStyle w:val="8"/>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57536703">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炎陵县红军标语博物馆基本支出257.28万元，其中：人员经费142.87万元，日常公用经费114.41万元。</w:t>
      </w:r>
    </w:p>
    <w:p w14:paraId="37B4BDDF">
      <w:pPr>
        <w:spacing w:line="560" w:lineRule="exact"/>
        <w:ind w:firstLine="640" w:firstLineChars="200"/>
        <w:jc w:val="both"/>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人员经费中基本工资支出46.1万元占33.27%，绩效工资支出42.66万元占29.86%，奖金支出14.32万元占10.02%，机关事业养老保险缴费支出14.44万元占10.11%，基本医疗保障缴费支出5.93万元占4.15%，公务员医疗补助缴费2.04万元占1.43%，其他社会保障缴费支出1.54万元占1.07%，住房公积金支出12.05万元占8.43%，对个人和家庭补助3.78万元占2.65%。</w:t>
      </w:r>
    </w:p>
    <w:p w14:paraId="71439A03">
      <w:pPr>
        <w:spacing w:line="560" w:lineRule="exact"/>
        <w:ind w:firstLine="640" w:firstLineChars="200"/>
        <w:jc w:val="both"/>
        <w:rPr>
          <w:rFonts w:hint="eastAsia" w:ascii="楷体_GB2312" w:hAnsi="楷体_GB2312" w:eastAsia="楷体_GB2312" w:cs="楷体_GB2312"/>
          <w:color w:val="auto"/>
          <w:sz w:val="32"/>
          <w:szCs w:val="32"/>
        </w:rPr>
      </w:pPr>
      <w:r>
        <w:rPr>
          <w:rFonts w:hint="eastAsia" w:ascii="仿宋_GB2312" w:hAnsi="仿宋_GB2312" w:eastAsia="仿宋_GB2312" w:cs="仿宋_GB2312"/>
          <w:bCs/>
          <w:color w:val="auto"/>
          <w:sz w:val="32"/>
          <w:szCs w:val="32"/>
          <w:lang w:val="en-US" w:eastAsia="zh-CN"/>
        </w:rPr>
        <w:t>2、日常公用经费支出中办公费支出2.35万元占2.05%，水费支出1.99万元占1.74%，电费支出10.81万元占9.45%，邮电费支出5.93万元占5.18%，差旅费支出2.49万元占2.18%，维修（护）费支出21.85万元占19.1%，租赁费支出0.37万元占0.32%，培训费支出0.05万元占0.04%，公务接待费支出0.53万元占0.46%，专用材料支出9.38万元占8.2%，劳务费支出38.00万元占33.21%，工会经费支出3.2万元占2.79%，其他交通费支出0.78万元占0.68%，其他商品服务支出16.36万元占14.3%，办公设备购置0.32万元占0.28%。</w:t>
      </w:r>
    </w:p>
    <w:p w14:paraId="7C11EFB6">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1BD6B3D2">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炎陵县红军标语博物馆2024年度项目支出151.71万元，其中：向上级部门争取的项目资金131.73万元，县本级安排19.98万元。</w:t>
      </w:r>
    </w:p>
    <w:p w14:paraId="64EDDA26">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1、湘财预〔2022〕345号文件提前下达2023年公共文化服务体系建设资金安排红标馆红色“大思政课”10.00万元，2023年支出6.00万元，本年支出4.00万元。</w:t>
      </w:r>
    </w:p>
    <w:p w14:paraId="26754D79">
      <w:pPr>
        <w:spacing w:line="560" w:lineRule="exact"/>
        <w:ind w:firstLine="640" w:firstLineChars="200"/>
        <w:jc w:val="both"/>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auto"/>
          <w:sz w:val="32"/>
          <w:szCs w:val="32"/>
          <w:lang w:val="en-US" w:eastAsia="zh-CN"/>
        </w:rPr>
        <w:t>2、湘财预[2023]97号文件中央支持地方公共文化服务体系建设补助公共文化服务场所维修改造安排红标馆25万元，2023年支出6.80万元，本年支出18.20万元。</w:t>
      </w:r>
    </w:p>
    <w:p w14:paraId="3B879C1E">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湘财文指[2023]27号文件下达2023年省文物保护专项资金（炎陵县文化旅游广电体育局-炎陵县红军标语博物馆馆藏二级和三级标语文物保护修复与预防性保护项目97万元）本年支出69.53万元，余27.47万元被财政收回统筹。</w:t>
      </w:r>
    </w:p>
    <w:p w14:paraId="17F6B33F">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4、湘财文指[2023]39号文件下达红色文化旅游“六个一”红色育人体系项目40.00万元，本年支出40.00万元。</w:t>
      </w:r>
    </w:p>
    <w:p w14:paraId="745C4CA7">
      <w:pPr>
        <w:spacing w:line="560" w:lineRule="exact"/>
        <w:ind w:firstLine="640" w:firstLineChars="200"/>
        <w:jc w:val="both"/>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5、县本级财政安排景区围墙维修资金19.98万元。</w:t>
      </w:r>
    </w:p>
    <w:p w14:paraId="15481187">
      <w:pPr>
        <w:pStyle w:val="8"/>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三</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政府性基金预算支出情况</w:t>
      </w:r>
    </w:p>
    <w:p w14:paraId="5B889E63">
      <w:pPr>
        <w:pStyle w:val="8"/>
        <w:widowControl/>
        <w:numPr>
          <w:ilvl w:val="0"/>
          <w:numId w:val="0"/>
        </w:numPr>
        <w:spacing w:line="520" w:lineRule="exact"/>
        <w:jc w:val="left"/>
        <w:rPr>
          <w:rFonts w:hint="eastAsia" w:ascii="Times New Roman" w:hAnsi="Times New Roman" w:eastAsia="黑体" w:cs="Times New Roman"/>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2024年度炎陵县红军标语博物馆无政府性基金预算支出。</w:t>
      </w:r>
    </w:p>
    <w:p w14:paraId="6E43DCB1">
      <w:pPr>
        <w:pStyle w:val="8"/>
        <w:widowControl/>
        <w:numPr>
          <w:ilvl w:val="0"/>
          <w:numId w:val="0"/>
        </w:numPr>
        <w:spacing w:line="520" w:lineRule="exact"/>
        <w:ind w:left="0" w:leftChars="0" w:firstLine="640" w:firstLineChars="200"/>
        <w:jc w:val="left"/>
        <w:rPr>
          <w:rFonts w:hint="default"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5563009C">
      <w:pPr>
        <w:pStyle w:val="8"/>
        <w:widowControl/>
        <w:spacing w:line="520" w:lineRule="exact"/>
        <w:ind w:left="0" w:leftChars="0" w:firstLine="0" w:firstLineChars="0"/>
        <w:jc w:val="left"/>
        <w:rPr>
          <w:rFonts w:hint="eastAsia" w:ascii="Times New Roman" w:hAnsi="Times New Roman" w:eastAsia="黑体"/>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2024年度炎陵县红军标语博物馆无国有资本经营预算支出。</w:t>
      </w:r>
    </w:p>
    <w:p w14:paraId="690EE68D">
      <w:pPr>
        <w:pStyle w:val="8"/>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5F42C35E">
      <w:pPr>
        <w:widowControl/>
        <w:spacing w:line="520" w:lineRule="exact"/>
        <w:jc w:val="left"/>
        <w:rPr>
          <w:rFonts w:hint="eastAsia" w:eastAsia="黑体"/>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2024年度炎陵县红军标语博物馆无社会保险基金预算支出。</w:t>
      </w:r>
    </w:p>
    <w:p w14:paraId="7074D3E2">
      <w:pPr>
        <w:widowControl/>
        <w:spacing w:line="520" w:lineRule="exact"/>
        <w:ind w:firstLine="645"/>
        <w:jc w:val="left"/>
        <w:rPr>
          <w:rFonts w:eastAsia="黑体"/>
          <w:color w:val="auto"/>
          <w:sz w:val="32"/>
          <w:szCs w:val="32"/>
        </w:rPr>
      </w:pPr>
      <w:r>
        <w:rPr>
          <w:rFonts w:hint="eastAsia" w:eastAsia="黑体"/>
          <w:color w:val="auto"/>
          <w:sz w:val="32"/>
          <w:szCs w:val="32"/>
          <w:lang w:val="en-US" w:eastAsia="zh-CN"/>
        </w:rPr>
        <w:t>六</w:t>
      </w:r>
      <w:r>
        <w:rPr>
          <w:rFonts w:eastAsia="黑体"/>
          <w:color w:val="auto"/>
          <w:sz w:val="32"/>
          <w:szCs w:val="32"/>
        </w:rPr>
        <w:t>、部门整体支出绩效情况</w:t>
      </w:r>
    </w:p>
    <w:p w14:paraId="070986D6">
      <w:pPr>
        <w:pStyle w:val="8"/>
        <w:keepNext w:val="0"/>
        <w:keepLines w:val="0"/>
        <w:pageBreakBefore w:val="0"/>
        <w:kinsoku/>
        <w:wordWrap/>
        <w:overflowPunct/>
        <w:topLinePunct w:val="0"/>
        <w:autoSpaceDE/>
        <w:autoSpaceDN/>
        <w:bidi w:val="0"/>
        <w:snapToGrid/>
        <w:spacing w:line="52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今年以来，红军标语博物馆在县委县政府的坚强领导下，在上级相关部门的关心指导下，坚持以习近平新时代中国特色社会主义思想为指引，充分发挥文博单位职能作用，进一步落实免费开放政策，在项目建设、对外宣传、服务质量、基础设施、安全生产等方面做了大量的工作。先后获评“优秀公共文化空间案例奖”“湖南省关心下一代党史国史教育基地”“湖南省新时代文明实践示范点”“2024年湖南省‘法治进文旅场馆’活动先进单位”“十佳研学旅游基地”等荣誉称号。</w:t>
      </w:r>
    </w:p>
    <w:p w14:paraId="21701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20"/>
        <w:jc w:val="both"/>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1.免费开放有序开展</w:t>
      </w:r>
      <w:r>
        <w:rPr>
          <w:rFonts w:hint="eastAsia" w:ascii="楷体_GB2312" w:hAnsi="楷体_GB2312" w:eastAsia="楷体_GB2312" w:cs="楷体_GB2312"/>
          <w:b w:val="0"/>
          <w:bCs w:val="0"/>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bidi="ar-SA"/>
        </w:rPr>
        <w:t>除每周一例行闭馆维护外，其余时间均保持正常开放状态。充分发挥博物馆作为社会教育重要阵地的功能，深入推进党史学习教育、革命传统教育等各项工作。2024年，本馆已接待县内外各级党委、政府部门、学校、社会团体等800余次参观学习活动，为游客提供无偿志愿服务达110余次，累计免费接待参观人数达到66.5余万</w:t>
      </w:r>
      <w:r>
        <w:rPr>
          <w:rFonts w:hint="eastAsia" w:ascii="楷体_GB2312" w:hAnsi="楷体_GB2312" w:eastAsia="楷体_GB2312" w:cs="楷体_GB2312"/>
          <w:b w:val="0"/>
          <w:bCs/>
          <w:color w:val="auto"/>
          <w:kern w:val="2"/>
          <w:sz w:val="32"/>
          <w:szCs w:val="32"/>
          <w:lang w:val="en-US" w:eastAsia="zh-CN" w:bidi="ar-SA"/>
        </w:rPr>
        <w:t>人次。</w:t>
      </w:r>
    </w:p>
    <w:p w14:paraId="06887B88">
      <w:pPr>
        <w:pStyle w:val="9"/>
        <w:keepNext w:val="0"/>
        <w:keepLines w:val="0"/>
        <w:pageBreakBefore w:val="0"/>
        <w:numPr>
          <w:ilvl w:val="0"/>
          <w:numId w:val="0"/>
        </w:numPr>
        <w:kinsoku/>
        <w:wordWrap/>
        <w:overflowPunct/>
        <w:topLinePunct w:val="0"/>
        <w:autoSpaceDE/>
        <w:autoSpaceDN/>
        <w:bidi w:val="0"/>
        <w:snapToGrid/>
        <w:spacing w:line="520" w:lineRule="exact"/>
        <w:ind w:firstLine="643" w:firstLineChars="200"/>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2.宣传策划推陈出新。</w:t>
      </w:r>
      <w:r>
        <w:rPr>
          <w:rFonts w:hint="eastAsia" w:ascii="仿宋_GB2312" w:hAnsi="仿宋_GB2312" w:eastAsia="仿宋_GB2312" w:cs="仿宋_GB2312"/>
          <w:b/>
          <w:bCs w:val="0"/>
          <w:color w:val="auto"/>
          <w:kern w:val="2"/>
          <w:sz w:val="32"/>
          <w:szCs w:val="32"/>
          <w:lang w:val="en-US" w:eastAsia="zh-CN" w:bidi="ar-SA"/>
        </w:rPr>
        <w:t>一是在活动开展方面，</w:t>
      </w:r>
      <w:r>
        <w:rPr>
          <w:rFonts w:hint="eastAsia" w:ascii="仿宋_GB2312" w:hAnsi="仿宋_GB2312" w:eastAsia="仿宋_GB2312" w:cs="仿宋_GB2312"/>
          <w:b w:val="0"/>
          <w:bCs/>
          <w:color w:val="auto"/>
          <w:kern w:val="2"/>
          <w:sz w:val="32"/>
          <w:szCs w:val="32"/>
          <w:lang w:val="en-US" w:eastAsia="zh-CN" w:bidi="ar-SA"/>
        </w:rPr>
        <w:t>精心策划并成功举办了“龙行中华——甲辰龙年生肖文物图片联展”、“5·18国际博物馆日”暨炎陵县首批“印照初心”系列馆藏打卡印章启用仪式、“庆七一红领巾及青年志愿讲解员”启动仪式等活动。针对旅游旺季，还推出了“打卡红军标语·带走红标文创”、“中午不闭馆视频党课免费看”等活动，并积极开展“开学第一课·红色文化进校园”、“酃声逐梦”、“千名干部进万家”等系列宣讲活动。配合县文旅局合作，开展了打卡四大A级景区，免费领取炎陵黄桃活动。</w:t>
      </w:r>
      <w:r>
        <w:rPr>
          <w:rFonts w:hint="eastAsia" w:ascii="仿宋_GB2312" w:hAnsi="仿宋_GB2312" w:eastAsia="仿宋_GB2312" w:cs="仿宋_GB2312"/>
          <w:b/>
          <w:bCs w:val="0"/>
          <w:color w:val="auto"/>
          <w:kern w:val="2"/>
          <w:sz w:val="32"/>
          <w:szCs w:val="32"/>
          <w:lang w:val="en-US" w:eastAsia="zh-CN" w:bidi="ar-SA"/>
        </w:rPr>
        <w:t>二是在新媒体运用方面，</w:t>
      </w:r>
      <w:r>
        <w:rPr>
          <w:rFonts w:hint="eastAsia" w:ascii="仿宋_GB2312" w:hAnsi="仿宋_GB2312" w:eastAsia="仿宋_GB2312" w:cs="仿宋_GB2312"/>
          <w:b w:val="0"/>
          <w:bCs/>
          <w:color w:val="auto"/>
          <w:kern w:val="2"/>
          <w:sz w:val="32"/>
          <w:szCs w:val="32"/>
          <w:lang w:val="en-US" w:eastAsia="zh-CN" w:bidi="ar-SA"/>
        </w:rPr>
        <w:t>开通“红色炎陵”微信及抖音短视频号，定期发布高质量的短视频内容，并策划推出了“足不出户·云游红标”系列红色短视频，与中村瑶族乡人民政府合作开发5部中村红色故事专辑短视频。全年共计在央媒上稿1次，省媒11次，市媒2次，县媒4次；“红色炎陵”微信公众号发布推文43篇；“红色炎陵”抖音号制作发布视频37个；红色炎陵微信短视频号制作发布视频43个。</w:t>
      </w:r>
    </w:p>
    <w:p w14:paraId="414A0057">
      <w:pPr>
        <w:keepNext w:val="0"/>
        <w:keepLines w:val="0"/>
        <w:pageBreakBefore w:val="0"/>
        <w:kinsoku/>
        <w:wordWrap/>
        <w:overflowPunct/>
        <w:topLinePunct w:val="0"/>
        <w:autoSpaceDE/>
        <w:autoSpaceDN/>
        <w:bidi w:val="0"/>
        <w:snapToGrid/>
        <w:spacing w:line="52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lang w:val="en-US" w:eastAsia="zh-CN"/>
        </w:rPr>
        <w:t>3.提升服务多向发力。一是</w:t>
      </w:r>
      <w:r>
        <w:rPr>
          <w:rFonts w:hint="eastAsia" w:ascii="仿宋_GB2312" w:hAnsi="仿宋_GB2312" w:eastAsia="仿宋_GB2312" w:cs="仿宋_GB2312"/>
          <w:b/>
          <w:bCs/>
          <w:color w:val="auto"/>
          <w:kern w:val="2"/>
          <w:sz w:val="32"/>
          <w:szCs w:val="32"/>
          <w:lang w:val="en-US" w:eastAsia="zh-CN" w:bidi="ar-SA"/>
        </w:rPr>
        <w:t>培养高质量宣讲员队伍，</w:t>
      </w:r>
      <w:r>
        <w:rPr>
          <w:rFonts w:hint="eastAsia" w:ascii="仿宋_GB2312" w:hAnsi="仿宋_GB2312" w:eastAsia="仿宋_GB2312" w:cs="仿宋_GB2312"/>
          <w:color w:val="auto"/>
          <w:kern w:val="2"/>
          <w:sz w:val="32"/>
          <w:szCs w:val="32"/>
          <w:lang w:val="en-US" w:eastAsia="zh-CN" w:bidi="ar-SA"/>
        </w:rPr>
        <w:t>聘请演讲与口才方面的专业老师为全体讲解员进行讲解技巧方面的培训，对我馆全职、兼职及志愿讲解员开展专业能力培训，并完成了培训验收。与县武警中队签订了“士兵志愿讲解员培训与讲解合作协议”，与县职业技术学校签订“馆校共建”协议，招募红领巾志愿讲解员，已定点培养了符合上岗要求的士兵志愿讲解员2名，青年志愿讲解员2名，红领巾志愿讲解员25名。</w:t>
      </w:r>
      <w:r>
        <w:rPr>
          <w:rFonts w:hint="eastAsia" w:ascii="仿宋_GB2312" w:hAnsi="仿宋_GB2312" w:eastAsia="仿宋_GB2312" w:cs="仿宋_GB2312"/>
          <w:b/>
          <w:bCs/>
          <w:color w:val="auto"/>
          <w:kern w:val="2"/>
          <w:sz w:val="32"/>
          <w:szCs w:val="32"/>
          <w:lang w:val="en-US" w:eastAsia="zh-CN" w:bidi="ar-SA"/>
        </w:rPr>
        <w:t>二是精心打造深受市场欢迎的微党课，</w:t>
      </w:r>
      <w:r>
        <w:rPr>
          <w:rFonts w:hint="eastAsia" w:ascii="仿宋_GB2312" w:hAnsi="仿宋_GB2312" w:eastAsia="仿宋_GB2312" w:cs="仿宋_GB2312"/>
          <w:color w:val="auto"/>
          <w:sz w:val="32"/>
          <w:szCs w:val="32"/>
        </w:rPr>
        <w:t>依托红色育人项目，开发</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一批有炎陵特色</w:t>
      </w:r>
      <w:r>
        <w:rPr>
          <w:rFonts w:hint="eastAsia" w:ascii="仿宋_GB2312" w:hAnsi="仿宋_GB2312" w:eastAsia="仿宋_GB2312" w:cs="仿宋_GB2312"/>
          <w:color w:val="auto"/>
          <w:sz w:val="32"/>
          <w:szCs w:val="32"/>
          <w:lang w:eastAsia="zh-CN"/>
        </w:rPr>
        <w:t>、受市场欢迎</w:t>
      </w:r>
      <w:r>
        <w:rPr>
          <w:rFonts w:hint="eastAsia" w:ascii="仿宋_GB2312" w:hAnsi="仿宋_GB2312" w:eastAsia="仿宋_GB2312" w:cs="仿宋_GB2312"/>
          <w:color w:val="auto"/>
          <w:sz w:val="32"/>
          <w:szCs w:val="32"/>
        </w:rPr>
        <w:t>的红色微党课</w:t>
      </w:r>
      <w:r>
        <w:rPr>
          <w:rFonts w:hint="eastAsia" w:ascii="仿宋_GB2312" w:hAnsi="仿宋_GB2312" w:eastAsia="仿宋_GB2312" w:cs="仿宋_GB2312"/>
          <w:color w:val="auto"/>
          <w:kern w:val="2"/>
          <w:sz w:val="32"/>
          <w:szCs w:val="32"/>
          <w:lang w:val="en-US" w:eastAsia="zh-CN" w:bidi="ar-SA"/>
        </w:rPr>
        <w:t>《信仰的力量》《勇敢的酃县人民》《激情澎湃的红军标语》《“英雄”夫妻》等。</w:t>
      </w:r>
      <w:r>
        <w:rPr>
          <w:rFonts w:hint="eastAsia" w:ascii="仿宋_GB2312" w:hAnsi="仿宋_GB2312" w:eastAsia="仿宋_GB2312" w:cs="仿宋_GB2312"/>
          <w:b/>
          <w:bCs/>
          <w:color w:val="auto"/>
          <w:kern w:val="2"/>
          <w:sz w:val="32"/>
          <w:szCs w:val="32"/>
          <w:lang w:val="en-US" w:eastAsia="zh-CN" w:bidi="ar-SA"/>
        </w:rPr>
        <w:t>三是打造红标文创体验区，</w:t>
      </w:r>
      <w:r>
        <w:rPr>
          <w:rFonts w:hint="eastAsia" w:ascii="仿宋_GB2312" w:hAnsi="仿宋_GB2312" w:eastAsia="仿宋_GB2312" w:cs="仿宋_GB2312"/>
          <w:color w:val="auto"/>
          <w:kern w:val="2"/>
          <w:sz w:val="32"/>
          <w:szCs w:val="32"/>
          <w:lang w:val="en-US" w:eastAsia="zh-CN" w:bidi="ar-SA"/>
        </w:rPr>
        <w:t>以馆藏红军标语为“家底”，以市场认可为设计理念，精心开发文创产品46类168种，成为我县首家红色文创展示体验区。</w:t>
      </w:r>
    </w:p>
    <w:p w14:paraId="5D294239">
      <w:pPr>
        <w:keepNext w:val="0"/>
        <w:keepLines w:val="0"/>
        <w:pageBreakBefore w:val="0"/>
        <w:kinsoku/>
        <w:wordWrap/>
        <w:overflowPunct/>
        <w:topLinePunct w:val="0"/>
        <w:autoSpaceDE/>
        <w:autoSpaceDN/>
        <w:bidi w:val="0"/>
        <w:snapToGrid/>
        <w:spacing w:line="520" w:lineRule="exact"/>
        <w:ind w:firstLine="643" w:firstLineChars="200"/>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楷体_GB2312" w:hAnsi="楷体_GB2312" w:eastAsia="楷体_GB2312" w:cs="楷体_GB2312"/>
          <w:b/>
          <w:bCs/>
          <w:i w:val="0"/>
          <w:iCs w:val="0"/>
          <w:caps w:val="0"/>
          <w:color w:val="auto"/>
          <w:spacing w:val="0"/>
          <w:sz w:val="32"/>
          <w:szCs w:val="32"/>
          <w:lang w:val="en-US" w:eastAsia="zh-CN"/>
        </w:rPr>
        <w:t>4.</w:t>
      </w:r>
      <w:r>
        <w:rPr>
          <w:rFonts w:hint="eastAsia" w:ascii="楷体_GB2312" w:hAnsi="楷体_GB2312" w:eastAsia="楷体_GB2312" w:cs="楷体_GB2312"/>
          <w:b/>
          <w:bCs/>
          <w:i w:val="0"/>
          <w:iCs w:val="0"/>
          <w:caps w:val="0"/>
          <w:color w:val="auto"/>
          <w:spacing w:val="0"/>
          <w:sz w:val="32"/>
          <w:szCs w:val="32"/>
          <w:lang w:eastAsia="zh-CN"/>
        </w:rPr>
        <w:t>安全生产</w:t>
      </w:r>
      <w:r>
        <w:rPr>
          <w:rFonts w:hint="eastAsia" w:ascii="楷体_GB2312" w:hAnsi="楷体_GB2312" w:eastAsia="楷体_GB2312" w:cs="楷体_GB2312"/>
          <w:b/>
          <w:bCs/>
          <w:i w:val="0"/>
          <w:iCs w:val="0"/>
          <w:caps w:val="0"/>
          <w:color w:val="auto"/>
          <w:spacing w:val="0"/>
          <w:sz w:val="32"/>
          <w:szCs w:val="32"/>
        </w:rPr>
        <w:t>时刻绷紧。</w:t>
      </w:r>
      <w:r>
        <w:rPr>
          <w:rFonts w:hint="eastAsia" w:ascii="仿宋_GB2312" w:hAnsi="仿宋_GB2312" w:eastAsia="仿宋_GB2312" w:cs="仿宋_GB2312"/>
          <w:b w:val="0"/>
          <w:bCs w:val="0"/>
          <w:i w:val="0"/>
          <w:iCs w:val="0"/>
          <w:caps w:val="0"/>
          <w:color w:val="auto"/>
          <w:spacing w:val="0"/>
          <w:sz w:val="32"/>
          <w:szCs w:val="32"/>
          <w:lang w:val="en-US" w:eastAsia="zh-CN"/>
        </w:rPr>
        <w:t>博物馆始终将安全保生产工作置于首位，坚持安全防范工作常态化、制度化，警钟长鸣，定期对监控、消防设备进行安全检查，确保设备正常运行；在严格遵守安全等措施的前提下，做好博物馆免费开放工作；组织干部职工及安保人员进行消防演练，提高干部职工应对突发事件的应急能力；严格执行安全管理制度，按照保安、值班、巡逻、安全检查等安全管理制度，落实安全展厅管理、文物库房管理安全责任。</w:t>
      </w:r>
    </w:p>
    <w:p w14:paraId="514D65CE">
      <w:pPr>
        <w:pStyle w:val="9"/>
        <w:keepNext w:val="0"/>
        <w:keepLines w:val="0"/>
        <w:pageBreakBefore w:val="0"/>
        <w:kinsoku/>
        <w:wordWrap/>
        <w:overflowPunct/>
        <w:topLinePunct w:val="0"/>
        <w:autoSpaceDE/>
        <w:autoSpaceDN/>
        <w:bidi w:val="0"/>
        <w:snapToGrid/>
        <w:spacing w:line="520" w:lineRule="exact"/>
        <w:ind w:firstLine="643" w:firstLineChars="200"/>
        <w:rPr>
          <w:rFonts w:eastAsia="仿宋_GB2312"/>
          <w:color w:val="000000"/>
          <w:sz w:val="32"/>
          <w:szCs w:val="32"/>
        </w:rPr>
      </w:pPr>
      <w:r>
        <w:rPr>
          <w:rFonts w:hint="eastAsia" w:ascii="楷体_GB2312" w:hAnsi="楷体_GB2312" w:eastAsia="楷体_GB2312" w:cs="楷体_GB2312"/>
          <w:b/>
          <w:bCs/>
          <w:color w:val="auto"/>
          <w:kern w:val="2"/>
          <w:sz w:val="32"/>
          <w:szCs w:val="32"/>
          <w:lang w:val="en-US" w:eastAsia="zh-CN" w:bidi="ar-SA"/>
        </w:rPr>
        <w:t>5.项目建设稳中有进</w:t>
      </w:r>
      <w:r>
        <w:rPr>
          <w:rFonts w:hint="eastAsia" w:ascii="楷体_GB2312" w:hAnsi="楷体_GB2312" w:eastAsia="楷体_GB2312" w:cs="楷体_GB2312"/>
          <w:b w:val="0"/>
          <w:bCs w:val="0"/>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bidi="ar-SA"/>
        </w:rPr>
        <w:t>馆藏二级和三级标语文物保护修复与预防性保护</w:t>
      </w:r>
      <w:r>
        <w:rPr>
          <w:rFonts w:hint="eastAsia" w:ascii="仿宋_GB2312" w:hAnsi="仿宋_GB2312" w:eastAsia="仿宋_GB2312" w:cs="仿宋_GB2312"/>
          <w:color w:val="auto"/>
          <w:kern w:val="2"/>
          <w:sz w:val="32"/>
          <w:szCs w:val="32"/>
          <w:lang w:val="en-US" w:eastAsia="zh-CN" w:bidi="ar-SA"/>
        </w:rPr>
        <w:t>项目顺利开工，</w:t>
      </w:r>
      <w:r>
        <w:rPr>
          <w:rFonts w:hint="eastAsia" w:ascii="仿宋_GB2312" w:hAnsi="仿宋_GB2312" w:eastAsia="仿宋_GB2312" w:cs="仿宋_GB2312"/>
          <w:color w:val="auto"/>
          <w:sz w:val="32"/>
          <w:szCs w:val="32"/>
        </w:rPr>
        <w:t>洣泉书院围墙</w:t>
      </w:r>
      <w:r>
        <w:rPr>
          <w:rFonts w:hint="eastAsia" w:ascii="仿宋_GB2312" w:hAnsi="仿宋_GB2312" w:eastAsia="仿宋_GB2312" w:cs="仿宋_GB2312"/>
          <w:color w:val="auto"/>
          <w:sz w:val="32"/>
          <w:szCs w:val="32"/>
          <w:lang w:eastAsia="zh-CN"/>
        </w:rPr>
        <w:t>拆旧建新及江家试馆围墙拆旧建新项目顺利完工</w:t>
      </w:r>
      <w:r>
        <w:rPr>
          <w:rFonts w:hint="eastAsia" w:ascii="仿宋_GB2312" w:hAnsi="仿宋_GB2312" w:eastAsia="仿宋_GB2312" w:cs="仿宋_GB2312"/>
          <w:color w:val="auto"/>
          <w:kern w:val="2"/>
          <w:sz w:val="32"/>
          <w:szCs w:val="32"/>
          <w:lang w:val="en-US" w:eastAsia="zh-CN" w:bidi="ar-SA"/>
        </w:rPr>
        <w:t>，红标馆三楼管理用房改造项目已全面完成，</w:t>
      </w:r>
      <w:r>
        <w:rPr>
          <w:rFonts w:hint="eastAsia" w:ascii="仿宋_GB2312" w:hAnsi="仿宋_GB2312" w:eastAsia="仿宋_GB2312" w:cs="仿宋_GB2312"/>
          <w:color w:val="auto"/>
          <w:sz w:val="32"/>
          <w:szCs w:val="32"/>
        </w:rPr>
        <w:t>依托红色育人打造</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一批精品党课项目，对</w:t>
      </w:r>
      <w:r>
        <w:rPr>
          <w:rFonts w:hint="eastAsia" w:ascii="仿宋_GB2312" w:hAnsi="仿宋_GB2312" w:eastAsia="仿宋_GB2312" w:cs="仿宋_GB2312"/>
          <w:color w:val="auto"/>
          <w:sz w:val="32"/>
          <w:szCs w:val="32"/>
          <w:lang w:eastAsia="zh-CN"/>
        </w:rPr>
        <w:t>多媒体</w:t>
      </w:r>
      <w:r>
        <w:rPr>
          <w:rFonts w:hint="eastAsia" w:ascii="仿宋_GB2312" w:hAnsi="仿宋_GB2312" w:eastAsia="仿宋_GB2312" w:cs="仿宋_GB2312"/>
          <w:color w:val="auto"/>
          <w:sz w:val="32"/>
          <w:szCs w:val="32"/>
        </w:rPr>
        <w:t>教室进行了改造升级，将二楼连廊原图书角改造升级为红标文创馆</w:t>
      </w:r>
      <w:r>
        <w:rPr>
          <w:rFonts w:hint="eastAsia" w:ascii="仿宋_GB2312" w:hAnsi="仿宋_GB2312" w:eastAsia="仿宋_GB2312" w:cs="仿宋_GB2312"/>
          <w:color w:val="auto"/>
          <w:sz w:val="32"/>
          <w:szCs w:val="32"/>
          <w:lang w:eastAsia="zh-CN"/>
        </w:rPr>
        <w:t>。</w:t>
      </w:r>
    </w:p>
    <w:p w14:paraId="40A07C61">
      <w:pPr>
        <w:pStyle w:val="8"/>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44B855E">
      <w:pPr>
        <w:pStyle w:val="2"/>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hint="eastAsia" w:eastAsia="仿宋_GB2312"/>
          <w:sz w:val="32"/>
          <w:szCs w:val="32"/>
          <w:lang w:val="en-US" w:eastAsia="zh-CN"/>
        </w:rPr>
      </w:pPr>
      <w:r>
        <w:rPr>
          <w:rFonts w:hint="eastAsia" w:ascii="Times New Roman" w:hAnsi="Times New Roman" w:eastAsia="仿宋_GB2312" w:cs="Times New Roman"/>
          <w:snapToGrid w:val="0"/>
          <w:color w:val="000000"/>
          <w:kern w:val="2"/>
          <w:sz w:val="32"/>
          <w:szCs w:val="32"/>
          <w:lang w:val="en-US" w:eastAsia="zh-CN" w:bidi="ar-SA"/>
        </w:rPr>
        <w:t>一是</w:t>
      </w:r>
      <w:r>
        <w:rPr>
          <w:rFonts w:hint="default" w:ascii="Times New Roman" w:hAnsi="Times New Roman" w:eastAsia="仿宋_GB2312" w:cs="Times New Roman"/>
          <w:snapToGrid w:val="0"/>
          <w:color w:val="000000"/>
          <w:kern w:val="2"/>
          <w:sz w:val="32"/>
          <w:szCs w:val="32"/>
          <w:lang w:val="en-US" w:eastAsia="zh-CN" w:bidi="ar-SA"/>
        </w:rPr>
        <w:t>部分项目预算执行率有待提高。由于</w:t>
      </w:r>
      <w:r>
        <w:rPr>
          <w:rFonts w:hint="eastAsia" w:ascii="Times New Roman" w:hAnsi="Times New Roman" w:eastAsia="仿宋_GB2312" w:cs="Times New Roman"/>
          <w:snapToGrid w:val="0"/>
          <w:color w:val="000000"/>
          <w:kern w:val="2"/>
          <w:sz w:val="32"/>
          <w:szCs w:val="32"/>
          <w:lang w:val="en-US" w:eastAsia="zh-CN" w:bidi="ar-SA"/>
        </w:rPr>
        <w:t>资金</w:t>
      </w:r>
      <w:r>
        <w:rPr>
          <w:rFonts w:hint="default" w:ascii="Times New Roman" w:hAnsi="Times New Roman" w:eastAsia="仿宋_GB2312" w:cs="Times New Roman"/>
          <w:snapToGrid w:val="0"/>
          <w:color w:val="000000"/>
          <w:kern w:val="2"/>
          <w:sz w:val="32"/>
          <w:szCs w:val="32"/>
          <w:lang w:val="en-US" w:eastAsia="zh-CN" w:bidi="ar-SA"/>
        </w:rPr>
        <w:t xml:space="preserve">下达时间较晚，相关任务无法在预算年度内完全落实到位。预算编制的前瞻性和精细化不足，都在一定程度上影响了预算执行。 </w:t>
      </w:r>
      <w:r>
        <w:rPr>
          <w:rFonts w:hint="eastAsia" w:ascii="Times New Roman" w:hAnsi="Times New Roman" w:eastAsia="仿宋_GB2312" w:cs="Times New Roman"/>
          <w:snapToGrid w:val="0"/>
          <w:color w:val="000000"/>
          <w:kern w:val="2"/>
          <w:sz w:val="32"/>
          <w:szCs w:val="32"/>
          <w:lang w:val="en-US" w:eastAsia="zh-CN" w:bidi="ar-SA"/>
        </w:rPr>
        <w:t>二是</w:t>
      </w:r>
      <w:r>
        <w:rPr>
          <w:rFonts w:hint="default" w:ascii="Times New Roman" w:hAnsi="Times New Roman" w:eastAsia="仿宋_GB2312" w:cs="Times New Roman"/>
          <w:snapToGrid w:val="0"/>
          <w:color w:val="000000"/>
          <w:kern w:val="2"/>
          <w:sz w:val="32"/>
          <w:szCs w:val="32"/>
          <w:lang w:val="en-US" w:eastAsia="zh-CN" w:bidi="ar-SA"/>
        </w:rPr>
        <w:t>绩效目标和指标设置不够细化。业务部门</w:t>
      </w:r>
      <w:r>
        <w:rPr>
          <w:rFonts w:hint="eastAsia" w:ascii="Times New Roman" w:hAnsi="Times New Roman" w:eastAsia="仿宋_GB2312" w:cs="Times New Roman"/>
          <w:snapToGrid w:val="0"/>
          <w:color w:val="000000"/>
          <w:kern w:val="2"/>
          <w:sz w:val="32"/>
          <w:szCs w:val="32"/>
          <w:lang w:val="en-US" w:eastAsia="zh-CN" w:bidi="ar-SA"/>
        </w:rPr>
        <w:t>认为绩效评价工作是财政局安排的工作任务，是财务部门的工作，财务人员对项目的实际情况不能全面了解，造成各项绩效</w:t>
      </w:r>
      <w:r>
        <w:rPr>
          <w:rFonts w:hint="default" w:ascii="Times New Roman" w:hAnsi="Times New Roman" w:eastAsia="仿宋_GB2312" w:cs="Times New Roman"/>
          <w:snapToGrid w:val="0"/>
          <w:color w:val="000000"/>
          <w:kern w:val="2"/>
          <w:sz w:val="32"/>
          <w:szCs w:val="32"/>
          <w:lang w:val="en-US" w:eastAsia="zh-CN" w:bidi="ar-SA"/>
        </w:rPr>
        <w:t>指标不够细化和科学，不能全面反映工作成效以及项目产出和效益。</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0BB868F5">
      <w:pPr>
        <w:widowControl/>
        <w:spacing w:line="520" w:lineRule="exact"/>
        <w:ind w:firstLine="645"/>
        <w:jc w:val="left"/>
        <w:rPr>
          <w:rFonts w:hint="eastAsia"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是合理设定合同支付条款，分段支付，加快预算执行，提高预算执行率。</w:t>
      </w:r>
      <w:r>
        <w:rPr>
          <w:rFonts w:hint="eastAsia" w:ascii="Times New Roman" w:hAnsi="Times New Roman" w:eastAsia="仿宋_GB2312" w:cs="Times New Roman"/>
          <w:color w:val="000000"/>
          <w:kern w:val="2"/>
          <w:sz w:val="32"/>
          <w:szCs w:val="32"/>
          <w:lang w:val="en-US" w:eastAsia="zh-CN" w:bidi="ar-SA"/>
        </w:rPr>
        <w:t>四</w:t>
      </w:r>
      <w:r>
        <w:rPr>
          <w:rFonts w:hint="default" w:ascii="Times New Roman" w:hAnsi="Times New Roman" w:eastAsia="仿宋_GB2312" w:cs="Times New Roman"/>
          <w:snapToGrid w:val="0"/>
          <w:color w:val="000000"/>
          <w:kern w:val="2"/>
          <w:sz w:val="32"/>
          <w:szCs w:val="32"/>
          <w:lang w:val="en-US" w:eastAsia="zh-CN" w:bidi="ar-SA"/>
        </w:rPr>
        <w:t>是加强业财有效融合，确保预算科学精准</w:t>
      </w:r>
      <w:r>
        <w:rPr>
          <w:rFonts w:hint="eastAsia" w:ascii="Times New Roman" w:hAnsi="Times New Roman" w:eastAsia="仿宋_GB2312" w:cs="Times New Roman"/>
          <w:snapToGrid w:val="0"/>
          <w:color w:val="000000"/>
          <w:kern w:val="2"/>
          <w:sz w:val="32"/>
          <w:szCs w:val="32"/>
          <w:lang w:val="en-US" w:eastAsia="zh-CN" w:bidi="ar-SA"/>
        </w:rPr>
        <w:t>，</w:t>
      </w:r>
      <w:r>
        <w:rPr>
          <w:rFonts w:hint="default" w:ascii="Times New Roman" w:hAnsi="Times New Roman" w:eastAsia="仿宋_GB2312" w:cs="Times New Roman"/>
          <w:snapToGrid w:val="0"/>
          <w:color w:val="000000"/>
          <w:kern w:val="2"/>
          <w:sz w:val="32"/>
          <w:szCs w:val="32"/>
          <w:lang w:val="en-US" w:eastAsia="zh-CN" w:bidi="ar-SA"/>
        </w:rPr>
        <w:t>健全绩效目标管理机制，强化</w:t>
      </w:r>
      <w:r>
        <w:rPr>
          <w:rFonts w:hint="eastAsia" w:ascii="Times New Roman" w:hAnsi="Times New Roman" w:eastAsia="仿宋_GB2312" w:cs="Times New Roman"/>
          <w:snapToGrid w:val="0"/>
          <w:color w:val="000000"/>
          <w:kern w:val="2"/>
          <w:sz w:val="32"/>
          <w:szCs w:val="32"/>
          <w:lang w:val="en-US" w:eastAsia="zh-CN" w:bidi="ar-SA"/>
        </w:rPr>
        <w:t>责任落实。</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6670D3A8">
      <w:pPr>
        <w:widowControl/>
        <w:spacing w:line="520" w:lineRule="exact"/>
        <w:ind w:firstLine="645"/>
        <w:jc w:val="left"/>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经自评，</w:t>
      </w:r>
      <w:r>
        <w:rPr>
          <w:rFonts w:hint="eastAsia" w:ascii="Times New Roman" w:hAnsi="Times New Roman" w:eastAsia="仿宋_GB2312" w:cs="Times New Roman"/>
          <w:color w:val="000000"/>
          <w:kern w:val="2"/>
          <w:sz w:val="32"/>
          <w:szCs w:val="32"/>
          <w:lang w:val="en-US" w:eastAsia="zh-CN" w:bidi="ar-SA"/>
        </w:rPr>
        <w:t>炎陵县红军标语博物馆2024年部门整体支出绩效</w:t>
      </w:r>
      <w:r>
        <w:rPr>
          <w:rFonts w:hint="default" w:ascii="Times New Roman" w:hAnsi="Times New Roman" w:eastAsia="仿宋_GB2312" w:cs="Times New Roman"/>
          <w:color w:val="000000"/>
          <w:kern w:val="2"/>
          <w:sz w:val="32"/>
          <w:szCs w:val="32"/>
          <w:lang w:val="en-US" w:eastAsia="zh-CN" w:bidi="ar-SA"/>
        </w:rPr>
        <w:t>自评得分为</w:t>
      </w:r>
      <w:r>
        <w:rPr>
          <w:rFonts w:hint="eastAsia" w:ascii="Times New Roman" w:hAnsi="Times New Roman" w:eastAsia="仿宋_GB2312" w:cs="Times New Roman"/>
          <w:color w:val="000000"/>
          <w:kern w:val="2"/>
          <w:sz w:val="32"/>
          <w:szCs w:val="32"/>
          <w:lang w:val="en-US" w:eastAsia="zh-CN" w:bidi="ar-SA"/>
        </w:rPr>
        <w:t>100</w:t>
      </w:r>
      <w:r>
        <w:rPr>
          <w:rFonts w:hint="default" w:ascii="Times New Roman" w:hAnsi="Times New Roman" w:eastAsia="仿宋_GB2312" w:cs="Times New Roman"/>
          <w:color w:val="000000"/>
          <w:kern w:val="2"/>
          <w:sz w:val="32"/>
          <w:szCs w:val="32"/>
          <w:lang w:val="en-US" w:eastAsia="zh-CN" w:bidi="ar-SA"/>
        </w:rPr>
        <w:t>分，自评结果为“优”</w:t>
      </w:r>
      <w:r>
        <w:rPr>
          <w:rFonts w:hint="eastAsia" w:ascii="Times New Roman" w:hAnsi="Times New Roman" w:eastAsia="仿宋_GB2312" w:cs="Times New Roman"/>
          <w:color w:val="000000"/>
          <w:kern w:val="2"/>
          <w:sz w:val="32"/>
          <w:szCs w:val="32"/>
          <w:lang w:val="en-US" w:eastAsia="zh-CN" w:bidi="ar-SA"/>
        </w:rPr>
        <w:t>。</w:t>
      </w:r>
    </w:p>
    <w:p w14:paraId="48C275C6">
      <w:pPr>
        <w:widowControl/>
        <w:numPr>
          <w:numId w:val="0"/>
        </w:numPr>
        <w:spacing w:line="520" w:lineRule="exact"/>
        <w:ind w:firstLine="640" w:firstLineChars="200"/>
        <w:jc w:val="left"/>
        <w:rPr>
          <w:rFonts w:hint="default" w:ascii="Times New Roman" w:hAnsi="Times New Roman" w:eastAsia="仿宋_GB2312" w:cs="Times New Roman"/>
          <w:snapToGrid w:val="0"/>
          <w:color w:val="000000"/>
          <w:kern w:val="2"/>
          <w:sz w:val="32"/>
          <w:szCs w:val="32"/>
          <w:lang w:val="en-US" w:eastAsia="zh-CN" w:bidi="ar-SA"/>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6CF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F6CF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5C56ED2"/>
    <w:rsid w:val="0B3107A1"/>
    <w:rsid w:val="15BF56EC"/>
    <w:rsid w:val="196F7989"/>
    <w:rsid w:val="199E7D0E"/>
    <w:rsid w:val="1CDA72AF"/>
    <w:rsid w:val="28213FE4"/>
    <w:rsid w:val="2AB4371C"/>
    <w:rsid w:val="35CB6416"/>
    <w:rsid w:val="443D3AFC"/>
    <w:rsid w:val="4B4334AB"/>
    <w:rsid w:val="528C5468"/>
    <w:rsid w:val="5403276E"/>
    <w:rsid w:val="54C57A37"/>
    <w:rsid w:val="5DBB5841"/>
    <w:rsid w:val="6054424F"/>
    <w:rsid w:val="632635D2"/>
    <w:rsid w:val="70AB011F"/>
    <w:rsid w:val="70BD04C2"/>
    <w:rsid w:val="77FB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rPr>
      <w:rFonts w:ascii="Calibri" w:hAnsi="Calibri" w:eastAsia="宋体" w:cs="Times New Roman"/>
      <w:szCs w:val="22"/>
    </w:rPr>
  </w:style>
  <w:style w:type="paragraph" w:customStyle="1" w:styleId="9">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3523</Words>
  <Characters>3874</Characters>
  <Lines>0</Lines>
  <Paragraphs>0</Paragraphs>
  <TotalTime>8</TotalTime>
  <ScaleCrop>false</ScaleCrop>
  <LinksUpToDate>false</LinksUpToDate>
  <CharactersWithSpaces>3874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WPS_1683601656</cp:lastModifiedBy>
  <dcterms:modified xsi:type="dcterms:W3CDTF">2025-07-24T08:03:50Z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DEC29D6FF1984251977FAFE43F2C91AB_12</vt:lpwstr>
  </property>
  <property fmtid="{D5CDD505-2E9C-101B-9397-08002B2CF9AE}" pid="4" name="KSOTemplateDocerSaveRecord">
    <vt:lpwstr>eyJoZGlkIjoiNjI1ZDZmM2EwMmE0NTEyNDAyM2NmMGNiZWRlNjE0OTciLCJ1c2VySWQiOiIxNDkyNjkyODUxIn0=</vt:lpwstr>
  </property>
</Properties>
</file>