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5BE74003">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2024年度炎陵县船形乡学校</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19678453">
      <w:pPr>
        <w:spacing w:line="600" w:lineRule="exact"/>
        <w:jc w:val="center"/>
        <w:rPr>
          <w:rFonts w:hint="eastAsia" w:ascii="黑体" w:hAnsi="黑体" w:eastAsia="黑体" w:cs="黑体"/>
          <w:sz w:val="36"/>
          <w:szCs w:val="36"/>
          <w:lang w:val="en-US" w:eastAsia="zh-CN"/>
        </w:rPr>
      </w:pPr>
    </w:p>
    <w:p w14:paraId="2CCA08D3">
      <w:pPr>
        <w:spacing w:line="600" w:lineRule="exact"/>
        <w:jc w:val="center"/>
        <w:rPr>
          <w:rFonts w:hint="eastAsia" w:ascii="黑体" w:hAnsi="黑体" w:eastAsia="黑体" w:cs="黑体"/>
          <w:sz w:val="36"/>
          <w:szCs w:val="36"/>
          <w:lang w:val="en-US" w:eastAsia="zh-CN"/>
        </w:rPr>
      </w:pPr>
    </w:p>
    <w:p w14:paraId="082DCFC8">
      <w:pPr>
        <w:spacing w:line="600" w:lineRule="exact"/>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单位名称（盖章）：炎陵县船形乡学校</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4A7A17E6">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基本情况</w:t>
      </w:r>
    </w:p>
    <w:p w14:paraId="3F1125D0">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1．主要职能：实施九年一贯制义务教育，促进基础教育发展。初中学历教育、小学学历教育。</w:t>
      </w:r>
    </w:p>
    <w:p w14:paraId="6B3D7E81">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2．机构情况：炎陵县船形乡学校由1所九年一贯制学校和1所教学点组成。属二级预算单位。</w:t>
      </w:r>
    </w:p>
    <w:p w14:paraId="0548AECE">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3．人员情况：实有人员：在职26人，退休38人，遗补13人。</w:t>
      </w:r>
    </w:p>
    <w:p w14:paraId="334A4526">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年度整体支出绩效目标</w:t>
      </w:r>
    </w:p>
    <w:p w14:paraId="0AFBD694">
      <w:pPr>
        <w:widowControl/>
        <w:spacing w:line="520" w:lineRule="exact"/>
        <w:ind w:firstLine="640" w:firstLineChars="200"/>
        <w:jc w:val="left"/>
        <w:rPr>
          <w:rFonts w:hint="default" w:eastAsia="仿宋_GB2312"/>
          <w:sz w:val="32"/>
          <w:szCs w:val="32"/>
          <w:lang w:val="en-US" w:eastAsia="zh-CN"/>
        </w:rPr>
      </w:pPr>
      <w:bookmarkStart w:id="0" w:name="OLE_LINK1"/>
      <w:r>
        <w:rPr>
          <w:rFonts w:hint="default" w:eastAsia="仿宋_GB2312"/>
          <w:sz w:val="32"/>
          <w:szCs w:val="32"/>
          <w:lang w:val="en-US" w:eastAsia="zh-CN"/>
        </w:rPr>
        <w:t>提高教学质量、促进学生发展、增强师资队伍建设、强化校园文化建设和社会责任，努力提高整体绩效，促进学校的可持续发展，为学生和社会创造更大的价值。</w:t>
      </w:r>
    </w:p>
    <w:bookmarkEnd w:id="0"/>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0A8B6DD9">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2024年基本支出为506.03万</w:t>
      </w:r>
      <w:r>
        <w:rPr>
          <w:rFonts w:hint="eastAsia" w:eastAsia="仿宋_GB2312"/>
          <w:sz w:val="32"/>
          <w:szCs w:val="32"/>
          <w:lang w:val="en-US" w:eastAsia="zh-CN"/>
        </w:rPr>
        <w:t>元</w:t>
      </w:r>
      <w:r>
        <w:rPr>
          <w:rFonts w:hint="eastAsia" w:ascii="楷体_GB2312" w:hAnsi="楷体_GB2312" w:eastAsia="楷体_GB2312" w:cs="楷体_GB2312"/>
          <w:snapToGrid w:val="0"/>
          <w:color w:val="auto"/>
          <w:kern w:val="0"/>
          <w:sz w:val="32"/>
          <w:szCs w:val="32"/>
          <w:lang w:val="en-US" w:eastAsia="zh-CN" w:bidi="ar-SA"/>
        </w:rPr>
        <w:t>，</w:t>
      </w:r>
      <w:r>
        <w:rPr>
          <w:rFonts w:hint="eastAsia" w:eastAsia="仿宋_GB2312"/>
          <w:sz w:val="32"/>
          <w:szCs w:val="32"/>
          <w:lang w:val="en-US" w:eastAsia="zh-CN"/>
        </w:rPr>
        <w:t>占总支出的100%。其中包括基本工资、津贴补贴、奖金、其他工资福利支出以及办公费、印刷费、水电费、办公设备购置等日常公用经费。其中人员工资及社会保障支出396.96万元，此项支出占总支出的78.45%；商品和服务支出68.69万元，此项支出占总支出的13.57%；对个人和家庭的补助支出40.37万元，占总支出的7.98%。</w:t>
      </w:r>
    </w:p>
    <w:p w14:paraId="7C11EFB6">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项目支出情况</w:t>
      </w:r>
    </w:p>
    <w:p w14:paraId="7AC34448">
      <w:pPr>
        <w:pStyle w:val="6"/>
        <w:widowControl/>
        <w:numPr>
          <w:ilvl w:val="0"/>
          <w:numId w:val="0"/>
        </w:numPr>
        <w:spacing w:line="520" w:lineRule="exact"/>
        <w:ind w:left="630" w:leftChars="0" w:firstLine="320" w:firstLineChars="100"/>
        <w:rPr>
          <w:rFonts w:eastAsia="仿宋_GB2312"/>
          <w:sz w:val="32"/>
          <w:szCs w:val="32"/>
        </w:rPr>
      </w:pPr>
      <w:r>
        <w:rPr>
          <w:rFonts w:hint="eastAsia" w:ascii="楷体_GB2312" w:hAnsi="楷体_GB2312" w:eastAsia="楷体_GB2312" w:cs="楷体_GB2312"/>
          <w:sz w:val="32"/>
          <w:szCs w:val="32"/>
          <w:lang w:val="en-US" w:eastAsia="zh-CN"/>
        </w:rPr>
        <w:t>无。</w:t>
      </w:r>
    </w:p>
    <w:p w14:paraId="751A51C8">
      <w:pPr>
        <w:pStyle w:val="6"/>
        <w:widowControl/>
        <w:numPr>
          <w:ilvl w:val="0"/>
          <w:numId w:val="0"/>
        </w:numPr>
        <w:spacing w:line="520" w:lineRule="exact"/>
        <w:ind w:leftChars="200"/>
        <w:jc w:val="left"/>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p>
    <w:p w14:paraId="30F005AC">
      <w:pPr>
        <w:pStyle w:val="6"/>
        <w:widowControl/>
        <w:spacing w:line="520" w:lineRule="exact"/>
        <w:ind w:firstLine="960" w:firstLineChars="300"/>
        <w:jc w:val="left"/>
        <w:rPr>
          <w:rFonts w:ascii="Times New Roman" w:hAnsi="Times New Roman" w:eastAsia="黑体"/>
          <w:sz w:val="32"/>
          <w:szCs w:val="32"/>
        </w:rPr>
      </w:pPr>
      <w:r>
        <w:rPr>
          <w:rFonts w:hint="eastAsia" w:ascii="楷体_GB2312" w:hAnsi="楷体_GB2312" w:eastAsia="楷体_GB2312" w:cs="楷体_GB2312"/>
          <w:snapToGrid w:val="0"/>
          <w:color w:val="000000"/>
          <w:kern w:val="0"/>
          <w:sz w:val="32"/>
          <w:szCs w:val="32"/>
          <w:lang w:val="en-US" w:eastAsia="zh-CN" w:bidi="ar-SA"/>
        </w:rPr>
        <w:t>无</w:t>
      </w:r>
    </w:p>
    <w:p w14:paraId="216101D4">
      <w:pPr>
        <w:pStyle w:val="6"/>
        <w:widowControl/>
        <w:numPr>
          <w:ilvl w:val="0"/>
          <w:numId w:val="3"/>
        </w:numPr>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41C89006">
      <w:pPr>
        <w:pStyle w:val="6"/>
        <w:widowControl/>
        <w:numPr>
          <w:ilvl w:val="0"/>
          <w:numId w:val="0"/>
        </w:numPr>
        <w:spacing w:line="520" w:lineRule="exact"/>
        <w:ind w:firstLine="960" w:firstLineChars="300"/>
        <w:jc w:val="left"/>
        <w:rPr>
          <w:rFonts w:hint="default" w:ascii="Times New Roman" w:hAnsi="Times New Roman" w:eastAsia="黑体"/>
          <w:sz w:val="32"/>
          <w:szCs w:val="32"/>
          <w:lang w:val="en-US" w:eastAsia="zh-CN"/>
        </w:rPr>
      </w:pPr>
      <w:r>
        <w:rPr>
          <w:rFonts w:hint="eastAsia" w:ascii="楷体_GB2312" w:hAnsi="楷体_GB2312" w:eastAsia="楷体_GB2312" w:cs="楷体_GB2312"/>
          <w:snapToGrid w:val="0"/>
          <w:color w:val="000000"/>
          <w:kern w:val="0"/>
          <w:sz w:val="32"/>
          <w:szCs w:val="32"/>
          <w:lang w:val="en-US" w:eastAsia="zh-CN" w:bidi="ar-SA"/>
        </w:rPr>
        <w:t>无。</w:t>
      </w:r>
    </w:p>
    <w:p w14:paraId="690EE68D">
      <w:pPr>
        <w:pStyle w:val="6"/>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50B6FAFC">
      <w:pPr>
        <w:pStyle w:val="6"/>
        <w:widowControl/>
        <w:numPr>
          <w:ilvl w:val="0"/>
          <w:numId w:val="0"/>
        </w:numPr>
        <w:spacing w:line="520" w:lineRule="exact"/>
        <w:ind w:left="640" w:leftChars="0"/>
        <w:jc w:val="left"/>
        <w:rPr>
          <w:rFonts w:hint="default" w:ascii="楷体_GB2312" w:hAnsi="楷体_GB2312" w:eastAsia="楷体_GB2312" w:cs="楷体_GB2312"/>
          <w:snapToGrid w:val="0"/>
          <w:color w:val="000000"/>
          <w:kern w:val="0"/>
          <w:sz w:val="32"/>
          <w:szCs w:val="32"/>
          <w:lang w:val="en-US" w:eastAsia="zh-CN" w:bidi="ar-SA"/>
        </w:rPr>
      </w:pPr>
      <w:r>
        <w:rPr>
          <w:rFonts w:hint="eastAsia" w:ascii="Times New Roman" w:hAnsi="Times New Roman" w:eastAsia="黑体"/>
          <w:sz w:val="32"/>
          <w:szCs w:val="32"/>
          <w:lang w:val="en-US" w:eastAsia="zh-CN"/>
        </w:rPr>
        <w:t xml:space="preserve">    </w:t>
      </w:r>
      <w:r>
        <w:rPr>
          <w:rFonts w:hint="eastAsia" w:ascii="楷体_GB2312" w:hAnsi="楷体_GB2312" w:eastAsia="楷体_GB2312" w:cs="楷体_GB2312"/>
          <w:snapToGrid w:val="0"/>
          <w:color w:val="000000"/>
          <w:kern w:val="0"/>
          <w:sz w:val="32"/>
          <w:szCs w:val="32"/>
          <w:lang w:val="en-US" w:eastAsia="zh-CN" w:bidi="ar-SA"/>
        </w:rPr>
        <w:t>无。</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7C8278C1">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从履职及履职效益情况来看，总体效果比较好。从经济性来看，各负责部门能够按照预算来抓好成本控制，强化勤俭办事的意识，注重节约开支，年度开支控制在财政局规定的范围内;从效率性来看，各部门对所承担的工作能够按照计划的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339651F8">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因年初预算只预算了人员经费和工会经费，生均公用经费和营养改善计划资金等未纳入年初预算，根据实际工作需要进行追加，影响了预算编制的准确完整性，造成财政拨款收入决算数和预算数差异较大。</w:t>
      </w: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518138F6">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1．严格按项目性质的时效开展项目，预算应更实际合理。</w:t>
      </w:r>
    </w:p>
    <w:p w14:paraId="61AA876F">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2．严格按相关法律法规执行，做到过各规范合法，结果最优，把资金的效力发挥到最高。</w:t>
      </w:r>
      <w:bookmarkStart w:id="1" w:name="_GoBack"/>
      <w:bookmarkEnd w:id="1"/>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156D23C7">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134" w:right="1800" w:bottom="1134"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AE65CF88"/>
    <w:multiLevelType w:val="singleLevel"/>
    <w:tmpl w:val="AE65CF88"/>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abstractNum w:abstractNumId="3">
    <w:nsid w:val="20C038CE"/>
    <w:multiLevelType w:val="singleLevel"/>
    <w:tmpl w:val="20C038CE"/>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15B6D94"/>
    <w:rsid w:val="03EF7C67"/>
    <w:rsid w:val="04C11604"/>
    <w:rsid w:val="0EE7435D"/>
    <w:rsid w:val="1340403C"/>
    <w:rsid w:val="15BF56EC"/>
    <w:rsid w:val="19C77A5A"/>
    <w:rsid w:val="263E265D"/>
    <w:rsid w:val="2ABE7451"/>
    <w:rsid w:val="35CB6416"/>
    <w:rsid w:val="3BBE7837"/>
    <w:rsid w:val="3DC2371B"/>
    <w:rsid w:val="40EA5463"/>
    <w:rsid w:val="4B4334AB"/>
    <w:rsid w:val="51A86D61"/>
    <w:rsid w:val="5403276E"/>
    <w:rsid w:val="54C57A37"/>
    <w:rsid w:val="58FA6008"/>
    <w:rsid w:val="70AB011F"/>
    <w:rsid w:val="7219208E"/>
    <w:rsid w:val="76CD198A"/>
    <w:rsid w:val="79640E95"/>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905</Words>
  <Characters>949</Characters>
  <Lines>0</Lines>
  <Paragraphs>0</Paragraphs>
  <TotalTime>1</TotalTime>
  <ScaleCrop>false</ScaleCrop>
  <LinksUpToDate>false</LinksUpToDate>
  <CharactersWithSpaces>953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蓝欣</cp:lastModifiedBy>
  <dcterms:modified xsi:type="dcterms:W3CDTF">2025-07-30T02:48:42Z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DEC29D6FF1984251977FAFE43F2C91AB_12</vt:lpwstr>
  </property>
  <property fmtid="{D5CDD505-2E9C-101B-9397-08002B2CF9AE}" pid="4" name="KSOTemplateDocerSaveRecord">
    <vt:lpwstr>eyJoZGlkIjoiZjk0ZTkyMDI1NTE1OTczMTJiN2NlZTQ5YjZhN2JiZGQiLCJ1c2VySWQiOiIyNjU1NjAzMzAifQ==</vt:lpwstr>
  </property>
</Properties>
</file>