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2024年度炎陵县策源乡学校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整体支出绩效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自评</w:t>
      </w:r>
      <w:r>
        <w:rPr>
          <w:rFonts w:hint="eastAsia" w:ascii="宋体" w:hAnsi="宋体" w:eastAsia="宋体" w:cs="宋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单位名称（盖章）：炎陵县策源乡学校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1．主要职能：实施九年一贯制义务教育，促进基础教育发展。初中学历教育、小学学历教育。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2．机构情况：炎陵县策源乡学校是由1所九年一贯制学校组成。属二级预算单位。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3．人员情况：实有人员：在职19人，退休32人，遗补7人。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</w:t>
      </w:r>
    </w:p>
    <w:p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bookmarkStart w:id="0" w:name="OLE_LINK1"/>
      <w:r>
        <w:rPr>
          <w:rFonts w:hint="default" w:eastAsia="仿宋_GB2312"/>
          <w:sz w:val="32"/>
          <w:szCs w:val="32"/>
          <w:lang w:val="en-US" w:eastAsia="zh-CN"/>
        </w:rPr>
        <w:t>提高教学质量、促进学生发展、增强师资队伍建设、强化校园文化建设和社会责任，努力提高整体绩效，促进学校的可持续发展，为学生和社会创造更大的价值。</w:t>
      </w:r>
    </w:p>
    <w:bookmarkEnd w:id="0"/>
    <w:p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基本支出为349.47万元，占总支出的100%。其中包括基本工资、津贴补贴、奖、其他工资福利支出以及办公费、印刷费、水电费、办公设备购置等日常公用经费。其中人员工资及社会保障支出261.40万元，此项支出占总支出的74.80%；商品和服务支出51.15万元，此项支出占总支出的14.64%；对个人和家庭的补助支出36.92万元，占总支出的10.56%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>
      <w:pPr>
        <w:pStyle w:val="6"/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hint="default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绩效目标完成率为95%，实际完成率95%。从履职及履职效益情况来看，总体效果比较好。从经济性来看，各负责部门能够按照预算来抓好成本控制，强化勤俭办事意识，注重节约开支。从效率性来看，各部门对所承担的工作能够按照计划的时间把握进度，抓好质量，注重工作效率。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因年初预算只预算了人员经费和工会经费，生均公用经费和营养改善计划资金等未纳入年初预算，根据实际工作需要进行追加，影响了预算编制的准确完整性，造成财政拨款收入决算数和预算数差异较大。</w:t>
      </w:r>
    </w:p>
    <w:p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（1）严格按项目性质的时效开展项目，预算应更实际合理。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（2）严格按相关法律法规执行，做到过各规范合法，结果最优，把资金的效力发挥到最高。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AE65CF88"/>
    <w:multiLevelType w:val="singleLevel"/>
    <w:tmpl w:val="AE65CF8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0C038CE"/>
    <w:multiLevelType w:val="singleLevel"/>
    <w:tmpl w:val="20C038C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GRjMGIxZDM4YWJjYzY1NDBhZWQ3MzE5NWVlZmYifQ=="/>
  </w:docVars>
  <w:rsids>
    <w:rsidRoot w:val="00000000"/>
    <w:rsid w:val="072824B7"/>
    <w:rsid w:val="15BF56EC"/>
    <w:rsid w:val="163B662D"/>
    <w:rsid w:val="19C77A5A"/>
    <w:rsid w:val="21625939"/>
    <w:rsid w:val="28A24544"/>
    <w:rsid w:val="327E3963"/>
    <w:rsid w:val="35CB6416"/>
    <w:rsid w:val="361E6007"/>
    <w:rsid w:val="38EF3C8A"/>
    <w:rsid w:val="3C433E29"/>
    <w:rsid w:val="3D003DE6"/>
    <w:rsid w:val="41AB0677"/>
    <w:rsid w:val="41B45A71"/>
    <w:rsid w:val="4B4334AB"/>
    <w:rsid w:val="504322E8"/>
    <w:rsid w:val="51A86D61"/>
    <w:rsid w:val="5403276E"/>
    <w:rsid w:val="54C57A37"/>
    <w:rsid w:val="56E36785"/>
    <w:rsid w:val="6FD723B0"/>
    <w:rsid w:val="70AB011F"/>
    <w:rsid w:val="72A11576"/>
    <w:rsid w:val="7342707E"/>
    <w:rsid w:val="79112886"/>
    <w:rsid w:val="79640E95"/>
    <w:rsid w:val="99F3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952</Characters>
  <Lines>0</Lines>
  <Paragraphs>0</Paragraphs>
  <TotalTime>19</TotalTime>
  <ScaleCrop>false</ScaleCrop>
  <LinksUpToDate>false</LinksUpToDate>
  <CharactersWithSpaces>958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2024-08-12T10:40:00Z</dcterms:created>
  <dc:creator>mini4use</dc:creator>
  <cp:lastModifiedBy>14663</cp:lastModifiedBy>
  <dcterms:modified xsi:type="dcterms:W3CDTF">2025-07-31T15:31:59Z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BB23F9C50C3A4C53B98E8E4490C7DD1A_13</vt:lpwstr>
  </property>
  <property fmtid="{D5CDD505-2E9C-101B-9397-08002B2CF9AE}" pid="4" name="KSOTemplateDocerSaveRecord">
    <vt:lpwstr>eyJoZGlkIjoiNTk4N2JmNDg1MzQ1YWIxNDJiYTE0MTBhOTQ1YTA4MGUiLCJ1c2VySWQiOiI1MDU2MDM0NzAifQ==</vt:lpwstr>
  </property>
</Properties>
</file>