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4"/>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118FCE9">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2024年度政务服务中心</w:t>
      </w:r>
      <w:r>
        <w:rPr>
          <w:rFonts w:hint="eastAsia" w:ascii="方正小标宋简体" w:hAnsi="方正小标宋简体" w:eastAsia="方正小标宋简体" w:cs="方正小标宋简体"/>
          <w:sz w:val="44"/>
          <w:szCs w:val="44"/>
        </w:rPr>
        <w:t>整体支出绩效</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单位名称（盖章）：炎陵县政务服务中心</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9"/>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9"/>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15A85AEB">
      <w:pPr>
        <w:keepNext w:val="0"/>
        <w:keepLines w:val="0"/>
        <w:pageBreakBefore w:val="0"/>
        <w:kinsoku/>
        <w:wordWrap/>
        <w:overflowPunct/>
        <w:topLinePunct w:val="0"/>
        <w:autoSpaceDE/>
        <w:autoSpaceDN/>
        <w:bidi w:val="0"/>
        <w:spacing w:line="52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sz w:val="32"/>
          <w:szCs w:val="32"/>
        </w:rPr>
        <w:t>县政务服务中心</w:t>
      </w:r>
      <w:r>
        <w:rPr>
          <w:rFonts w:hint="eastAsia" w:ascii="仿宋_GB2312" w:hAnsi="仿宋_GB2312" w:eastAsia="仿宋_GB2312" w:cs="仿宋_GB2312"/>
          <w:sz w:val="32"/>
          <w:szCs w:val="32"/>
          <w:lang w:eastAsia="zh-CN"/>
        </w:rPr>
        <w:t>为县政府办所属副科级公益一类事业单位</w:t>
      </w:r>
      <w:r>
        <w:rPr>
          <w:rFonts w:hint="eastAsia" w:ascii="仿宋_GB2312" w:hAnsi="仿宋_GB2312" w:eastAsia="仿宋_GB2312" w:cs="仿宋_GB2312"/>
          <w:sz w:val="32"/>
          <w:szCs w:val="32"/>
        </w:rPr>
        <w:t>，配备主任1名</w:t>
      </w:r>
      <w:r>
        <w:rPr>
          <w:rFonts w:hint="eastAsia" w:ascii="仿宋_GB2312" w:hAnsi="仿宋_GB2312" w:eastAsia="仿宋_GB2312" w:cs="仿宋_GB2312"/>
          <w:sz w:val="32"/>
          <w:szCs w:val="32"/>
          <w:lang w:eastAsia="zh-CN"/>
        </w:rPr>
        <w:t>，共</w:t>
      </w:r>
      <w:bookmarkStart w:id="0" w:name="_GoBack"/>
      <w:bookmarkEnd w:id="0"/>
      <w:r>
        <w:rPr>
          <w:rFonts w:hint="eastAsia" w:ascii="仿宋_GB2312" w:hAnsi="仿宋_GB2312" w:eastAsia="仿宋_GB2312" w:cs="仿宋_GB2312"/>
          <w:sz w:val="32"/>
          <w:szCs w:val="32"/>
        </w:rPr>
        <w:t>有全额拨款事业编制</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名，实有在编人员</w:t>
      </w:r>
      <w:r>
        <w:rPr>
          <w:rFonts w:hint="eastAsia" w:ascii="仿宋_GB2312" w:hAnsi="仿宋_GB2312" w:eastAsia="仿宋_GB2312" w:cs="仿宋_GB2312"/>
          <w:sz w:val="32"/>
          <w:szCs w:val="32"/>
          <w:lang w:val="en-US" w:eastAsia="zh-CN"/>
        </w:rPr>
        <w:t>10人</w:t>
      </w:r>
      <w:r>
        <w:rPr>
          <w:rFonts w:hint="eastAsia" w:ascii="仿宋_GB2312" w:hAnsi="仿宋_GB2312" w:eastAsia="仿宋_GB2312" w:cs="仿宋_GB2312"/>
          <w:sz w:val="32"/>
          <w:szCs w:val="32"/>
          <w:lang w:eastAsia="zh-CN"/>
        </w:rPr>
        <w:t>。主要承担政务服务、政府网站、电子政务、县长热线等职能。内设</w:t>
      </w:r>
      <w:r>
        <w:rPr>
          <w:rFonts w:hint="eastAsia" w:ascii="仿宋_GB2312" w:hAnsi="仿宋_GB2312" w:eastAsia="仿宋_GB2312" w:cs="仿宋_GB2312"/>
          <w:sz w:val="32"/>
          <w:szCs w:val="32"/>
        </w:rPr>
        <w:t>办公室、</w:t>
      </w:r>
      <w:r>
        <w:rPr>
          <w:rFonts w:hint="eastAsia" w:ascii="仿宋_GB2312" w:hAnsi="仿宋_GB2312" w:eastAsia="仿宋_GB2312" w:cs="仿宋_GB2312"/>
          <w:sz w:val="32"/>
          <w:szCs w:val="32"/>
          <w:lang w:eastAsia="zh-CN"/>
        </w:rPr>
        <w:t>网站信息股、</w:t>
      </w:r>
      <w:r>
        <w:rPr>
          <w:rFonts w:hint="eastAsia" w:ascii="仿宋_GB2312" w:hAnsi="仿宋_GB2312" w:eastAsia="仿宋_GB2312" w:cs="仿宋_GB2312"/>
          <w:sz w:val="32"/>
          <w:szCs w:val="32"/>
        </w:rPr>
        <w:t>窗口</w:t>
      </w:r>
      <w:r>
        <w:rPr>
          <w:rFonts w:hint="eastAsia" w:ascii="仿宋_GB2312" w:hAnsi="仿宋_GB2312" w:eastAsia="仿宋_GB2312" w:cs="仿宋_GB2312"/>
          <w:sz w:val="32"/>
          <w:szCs w:val="32"/>
          <w:lang w:eastAsia="zh-CN"/>
        </w:rPr>
        <w:t>管理股</w:t>
      </w:r>
      <w:r>
        <w:rPr>
          <w:rFonts w:hint="eastAsia" w:ascii="仿宋_GB2312" w:hAnsi="仿宋_GB2312" w:eastAsia="仿宋_GB2312" w:cs="仿宋_GB2312"/>
          <w:sz w:val="32"/>
          <w:szCs w:val="32"/>
        </w:rPr>
        <w:t>、电子政务</w:t>
      </w:r>
      <w:r>
        <w:rPr>
          <w:rFonts w:hint="eastAsia" w:ascii="仿宋_GB2312" w:hAnsi="仿宋_GB2312" w:eastAsia="仿宋_GB2312" w:cs="仿宋_GB2312"/>
          <w:sz w:val="32"/>
          <w:szCs w:val="32"/>
          <w:lang w:eastAsia="zh-CN"/>
        </w:rPr>
        <w:t>股</w:t>
      </w:r>
      <w:r>
        <w:rPr>
          <w:rFonts w:hint="eastAsia" w:ascii="仿宋_GB2312" w:hAnsi="仿宋_GB2312" w:eastAsia="仿宋_GB2312" w:cs="仿宋_GB2312"/>
          <w:sz w:val="32"/>
          <w:szCs w:val="32"/>
        </w:rPr>
        <w:t>、县长热线室等</w:t>
      </w:r>
      <w:r>
        <w:rPr>
          <w:rFonts w:hint="eastAsia" w:ascii="仿宋_GB2312" w:hAnsi="仿宋_GB2312" w:eastAsia="仿宋_GB2312" w:cs="仿宋_GB2312"/>
          <w:sz w:val="32"/>
          <w:szCs w:val="32"/>
          <w:lang w:eastAsia="zh-CN"/>
        </w:rPr>
        <w:t>五个股室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管理办事大厅1个，大厅进驻窗口单位</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lang w:eastAsia="zh-CN"/>
        </w:rPr>
        <w:t>个，工作人员</w:t>
      </w:r>
      <w:r>
        <w:rPr>
          <w:rFonts w:hint="eastAsia" w:ascii="仿宋_GB2312" w:hAnsi="仿宋_GB2312" w:eastAsia="仿宋_GB2312" w:cs="仿宋_GB2312"/>
          <w:color w:val="auto"/>
          <w:sz w:val="32"/>
          <w:szCs w:val="32"/>
          <w:lang w:val="en-US" w:eastAsia="zh-CN"/>
        </w:rPr>
        <w:t>70</w:t>
      </w:r>
      <w:r>
        <w:rPr>
          <w:rFonts w:hint="eastAsia" w:ascii="仿宋_GB2312" w:hAnsi="仿宋_GB2312" w:eastAsia="仿宋_GB2312" w:cs="仿宋_GB2312"/>
          <w:color w:val="auto"/>
          <w:sz w:val="32"/>
          <w:szCs w:val="32"/>
          <w:lang w:eastAsia="zh-CN"/>
        </w:rPr>
        <w:t>名，进驻办理事项</w:t>
      </w:r>
      <w:r>
        <w:rPr>
          <w:rFonts w:hint="eastAsia" w:ascii="仿宋_GB2312" w:hAnsi="仿宋_GB2312" w:eastAsia="仿宋_GB2312" w:cs="仿宋_GB2312"/>
          <w:color w:val="auto"/>
          <w:sz w:val="32"/>
          <w:szCs w:val="32"/>
          <w:lang w:val="en-US" w:eastAsia="zh-CN"/>
        </w:rPr>
        <w:t>483</w:t>
      </w:r>
      <w:r>
        <w:rPr>
          <w:rFonts w:hint="eastAsia" w:ascii="仿宋_GB2312" w:hAnsi="仿宋_GB2312" w:eastAsia="仿宋_GB2312" w:cs="仿宋_GB2312"/>
          <w:color w:val="auto"/>
          <w:sz w:val="32"/>
          <w:szCs w:val="32"/>
          <w:lang w:eastAsia="zh-CN"/>
        </w:rPr>
        <w:t>项。</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年被评为炎陵县优化营商环境工作先进单位</w:t>
      </w:r>
      <w:r>
        <w:rPr>
          <w:rFonts w:hint="eastAsia" w:ascii="仿宋_GB2312" w:hAnsi="仿宋_GB2312" w:eastAsia="仿宋_GB2312" w:cs="仿宋_GB2312"/>
          <w:color w:val="000000"/>
          <w:kern w:val="0"/>
          <w:sz w:val="32"/>
          <w:szCs w:val="32"/>
          <w:lang w:val="en-US" w:eastAsia="zh-CN"/>
        </w:rPr>
        <w:t>。</w:t>
      </w:r>
    </w:p>
    <w:p w14:paraId="5556C9CE">
      <w:pPr>
        <w:pStyle w:val="9"/>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7587B28A">
      <w:pPr>
        <w:pStyle w:val="9"/>
        <w:widowControl/>
        <w:numPr>
          <w:ilvl w:val="0"/>
          <w:numId w:val="0"/>
        </w:numPr>
        <w:kinsoku w:val="0"/>
        <w:autoSpaceDE w:val="0"/>
        <w:autoSpaceDN w:val="0"/>
        <w:adjustRightInd w:val="0"/>
        <w:snapToGrid w:val="0"/>
        <w:spacing w:line="520" w:lineRule="exact"/>
        <w:jc w:val="left"/>
        <w:textAlignment w:val="baseline"/>
        <w:rPr>
          <w:rFonts w:ascii="Times New Roman" w:hAnsi="Times New Roman" w:eastAsia="黑体"/>
          <w:sz w:val="32"/>
          <w:szCs w:val="32"/>
        </w:rPr>
      </w:pPr>
      <w:r>
        <w:rPr>
          <w:rFonts w:hint="eastAsia" w:ascii="楷体_GB2312" w:hAnsi="楷体_GB2312" w:eastAsia="楷体_GB2312" w:cs="楷体_GB2312"/>
          <w:sz w:val="32"/>
          <w:szCs w:val="32"/>
          <w:lang w:val="en-US" w:eastAsia="zh-CN"/>
        </w:rPr>
        <w:t xml:space="preserve">    </w:t>
      </w: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9"/>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4F0009DA">
      <w:pPr>
        <w:pStyle w:val="6"/>
        <w:spacing w:before="75" w:beforeAutospacing="0" w:after="75" w:afterAutospacing="0" w:line="465" w:lineRule="atLeast"/>
        <w:ind w:firstLine="640" w:firstLineChars="200"/>
        <w:rPr>
          <w:rFonts w:ascii="仿宋_GB2312" w:hAnsi="仿宋" w:eastAsia="仿宋_GB2312"/>
          <w:kern w:val="2"/>
          <w:sz w:val="32"/>
          <w:szCs w:val="32"/>
        </w:rPr>
      </w:pPr>
      <w:r>
        <w:rPr>
          <w:rFonts w:hint="eastAsia" w:ascii="仿宋_GB2312" w:hAnsi="仿宋" w:eastAsia="仿宋_GB2312"/>
          <w:kern w:val="2"/>
          <w:sz w:val="32"/>
          <w:szCs w:val="32"/>
        </w:rPr>
        <w:t>2024年财政拨款支出共5017981.62元，其中一般公共预算支出为4947981.62元；政府性基金预算支出为70000.00元。1.一般公共预算支出总额为4947981.62元，其中：一般公共服务支出3917580.56元，占总支出的比重为79.18%；科学技术支出649138.00元，占总支出的比重为13.12%；社会保障和就业支出164610.81元，占总支出的比重为3.32%；卫生健康支出88465.25元，占总支出的比重为1.79%；住房保障支出128187.00元，占总支出的比重为2.59%。2.政府性基金预算支出总额为70000.00元，其中：城乡社区支出70000.00元，占总支出的比重为100%。</w:t>
      </w:r>
    </w:p>
    <w:p w14:paraId="7C11EFB6">
      <w:pPr>
        <w:pStyle w:val="9"/>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77FCF038">
      <w:pPr>
        <w:pStyle w:val="9"/>
        <w:widowControl/>
        <w:numPr>
          <w:ilvl w:val="0"/>
          <w:numId w:val="0"/>
        </w:numPr>
        <w:spacing w:line="520" w:lineRule="exact"/>
        <w:ind w:left="64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本单位无项目支出</w:t>
      </w:r>
    </w:p>
    <w:p w14:paraId="4F0491E0">
      <w:pPr>
        <w:pStyle w:val="9"/>
        <w:widowControl/>
        <w:numPr>
          <w:ilvl w:val="0"/>
          <w:numId w:val="0"/>
        </w:numPr>
        <w:spacing w:line="520" w:lineRule="exact"/>
        <w:ind w:left="0" w:leftChars="0" w:firstLine="640" w:firstLineChars="200"/>
        <w:jc w:val="left"/>
        <w:rPr>
          <w:rFonts w:ascii="Times New Roman" w:hAnsi="Times New Roman" w:eastAsia="黑体"/>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政府性基金预算支出情况</w:t>
      </w:r>
    </w:p>
    <w:p w14:paraId="1672C59A">
      <w:pPr>
        <w:pStyle w:val="6"/>
        <w:spacing w:before="75" w:beforeAutospacing="0" w:after="75" w:afterAutospacing="0" w:line="465" w:lineRule="atLeast"/>
        <w:ind w:firstLine="640" w:firstLineChars="200"/>
        <w:rPr>
          <w:rFonts w:ascii="Times New Roman" w:hAnsi="Times New Roman" w:eastAsia="黑体"/>
          <w:sz w:val="32"/>
          <w:szCs w:val="32"/>
        </w:rPr>
      </w:pPr>
      <w:r>
        <w:rPr>
          <w:rFonts w:hint="eastAsia" w:ascii="仿宋_GB2312" w:hAnsi="仿宋" w:eastAsia="仿宋_GB2312"/>
          <w:kern w:val="2"/>
          <w:sz w:val="32"/>
          <w:szCs w:val="32"/>
        </w:rPr>
        <w:t>政府性基金预算支出总额为70000.00元，其中：城乡社区支出70000.00元，占总支出的比重为100%。</w:t>
      </w:r>
    </w:p>
    <w:p w14:paraId="216101D4">
      <w:pPr>
        <w:pStyle w:val="9"/>
        <w:widowControl/>
        <w:numPr>
          <w:ilvl w:val="0"/>
          <w:numId w:val="0"/>
        </w:numPr>
        <w:spacing w:line="520" w:lineRule="exact"/>
        <w:ind w:left="0" w:leftChars="0"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cs="Times New Roman"/>
          <w:snapToGrid w:val="0"/>
          <w:color w:val="000000"/>
          <w:kern w:val="0"/>
          <w:sz w:val="32"/>
          <w:szCs w:val="32"/>
          <w:lang w:val="en-US" w:eastAsia="zh-CN" w:bidi="ar-SA"/>
        </w:rPr>
        <w:t>四、</w:t>
      </w:r>
      <w:r>
        <w:rPr>
          <w:rFonts w:hint="eastAsia" w:ascii="Times New Roman" w:hAnsi="Times New Roman" w:eastAsia="黑体"/>
          <w:sz w:val="32"/>
          <w:szCs w:val="32"/>
          <w:lang w:val="en-US" w:eastAsia="zh-CN"/>
        </w:rPr>
        <w:t>国有资本经营预算支出情况</w:t>
      </w:r>
    </w:p>
    <w:p w14:paraId="5050974A">
      <w:pPr>
        <w:widowControl/>
        <w:spacing w:line="520" w:lineRule="exact"/>
        <w:ind w:firstLine="645"/>
        <w:jc w:val="left"/>
        <w:rPr>
          <w:rFonts w:hint="default" w:ascii="Times New Roman" w:hAnsi="Times New Roman" w:eastAsia="黑体"/>
          <w:sz w:val="32"/>
          <w:szCs w:val="32"/>
          <w:lang w:val="en-US" w:eastAsia="zh-CN"/>
        </w:rPr>
      </w:pPr>
      <w:r>
        <w:rPr>
          <w:rFonts w:hint="eastAsia" w:ascii="仿宋_GB2312" w:hAnsi="仿宋_GB2312" w:eastAsia="仿宋_GB2312" w:cs="仿宋_GB2312"/>
          <w:sz w:val="32"/>
          <w:szCs w:val="32"/>
          <w:lang w:val="en-US" w:eastAsia="zh-CN"/>
        </w:rPr>
        <w:t>本单位无国有资本经营预算支出</w:t>
      </w:r>
    </w:p>
    <w:p w14:paraId="61024A33">
      <w:pPr>
        <w:pStyle w:val="9"/>
        <w:widowControl/>
        <w:numPr>
          <w:ilvl w:val="0"/>
          <w:numId w:val="0"/>
        </w:numPr>
        <w:spacing w:line="520" w:lineRule="exact"/>
        <w:ind w:left="0" w:leftChars="0" w:firstLine="640" w:firstLineChars="200"/>
        <w:jc w:val="left"/>
        <w:rPr>
          <w:rFonts w:ascii="Times New Roman" w:hAnsi="Times New Roman" w:eastAsia="黑体"/>
          <w:sz w:val="32"/>
          <w:szCs w:val="32"/>
        </w:rPr>
      </w:pPr>
      <w:r>
        <w:rPr>
          <w:rFonts w:hint="eastAsia" w:ascii="Times New Roman" w:hAnsi="Times New Roman" w:eastAsia="黑体" w:cs="Times New Roman"/>
          <w:snapToGrid w:val="0"/>
          <w:color w:val="000000"/>
          <w:kern w:val="0"/>
          <w:sz w:val="32"/>
          <w:szCs w:val="32"/>
          <w:lang w:val="en-US" w:eastAsia="zh-CN" w:bidi="ar-SA"/>
        </w:rPr>
        <w:t>五</w:t>
      </w:r>
      <w:r>
        <w:rPr>
          <w:rFonts w:hint="eastAsia" w:ascii="Times New Roman" w:hAnsi="Times New Roman" w:eastAsia="黑体" w:cs="Times New Roman"/>
          <w:snapToGrid w:val="0"/>
          <w:color w:val="000000"/>
          <w:kern w:val="0"/>
          <w:sz w:val="32"/>
          <w:szCs w:val="32"/>
          <w:lang w:val="en-US" w:eastAsia="en-US" w:bidi="ar-SA"/>
        </w:rPr>
        <w:t>、</w:t>
      </w:r>
      <w:r>
        <w:rPr>
          <w:rFonts w:ascii="Times New Roman" w:hAnsi="Times New Roman" w:eastAsia="黑体"/>
          <w:sz w:val="32"/>
          <w:szCs w:val="32"/>
        </w:rPr>
        <w:t>社会保险基金预算支出情况</w:t>
      </w:r>
    </w:p>
    <w:p w14:paraId="0FA1E338">
      <w:pPr>
        <w:widowControl/>
        <w:spacing w:line="520" w:lineRule="exact"/>
        <w:ind w:firstLine="645"/>
        <w:jc w:val="left"/>
        <w:rPr>
          <w:rFonts w:ascii="Times New Roman" w:hAnsi="Times New Roman" w:eastAsia="黑体"/>
          <w:sz w:val="32"/>
          <w:szCs w:val="32"/>
        </w:rPr>
      </w:pPr>
      <w:r>
        <w:rPr>
          <w:rFonts w:hint="eastAsia" w:ascii="仿宋_GB2312" w:hAnsi="仿宋_GB2312" w:eastAsia="仿宋_GB2312" w:cs="仿宋_GB2312"/>
          <w:sz w:val="32"/>
          <w:szCs w:val="32"/>
          <w:lang w:val="en-US" w:eastAsia="zh-CN"/>
        </w:rPr>
        <w:t>本单位无社会保险基金预算支出</w:t>
      </w:r>
    </w:p>
    <w:p w14:paraId="7074D3E2">
      <w:pPr>
        <w:widowControl/>
        <w:spacing w:line="520" w:lineRule="exact"/>
        <w:ind w:firstLine="645"/>
        <w:jc w:val="left"/>
        <w:rPr>
          <w:rFonts w:eastAsia="黑体"/>
          <w:color w:val="auto"/>
          <w:sz w:val="32"/>
          <w:szCs w:val="32"/>
        </w:rPr>
      </w:pPr>
      <w:r>
        <w:rPr>
          <w:rFonts w:hint="eastAsia" w:eastAsia="黑体"/>
          <w:color w:val="auto"/>
          <w:sz w:val="32"/>
          <w:szCs w:val="32"/>
          <w:lang w:val="en-US" w:eastAsia="zh-CN"/>
        </w:rPr>
        <w:t>六</w:t>
      </w:r>
      <w:r>
        <w:rPr>
          <w:rFonts w:eastAsia="黑体"/>
          <w:color w:val="auto"/>
          <w:sz w:val="32"/>
          <w:szCs w:val="32"/>
        </w:rPr>
        <w:t>、部门整体支出绩效情况</w:t>
      </w:r>
    </w:p>
    <w:p w14:paraId="40D7BF09">
      <w:pPr>
        <w:numPr>
          <w:ilvl w:val="0"/>
          <w:numId w:val="0"/>
        </w:numPr>
        <w:spacing w:line="520" w:lineRule="exact"/>
        <w:ind w:firstLine="640" w:firstLineChars="200"/>
        <w:rPr>
          <w:rFonts w:hint="eastAsia" w:ascii="黑体" w:hAnsi="黑体" w:eastAsia="黑体" w:cs="黑体"/>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2024年取得的成效：</w:t>
      </w:r>
    </w:p>
    <w:p w14:paraId="611CA663">
      <w:pPr>
        <w:numPr>
          <w:ilvl w:val="0"/>
          <w:numId w:val="0"/>
        </w:numPr>
        <w:spacing w:line="520" w:lineRule="exact"/>
        <w:ind w:firstLine="640" w:firstLineChars="200"/>
        <w:rPr>
          <w:rFonts w:ascii="Times New Roman" w:hAnsi="Times New Roman" w:eastAsia="仿宋_GB2312" w:cs="Times New Roman"/>
          <w:b w:val="0"/>
          <w:bCs w:val="0"/>
          <w:sz w:val="32"/>
          <w:szCs w:val="32"/>
        </w:rPr>
      </w:pPr>
      <w:r>
        <w:rPr>
          <w:rFonts w:hint="eastAsia" w:ascii="楷体_GB2312" w:hAnsi="楷体_GB2312" w:eastAsia="楷体_GB2312" w:cs="楷体_GB2312"/>
          <w:b w:val="0"/>
          <w:bCs w:val="0"/>
          <w:color w:val="333333"/>
          <w:sz w:val="32"/>
          <w:szCs w:val="32"/>
          <w:shd w:val="clear" w:color="auto" w:fill="FFFFFF"/>
          <w:lang w:eastAsia="zh-CN"/>
        </w:rPr>
        <w:t>（一）</w:t>
      </w:r>
      <w:r>
        <w:rPr>
          <w:rFonts w:hint="eastAsia" w:ascii="楷体_GB2312" w:hAnsi="楷体_GB2312" w:eastAsia="楷体_GB2312" w:cs="楷体_GB2312"/>
          <w:b w:val="0"/>
          <w:bCs w:val="0"/>
          <w:color w:val="333333"/>
          <w:sz w:val="32"/>
          <w:szCs w:val="32"/>
          <w:shd w:val="clear" w:color="auto" w:fill="FFFFFF"/>
        </w:rPr>
        <w:t>激活力纵深推进行政审批制度改革。</w:t>
      </w:r>
      <w:r>
        <w:rPr>
          <w:rFonts w:hint="eastAsia" w:ascii="仿宋_GB2312" w:hAnsi="仿宋_GB2312" w:eastAsia="仿宋_GB2312" w:cs="仿宋_GB2312"/>
          <w:b w:val="0"/>
          <w:bCs w:val="0"/>
          <w:color w:val="333333"/>
          <w:sz w:val="32"/>
          <w:szCs w:val="32"/>
          <w:shd w:val="clear" w:color="auto" w:fill="FFFFFF"/>
        </w:rPr>
        <w:t>一是</w:t>
      </w:r>
      <w:r>
        <w:rPr>
          <w:rFonts w:hint="eastAsia" w:ascii="仿宋_GB2312" w:hAnsi="仿宋_GB2312" w:eastAsia="仿宋_GB2312" w:cs="仿宋_GB2312"/>
          <w:b w:val="0"/>
          <w:bCs w:val="0"/>
          <w:sz w:val="32"/>
          <w:szCs w:val="32"/>
        </w:rPr>
        <w:t>积极推进“高效办成一件事”落地。</w:t>
      </w:r>
      <w:r>
        <w:rPr>
          <w:rFonts w:hint="eastAsia" w:ascii="Times New Roman" w:hAnsi="Times New Roman" w:eastAsia="仿宋_GB2312" w:cs="Times New Roman"/>
          <w:b w:val="0"/>
          <w:bCs w:val="0"/>
          <w:sz w:val="32"/>
          <w:szCs w:val="32"/>
        </w:rPr>
        <w:t>第一批“高效办成一件事”17个事项全面落地；线下在办事大厅设立</w:t>
      </w:r>
      <w:r>
        <w:rPr>
          <w:rFonts w:hint="eastAsia"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b w:val="0"/>
          <w:bCs w:val="0"/>
          <w:sz w:val="32"/>
          <w:szCs w:val="32"/>
        </w:rPr>
        <w:t>个专区和</w:t>
      </w:r>
      <w:r>
        <w:rPr>
          <w:rFonts w:hint="eastAsia" w:ascii="Times New Roman" w:hAnsi="Times New Roman" w:eastAsia="仿宋_GB2312" w:cs="Times New Roman"/>
          <w:b w:val="0"/>
          <w:bCs w:val="0"/>
          <w:sz w:val="32"/>
          <w:szCs w:val="32"/>
          <w:lang w:val="en-US" w:eastAsia="zh-CN"/>
        </w:rPr>
        <w:t>7</w:t>
      </w:r>
      <w:r>
        <w:rPr>
          <w:rFonts w:hint="eastAsia" w:ascii="Times New Roman" w:hAnsi="Times New Roman" w:eastAsia="仿宋_GB2312" w:cs="Times New Roman"/>
          <w:b w:val="0"/>
          <w:bCs w:val="0"/>
          <w:sz w:val="32"/>
          <w:szCs w:val="32"/>
        </w:rPr>
        <w:t>个专窗，</w:t>
      </w:r>
      <w:r>
        <w:rPr>
          <w:rFonts w:hint="eastAsia" w:ascii="Times New Roman" w:hAnsi="Times New Roman" w:eastAsia="仿宋_GB2312" w:cs="Times New Roman"/>
          <w:b w:val="0"/>
          <w:bCs w:val="0"/>
          <w:sz w:val="32"/>
          <w:szCs w:val="32"/>
          <w:lang w:eastAsia="zh-CN"/>
        </w:rPr>
        <w:t>全年</w:t>
      </w:r>
      <w:r>
        <w:rPr>
          <w:rFonts w:hint="eastAsia" w:ascii="Times New Roman" w:hAnsi="Times New Roman" w:eastAsia="仿宋_GB2312" w:cs="Times New Roman"/>
          <w:b w:val="0"/>
          <w:bCs w:val="0"/>
          <w:sz w:val="32"/>
          <w:szCs w:val="32"/>
        </w:rPr>
        <w:t>“高效办成一件事”系统办件27</w:t>
      </w:r>
      <w:r>
        <w:rPr>
          <w:rFonts w:hint="eastAsia" w:ascii="Times New Roman" w:hAnsi="Times New Roman" w:eastAsia="仿宋_GB2312" w:cs="Times New Roman"/>
          <w:b w:val="0"/>
          <w:bCs w:val="0"/>
          <w:sz w:val="32"/>
          <w:szCs w:val="32"/>
          <w:lang w:val="en-US" w:eastAsia="zh-CN"/>
        </w:rPr>
        <w:t>7</w:t>
      </w:r>
      <w:r>
        <w:rPr>
          <w:rFonts w:hint="eastAsia" w:ascii="Times New Roman" w:hAnsi="Times New Roman" w:eastAsia="仿宋_GB2312" w:cs="Times New Roman"/>
          <w:b w:val="0"/>
          <w:bCs w:val="0"/>
          <w:sz w:val="32"/>
          <w:szCs w:val="32"/>
        </w:rPr>
        <w:t>1件。二是</w:t>
      </w:r>
      <w:r>
        <w:rPr>
          <w:rFonts w:ascii="Times New Roman" w:hAnsi="Times New Roman" w:eastAsia="楷体_GB2312" w:cs="Times New Roman"/>
          <w:b w:val="0"/>
          <w:bCs w:val="0"/>
          <w:sz w:val="32"/>
          <w:szCs w:val="32"/>
        </w:rPr>
        <w:t>持续深化“一把手走流程”行动。</w:t>
      </w:r>
      <w:r>
        <w:rPr>
          <w:rFonts w:ascii="Times New Roman" w:hAnsi="Times New Roman" w:eastAsia="仿宋_GB2312" w:cs="Times New Roman"/>
          <w:b w:val="0"/>
          <w:bCs w:val="0"/>
          <w:sz w:val="32"/>
          <w:szCs w:val="32"/>
        </w:rPr>
        <w:t>实现全县政务服务整体“减流程、减材料、减时间”15%以上。我县创新“一把手走流程”行动经验做法在《湖南日报》予以推介。</w:t>
      </w:r>
      <w:r>
        <w:rPr>
          <w:rFonts w:hint="eastAsia" w:ascii="Times New Roman" w:hAnsi="Times New Roman" w:eastAsia="仿宋_GB2312" w:cs="Times New Roman"/>
          <w:b w:val="0"/>
          <w:bCs w:val="0"/>
          <w:sz w:val="32"/>
          <w:szCs w:val="32"/>
        </w:rPr>
        <w:t>三是</w:t>
      </w:r>
      <w:r>
        <w:rPr>
          <w:rFonts w:ascii="Times New Roman" w:hAnsi="Times New Roman" w:eastAsia="楷体_GB2312" w:cs="Times New Roman"/>
          <w:b w:val="0"/>
          <w:bCs w:val="0"/>
          <w:sz w:val="32"/>
          <w:szCs w:val="32"/>
        </w:rPr>
        <w:t>深化“跨省通办”工作。</w:t>
      </w:r>
      <w:r>
        <w:rPr>
          <w:rFonts w:ascii="Times New Roman" w:hAnsi="Times New Roman" w:eastAsia="仿宋_GB2312" w:cs="Times New Roman"/>
          <w:b w:val="0"/>
          <w:bCs w:val="0"/>
          <w:sz w:val="32"/>
          <w:szCs w:val="32"/>
        </w:rPr>
        <w:t>与江西10个县区签订“跨省通办”协议，上线“跨省通办”事项77项。</w:t>
      </w:r>
    </w:p>
    <w:p w14:paraId="32617F2E">
      <w:pPr>
        <w:pStyle w:val="10"/>
        <w:spacing w:after="0" w:line="520" w:lineRule="exact"/>
        <w:ind w:firstLine="640" w:firstLineChars="200"/>
        <w:rPr>
          <w:rFonts w:ascii="Times New Roman" w:hAnsi="Times New Roman" w:eastAsia="仿宋_GB2312" w:cs="Times New Roman"/>
          <w:b w:val="0"/>
          <w:bCs w:val="0"/>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优服务全力打造优质高效政务环境。</w:t>
      </w:r>
      <w:r>
        <w:rPr>
          <w:rFonts w:hint="eastAsia" w:ascii="仿宋_GB2312" w:hAnsi="仿宋_GB2312" w:eastAsia="仿宋_GB2312" w:cs="仿宋_GB2312"/>
          <w:b w:val="0"/>
          <w:bCs w:val="0"/>
          <w:sz w:val="32"/>
          <w:szCs w:val="32"/>
        </w:rPr>
        <w:t>一是全面推动“一网通办”系统应用。</w:t>
      </w:r>
      <w:r>
        <w:rPr>
          <w:rFonts w:ascii="Times New Roman" w:hAnsi="Times New Roman" w:eastAsia="仿宋_GB2312" w:cs="Times New Roman"/>
          <w:b w:val="0"/>
          <w:bCs w:val="0"/>
          <w:sz w:val="32"/>
          <w:szCs w:val="32"/>
        </w:rPr>
        <w:t>全面完成“一网通办”系统已对接上线县级</w:t>
      </w:r>
      <w:r>
        <w:rPr>
          <w:rFonts w:ascii="Times New Roman" w:hAnsi="Times New Roman" w:eastAsia="仿宋_GB2312" w:cs="Times New Roman"/>
          <w:b w:val="0"/>
          <w:bCs w:val="0"/>
          <w:color w:val="auto"/>
          <w:sz w:val="32"/>
          <w:szCs w:val="32"/>
        </w:rPr>
        <w:t>8</w:t>
      </w:r>
      <w:r>
        <w:rPr>
          <w:rFonts w:hint="eastAsia" w:ascii="Times New Roman" w:hAnsi="Times New Roman" w:eastAsia="仿宋_GB2312" w:cs="Times New Roman"/>
          <w:b w:val="0"/>
          <w:bCs w:val="0"/>
          <w:color w:val="auto"/>
          <w:sz w:val="32"/>
          <w:szCs w:val="32"/>
          <w:lang w:val="en-US" w:eastAsia="zh-CN"/>
        </w:rPr>
        <w:t>30</w:t>
      </w:r>
      <w:r>
        <w:rPr>
          <w:rFonts w:ascii="Times New Roman" w:hAnsi="Times New Roman" w:eastAsia="仿宋_GB2312" w:cs="Times New Roman"/>
          <w:b w:val="0"/>
          <w:bCs w:val="0"/>
          <w:color w:val="auto"/>
          <w:sz w:val="32"/>
          <w:szCs w:val="32"/>
        </w:rPr>
        <w:t>项政务服务事项的应用系统数据初始化工作。已产生办件</w:t>
      </w:r>
      <w:r>
        <w:rPr>
          <w:rFonts w:hint="eastAsia" w:ascii="Times New Roman" w:hAnsi="Times New Roman" w:eastAsia="仿宋_GB2312" w:cs="Times New Roman"/>
          <w:b w:val="0"/>
          <w:bCs w:val="0"/>
          <w:color w:val="auto"/>
          <w:sz w:val="32"/>
          <w:szCs w:val="32"/>
          <w:lang w:val="en-US" w:eastAsia="zh-CN"/>
        </w:rPr>
        <w:t>1004</w:t>
      </w:r>
      <w:r>
        <w:rPr>
          <w:rFonts w:ascii="Times New Roman" w:hAnsi="Times New Roman" w:eastAsia="仿宋_GB2312" w:cs="Times New Roman"/>
          <w:b w:val="0"/>
          <w:bCs w:val="0"/>
          <w:color w:val="auto"/>
          <w:sz w:val="32"/>
          <w:szCs w:val="32"/>
        </w:rPr>
        <w:t>件。</w:t>
      </w: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sz w:val="32"/>
          <w:szCs w:val="32"/>
        </w:rPr>
        <w:t>是优化调整政务服务事项目录。</w:t>
      </w:r>
      <w:r>
        <w:rPr>
          <w:rFonts w:ascii="Times New Roman" w:hAnsi="Times New Roman" w:eastAsia="仿宋_GB2312" w:cs="Times New Roman"/>
          <w:b w:val="0"/>
          <w:bCs w:val="0"/>
          <w:color w:val="auto"/>
          <w:sz w:val="32"/>
          <w:szCs w:val="32"/>
        </w:rPr>
        <w:t>累计发布行政权力和公共服务事项793</w:t>
      </w:r>
      <w:r>
        <w:rPr>
          <w:rFonts w:hint="eastAsia" w:ascii="Times New Roman" w:hAnsi="Times New Roman" w:eastAsia="仿宋_GB2312" w:cs="Times New Roman"/>
          <w:b w:val="0"/>
          <w:bCs w:val="0"/>
          <w:color w:val="auto"/>
          <w:sz w:val="32"/>
          <w:szCs w:val="32"/>
          <w:lang w:val="en-US" w:eastAsia="zh-CN"/>
        </w:rPr>
        <w:t>1</w:t>
      </w:r>
      <w:r>
        <w:rPr>
          <w:rFonts w:ascii="Times New Roman" w:hAnsi="Times New Roman" w:eastAsia="仿宋_GB2312" w:cs="Times New Roman"/>
          <w:b w:val="0"/>
          <w:bCs w:val="0"/>
          <w:color w:val="auto"/>
          <w:sz w:val="32"/>
          <w:szCs w:val="32"/>
        </w:rPr>
        <w:t>项，权责清单3760项。政务服务事项行政效能法定提速率99.</w:t>
      </w:r>
      <w:r>
        <w:rPr>
          <w:rFonts w:hint="eastAsia" w:ascii="Times New Roman" w:hAnsi="Times New Roman" w:eastAsia="仿宋_GB2312" w:cs="Times New Roman"/>
          <w:b w:val="0"/>
          <w:bCs w:val="0"/>
          <w:color w:val="auto"/>
          <w:sz w:val="32"/>
          <w:szCs w:val="32"/>
          <w:lang w:val="en-US" w:eastAsia="zh-CN"/>
        </w:rPr>
        <w:t>47</w:t>
      </w:r>
      <w:r>
        <w:rPr>
          <w:rFonts w:ascii="Times New Roman" w:hAnsi="Times New Roman" w:eastAsia="仿宋_GB2312" w:cs="Times New Roman"/>
          <w:b w:val="0"/>
          <w:bCs w:val="0"/>
          <w:color w:val="auto"/>
          <w:sz w:val="32"/>
          <w:szCs w:val="32"/>
        </w:rPr>
        <w:t>%，承诺压缩率81.</w:t>
      </w:r>
      <w:r>
        <w:rPr>
          <w:rFonts w:hint="eastAsia" w:ascii="Times New Roman" w:hAnsi="Times New Roman" w:eastAsia="仿宋_GB2312" w:cs="Times New Roman"/>
          <w:b w:val="0"/>
          <w:bCs w:val="0"/>
          <w:color w:val="auto"/>
          <w:sz w:val="32"/>
          <w:szCs w:val="32"/>
          <w:lang w:val="en-US" w:eastAsia="zh-CN"/>
        </w:rPr>
        <w:t>51</w:t>
      </w:r>
      <w:r>
        <w:rPr>
          <w:rFonts w:ascii="Times New Roman" w:hAnsi="Times New Roman" w:eastAsia="仿宋_GB2312" w:cs="Times New Roman"/>
          <w:b w:val="0"/>
          <w:bCs w:val="0"/>
          <w:color w:val="auto"/>
          <w:sz w:val="32"/>
          <w:szCs w:val="32"/>
        </w:rPr>
        <w:t>%，</w:t>
      </w:r>
      <w:r>
        <w:rPr>
          <w:rFonts w:ascii="Times New Roman" w:hAnsi="Times New Roman" w:eastAsia="仿宋_GB2312" w:cs="Times New Roman"/>
          <w:b w:val="0"/>
          <w:bCs w:val="0"/>
          <w:sz w:val="32"/>
          <w:szCs w:val="32"/>
        </w:rPr>
        <w:t>事项网上可办率97.54%。</w:t>
      </w:r>
      <w:r>
        <w:rPr>
          <w:rFonts w:hint="eastAsia" w:ascii="Times New Roman" w:hAnsi="Times New Roman" w:eastAsia="仿宋_GB2312" w:cs="Times New Roman"/>
          <w:b w:val="0"/>
          <w:bCs w:val="0"/>
          <w:sz w:val="32"/>
          <w:szCs w:val="32"/>
          <w:lang w:eastAsia="zh-CN"/>
        </w:rPr>
        <w:t>三</w:t>
      </w:r>
      <w:r>
        <w:rPr>
          <w:rFonts w:hint="eastAsia" w:ascii="Times New Roman" w:hAnsi="Times New Roman" w:eastAsia="仿宋_GB2312" w:cs="Times New Roman"/>
          <w:b w:val="0"/>
          <w:bCs w:val="0"/>
          <w:sz w:val="32"/>
          <w:szCs w:val="32"/>
        </w:rPr>
        <w:t>是强化政府信息公开力度</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eastAsia="zh-CN"/>
        </w:rPr>
        <w:t>全年</w:t>
      </w:r>
      <w:r>
        <w:rPr>
          <w:rFonts w:hint="eastAsia" w:ascii="Times New Roman" w:hAnsi="Times New Roman" w:eastAsia="仿宋_GB2312" w:cs="Times New Roman"/>
          <w:b w:val="0"/>
          <w:bCs w:val="0"/>
          <w:sz w:val="32"/>
          <w:szCs w:val="32"/>
        </w:rPr>
        <w:t>在政府网站新开辟“八大行动”等专题专栏11个。公开政府文件等政务栏目信息1348条。刊发炎陵新闻、乡镇和部门动态共2598篇。4起依申请公开事项均予以答复。</w:t>
      </w:r>
    </w:p>
    <w:p w14:paraId="5ECE23A1">
      <w:pPr>
        <w:spacing w:line="520" w:lineRule="exact"/>
        <w:ind w:firstLine="640" w:firstLineChars="200"/>
        <w:rPr>
          <w:rFonts w:eastAsia="仿宋_GB2312"/>
          <w:color w:val="auto"/>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强监管大力提升政务服务效能。</w:t>
      </w:r>
      <w:r>
        <w:rPr>
          <w:rFonts w:ascii="Times New Roman" w:hAnsi="Times New Roman" w:eastAsia="仿宋_GB2312"/>
          <w:b w:val="0"/>
          <w:bCs w:val="0"/>
          <w:sz w:val="32"/>
          <w:szCs w:val="32"/>
        </w:rPr>
        <w:t>一是</w:t>
      </w:r>
      <w:r>
        <w:rPr>
          <w:rFonts w:hint="eastAsia" w:ascii="Times New Roman" w:hAnsi="Times New Roman" w:eastAsia="仿宋_GB2312"/>
          <w:b w:val="0"/>
          <w:bCs w:val="0"/>
          <w:sz w:val="32"/>
          <w:szCs w:val="32"/>
        </w:rPr>
        <w:t>扎实</w:t>
      </w:r>
      <w:r>
        <w:rPr>
          <w:rFonts w:ascii="Times New Roman" w:hAnsi="仿宋" w:eastAsia="仿宋"/>
          <w:b w:val="0"/>
          <w:bCs w:val="0"/>
          <w:color w:val="000000"/>
          <w:sz w:val="32"/>
          <w:szCs w:val="32"/>
        </w:rPr>
        <w:t>做好行政效能监管</w:t>
      </w:r>
      <w:r>
        <w:rPr>
          <w:rFonts w:hint="eastAsia" w:ascii="Times New Roman" w:hAnsi="仿宋" w:eastAsia="仿宋"/>
          <w:b w:val="0"/>
          <w:bCs w:val="0"/>
          <w:color w:val="000000"/>
          <w:sz w:val="32"/>
          <w:szCs w:val="32"/>
        </w:rPr>
        <w:t>。</w:t>
      </w:r>
      <w:r>
        <w:rPr>
          <w:rFonts w:ascii="Times New Roman" w:hAnsi="仿宋" w:eastAsia="仿宋"/>
          <w:b w:val="0"/>
          <w:bCs w:val="0"/>
          <w:sz w:val="32"/>
          <w:szCs w:val="32"/>
        </w:rPr>
        <w:t>设立行政审批效能电子监察、好差评监督员，及时巡视和查看各项指标情况，</w:t>
      </w:r>
      <w:r>
        <w:rPr>
          <w:rFonts w:hint="eastAsia" w:ascii="Times New Roman" w:hAnsi="仿宋" w:eastAsia="仿宋"/>
          <w:b w:val="0"/>
          <w:bCs w:val="0"/>
          <w:sz w:val="32"/>
          <w:szCs w:val="32"/>
        </w:rPr>
        <w:t>确保行政效能居全市前列</w:t>
      </w:r>
      <w:r>
        <w:rPr>
          <w:rFonts w:ascii="Times New Roman" w:hAnsi="Times New Roman" w:eastAsia="仿宋_GB2312"/>
          <w:b w:val="0"/>
          <w:bCs w:val="0"/>
          <w:sz w:val="32"/>
          <w:szCs w:val="32"/>
        </w:rPr>
        <w:t>。</w:t>
      </w:r>
      <w:r>
        <w:rPr>
          <w:rFonts w:hint="eastAsia" w:ascii="仿宋_GB2312" w:hAnsi="仿宋_GB2312" w:eastAsia="仿宋_GB2312" w:cs="仿宋_GB2312"/>
          <w:b w:val="0"/>
          <w:bCs w:val="0"/>
          <w:sz w:val="32"/>
          <w:szCs w:val="32"/>
        </w:rPr>
        <w:t>二是加强电子政务外网维护。</w:t>
      </w:r>
      <w:r>
        <w:rPr>
          <w:rFonts w:hint="eastAsia" w:ascii="Times New Roman" w:hAnsi="Times New Roman" w:eastAsia="仿宋_GB2312" w:cs="Times New Roman"/>
          <w:b w:val="0"/>
          <w:bCs w:val="0"/>
          <w:sz w:val="32"/>
          <w:szCs w:val="32"/>
        </w:rPr>
        <w:t>建设</w:t>
      </w:r>
      <w:r>
        <w:rPr>
          <w:rFonts w:ascii="Times New Roman" w:hAnsi="Times New Roman" w:eastAsia="仿宋_GB2312" w:cs="Times New Roman"/>
          <w:b w:val="0"/>
          <w:bCs w:val="0"/>
          <w:sz w:val="32"/>
          <w:szCs w:val="32"/>
        </w:rPr>
        <w:t>了炎陵县电子政务外网安全防护系统（安全态势感知预警平台）威胁分析和响应一体化（TAR）平台，搭建</w:t>
      </w:r>
      <w:r>
        <w:rPr>
          <w:rFonts w:hint="eastAsia" w:ascii="Times New Roman" w:hAnsi="Times New Roman" w:eastAsia="仿宋_GB2312" w:cs="Times New Roman"/>
          <w:b w:val="0"/>
          <w:bCs w:val="0"/>
          <w:sz w:val="32"/>
          <w:szCs w:val="32"/>
        </w:rPr>
        <w:t>了</w:t>
      </w:r>
      <w:r>
        <w:rPr>
          <w:rFonts w:ascii="Times New Roman" w:hAnsi="Times New Roman" w:eastAsia="仿宋_GB2312" w:cs="Times New Roman"/>
          <w:b w:val="0"/>
          <w:bCs w:val="0"/>
          <w:sz w:val="32"/>
          <w:szCs w:val="32"/>
        </w:rPr>
        <w:t>炎陵县电子政务外网本地DNS服务器。</w:t>
      </w:r>
      <w:r>
        <w:rPr>
          <w:rFonts w:hint="eastAsia" w:ascii="仿宋_GB2312" w:hAnsi="仿宋_GB2312" w:eastAsia="仿宋_GB2312" w:cs="仿宋_GB2312"/>
          <w:b w:val="0"/>
          <w:bCs w:val="0"/>
          <w:sz w:val="32"/>
          <w:szCs w:val="32"/>
        </w:rPr>
        <w:t>三是为基层政务服务提效减负。</w:t>
      </w:r>
      <w:r>
        <w:rPr>
          <w:rFonts w:ascii="Times New Roman" w:hAnsi="Times New Roman" w:eastAsia="仿宋_GB2312" w:cs="Times New Roman"/>
          <w:b w:val="0"/>
          <w:bCs w:val="0"/>
          <w:sz w:val="32"/>
          <w:szCs w:val="32"/>
        </w:rPr>
        <w:t>乡镇本级事项的办理环节缩减率为16.39%，承诺办结时间缩减率为82.50%，村（社区）级的办理环节缩减率为38.81%，承诺办结时间缩减率为83.26%。</w:t>
      </w:r>
      <w:r>
        <w:rPr>
          <w:rFonts w:hint="eastAsia" w:ascii="仿宋_GB2312" w:hAnsi="仿宋_GB2312" w:eastAsia="仿宋_GB2312" w:cs="仿宋_GB2312"/>
          <w:b w:val="0"/>
          <w:bCs w:val="0"/>
          <w:sz w:val="32"/>
          <w:szCs w:val="32"/>
        </w:rPr>
        <w:t>四是切实抓好县长热线办理。</w:t>
      </w:r>
      <w:r>
        <w:rPr>
          <w:rFonts w:ascii="Times New Roman" w:hAnsi="Times New Roman" w:eastAsia="仿宋" w:cs="Times New Roman"/>
          <w:b w:val="0"/>
          <w:bCs w:val="0"/>
          <w:sz w:val="32"/>
          <w:szCs w:val="32"/>
        </w:rPr>
        <w:t>切实解决了一批涉及城市管理、城镇建设、民生保障等群众普遍关注的热点、难点问题。</w:t>
      </w:r>
    </w:p>
    <w:p w14:paraId="40A07C61">
      <w:pPr>
        <w:pStyle w:val="9"/>
        <w:widowControl/>
        <w:spacing w:line="520" w:lineRule="exact"/>
        <w:ind w:left="640" w:firstLine="0" w:firstLineChars="0"/>
        <w:jc w:val="left"/>
        <w:rPr>
          <w:rFonts w:ascii="Times New Roman" w:hAnsi="Times New Roman" w:eastAsia="黑体"/>
          <w:color w:val="auto"/>
          <w:sz w:val="32"/>
          <w:szCs w:val="32"/>
        </w:rPr>
      </w:pPr>
      <w:r>
        <w:rPr>
          <w:rFonts w:hint="eastAsia" w:ascii="Times New Roman" w:hAnsi="Times New Roman" w:eastAsia="黑体"/>
          <w:color w:val="auto"/>
          <w:sz w:val="32"/>
          <w:szCs w:val="32"/>
          <w:lang w:val="en-US" w:eastAsia="zh-CN"/>
        </w:rPr>
        <w:t>七</w:t>
      </w:r>
      <w:r>
        <w:rPr>
          <w:rFonts w:hint="eastAsia" w:ascii="Times New Roman" w:hAnsi="Times New Roman" w:eastAsia="黑体"/>
          <w:color w:val="auto"/>
          <w:sz w:val="32"/>
          <w:szCs w:val="32"/>
        </w:rPr>
        <w:t>、</w:t>
      </w:r>
      <w:r>
        <w:rPr>
          <w:rFonts w:ascii="Times New Roman" w:hAnsi="Times New Roman" w:eastAsia="黑体"/>
          <w:color w:val="auto"/>
          <w:sz w:val="32"/>
          <w:szCs w:val="32"/>
        </w:rPr>
        <w:t>存在的问题及原因分析</w:t>
      </w:r>
    </w:p>
    <w:p w14:paraId="18E37E91">
      <w:pPr>
        <w:widowControl/>
        <w:spacing w:line="52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根据本次绩效评价情况，存在预算绩效申报时，编制的项目自评指标体系不够精细，绩效目标不具体，绩效目标未完全细化，分解工作任务不够具体，部分绩效指标不清晰。针对上述问题，在今后的预算绩效申报时，需相关业务科室将全年工作任务细化分解为具体的工作目标，并尽量采取定量的方式制定清晰、可衡量的绩效指标，提高项目使用经济功能精确度。</w:t>
      </w:r>
    </w:p>
    <w:p w14:paraId="455796B8">
      <w:pPr>
        <w:widowControl/>
        <w:numPr>
          <w:ilvl w:val="0"/>
          <w:numId w:val="3"/>
        </w:numPr>
        <w:spacing w:line="520" w:lineRule="exact"/>
        <w:ind w:firstLine="640" w:firstLineChars="200"/>
        <w:jc w:val="left"/>
        <w:rPr>
          <w:rFonts w:eastAsia="黑体"/>
          <w:color w:val="auto"/>
          <w:sz w:val="32"/>
          <w:szCs w:val="32"/>
        </w:rPr>
      </w:pPr>
      <w:r>
        <w:rPr>
          <w:rFonts w:eastAsia="黑体"/>
          <w:color w:val="auto"/>
          <w:sz w:val="32"/>
          <w:szCs w:val="32"/>
        </w:rPr>
        <w:t>下一步改进措施</w:t>
      </w:r>
    </w:p>
    <w:p w14:paraId="3878A4F2">
      <w:pPr>
        <w:widowControl/>
        <w:spacing w:line="520" w:lineRule="exact"/>
        <w:ind w:firstLine="480" w:firstLineChars="150"/>
        <w:jc w:val="left"/>
        <w:rPr>
          <w:rFonts w:hint="eastAsia" w:ascii="仿宋_GB2312" w:hAnsi="宋体" w:eastAsia="仿宋_GB2312"/>
          <w:sz w:val="32"/>
          <w:szCs w:val="32"/>
        </w:rPr>
      </w:pPr>
      <w:r>
        <w:rPr>
          <w:rFonts w:hint="eastAsia" w:eastAsia="黑体"/>
          <w:sz w:val="32"/>
          <w:szCs w:val="32"/>
          <w:lang w:val="en-US" w:eastAsia="zh-CN"/>
        </w:rPr>
        <w:t xml:space="preserve"> </w:t>
      </w:r>
      <w:r>
        <w:rPr>
          <w:rFonts w:hint="eastAsia" w:ascii="仿宋_GB2312" w:hAnsi="宋体" w:eastAsia="仿宋_GB2312"/>
          <w:sz w:val="32"/>
          <w:szCs w:val="32"/>
        </w:rPr>
        <w:t>1.加强政策学习，提高思想认识。组织单位人员认真学习《预算法》等相关法规、制度，提高单位领导对全面预算管理的重视程度，增强财务人员的预算意识，坚持先有预算、后有支出，没有预算不得支出的支出理念。</w:t>
      </w:r>
    </w:p>
    <w:p w14:paraId="382D087D">
      <w:pPr>
        <w:widowControl/>
        <w:spacing w:line="520" w:lineRule="exact"/>
        <w:ind w:firstLine="640" w:firstLineChars="200"/>
        <w:jc w:val="left"/>
      </w:pPr>
      <w:r>
        <w:rPr>
          <w:rFonts w:hint="eastAsia" w:ascii="仿宋_GB2312" w:hAnsi="宋体" w:eastAsia="仿宋_GB2312"/>
          <w:sz w:val="32"/>
          <w:szCs w:val="32"/>
        </w:rPr>
        <w:t>2.细化预算指标，提高预算科学性。预算编制前根据年度内单位可预见的工作任务，确定单位年度预算目标，细化预算指标，科学合理编制部门预算，推进预算编制科学化、准确化。年度预算编制后，加强预算执行管理，根据实际情况，定期做好预算执行分析，掌握预算执行进度，及时找出预算实际执行情况与预算目标之间存在的差异，采取有效措施纠正偏差，提高预算执行的时效性和均衡性，同时为下一次科学、准确地编制部门预算积累经验。</w:t>
      </w:r>
    </w:p>
    <w:p w14:paraId="47BCC704">
      <w:pPr>
        <w:widowControl/>
        <w:spacing w:line="520" w:lineRule="exact"/>
        <w:ind w:firstLine="645"/>
        <w:jc w:val="left"/>
        <w:rPr>
          <w:rFonts w:eastAsia="黑体"/>
          <w:color w:val="auto"/>
          <w:sz w:val="32"/>
          <w:szCs w:val="32"/>
        </w:rPr>
      </w:pPr>
      <w:r>
        <w:rPr>
          <w:rFonts w:hint="eastAsia" w:eastAsia="黑体"/>
          <w:color w:val="auto"/>
          <w:sz w:val="32"/>
          <w:szCs w:val="32"/>
          <w:lang w:val="en-US" w:eastAsia="zh-CN"/>
        </w:rPr>
        <w:t>九</w:t>
      </w:r>
      <w:r>
        <w:rPr>
          <w:rFonts w:eastAsia="黑体"/>
          <w:color w:val="auto"/>
          <w:sz w:val="32"/>
          <w:szCs w:val="32"/>
        </w:rPr>
        <w:t>、</w:t>
      </w:r>
      <w:r>
        <w:rPr>
          <w:rFonts w:hint="eastAsia" w:eastAsia="黑体"/>
          <w:color w:val="auto"/>
          <w:sz w:val="32"/>
          <w:szCs w:val="32"/>
          <w:lang w:val="en-US" w:eastAsia="zh-CN"/>
        </w:rPr>
        <w:t>绩效自评结果及</w:t>
      </w:r>
      <w:r>
        <w:rPr>
          <w:rFonts w:eastAsia="黑体"/>
          <w:color w:val="auto"/>
          <w:sz w:val="32"/>
          <w:szCs w:val="32"/>
        </w:rPr>
        <w:t>其他需要说明的情况</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eastAsia="宋体"/>
          <w:lang w:val="en-US" w:eastAsia="zh-CN"/>
        </w:rPr>
      </w:pPr>
      <w:r>
        <w:rPr>
          <w:rFonts w:hint="eastAsia" w:eastAsia="宋体"/>
          <w:lang w:val="en-US" w:eastAsia="zh-CN"/>
        </w:rPr>
        <w:t xml:space="preserve">  </w:t>
      </w:r>
      <w:r>
        <w:rPr>
          <w:rFonts w:hint="eastAsia" w:ascii="方正仿宋_GB2312" w:hAnsi="方正仿宋_GB2312" w:eastAsia="方正仿宋_GB2312" w:cs="方正仿宋_GB2312"/>
          <w:sz w:val="32"/>
          <w:szCs w:val="32"/>
          <w:lang w:val="en-US" w:eastAsia="zh-CN"/>
        </w:rPr>
        <w:t xml:space="preserve">  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EE62AFC-9183-4BFD-A6ED-6A8CD2FDDC38}"/>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embedRegular r:id="rId2" w:fontKey="{53F979EB-FE19-4D2B-8548-A3DC809699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B0863118"/>
    <w:multiLevelType w:val="singleLevel"/>
    <w:tmpl w:val="B0863118"/>
    <w:lvl w:ilvl="0" w:tentative="0">
      <w:start w:val="8"/>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15BF56EC"/>
    <w:rsid w:val="2952743A"/>
    <w:rsid w:val="2C2359F0"/>
    <w:rsid w:val="2D855F3C"/>
    <w:rsid w:val="33F1571C"/>
    <w:rsid w:val="348E051C"/>
    <w:rsid w:val="35CB6416"/>
    <w:rsid w:val="44C328C6"/>
    <w:rsid w:val="4B4334AB"/>
    <w:rsid w:val="5403276E"/>
    <w:rsid w:val="54C57A37"/>
    <w:rsid w:val="70AB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paragraph" w:styleId="9">
    <w:name w:val="List Paragraph"/>
    <w:basedOn w:val="1"/>
    <w:qFormat/>
    <w:uiPriority w:val="99"/>
    <w:pPr>
      <w:ind w:firstLine="420" w:firstLineChars="200"/>
    </w:pPr>
    <w:rPr>
      <w:rFonts w:ascii="Calibri" w:hAnsi="Calibri" w:eastAsia="宋体" w:cs="Times New Roman"/>
      <w:szCs w:val="22"/>
    </w:rPr>
  </w:style>
  <w:style w:type="paragraph" w:customStyle="1" w:styleId="10">
    <w:name w:val="正文文字"/>
    <w:basedOn w:val="1"/>
    <w:next w:val="1"/>
    <w:qFormat/>
    <w:uiPriority w:val="99"/>
    <w:pPr>
      <w:spacing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1363</Words>
  <Characters>1445</Characters>
  <Lines>0</Lines>
  <Paragraphs>0</Paragraphs>
  <TotalTime>0</TotalTime>
  <ScaleCrop>false</ScaleCrop>
  <LinksUpToDate>false</LinksUpToDate>
  <CharactersWithSpaces>1449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标</cp:lastModifiedBy>
  <dcterms:modified xsi:type="dcterms:W3CDTF">2025-07-25T01:15:21Z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2654F1FBA21145AF998E815FE6099E90_13</vt:lpwstr>
  </property>
  <property fmtid="{D5CDD505-2E9C-101B-9397-08002B2CF9AE}" pid="4" name="KSOTemplateDocerSaveRecord">
    <vt:lpwstr>eyJoZGlkIjoiYzc2YmIzOGE3OTI3OTdhZjUxYjE5ZWRhZDc5MTI5YjEiLCJ1c2VySWQiOiIxMzE0MjYzMTY0In0=</vt:lpwstr>
  </property>
</Properties>
</file>