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943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color w:val="auto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color w:val="auto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color w:val="auto"/>
          <w:spacing w:val="14"/>
          <w:sz w:val="34"/>
          <w:szCs w:val="34"/>
          <w:lang w:val="en-US" w:eastAsia="zh-CN"/>
        </w:rPr>
        <w:t>3</w:t>
      </w:r>
    </w:p>
    <w:p w14:paraId="7457A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25B246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6011F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3675381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2024年度炎陵县信访局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整体支出绩效</w:t>
      </w:r>
    </w:p>
    <w:p w14:paraId="68E2077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报告</w:t>
      </w:r>
    </w:p>
    <w:p w14:paraId="4C59B1CC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0D5DB92F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42FED14D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2BD28FE2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4CA95C09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1694191A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6130C2FA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6C6845C9">
      <w:pPr>
        <w:spacing w:line="600" w:lineRule="exact"/>
        <w:jc w:val="center"/>
        <w:rPr>
          <w:rFonts w:eastAsia="楷体_GB2312"/>
          <w:color w:val="auto"/>
          <w:sz w:val="32"/>
          <w:szCs w:val="32"/>
        </w:rPr>
      </w:pPr>
    </w:p>
    <w:p w14:paraId="08C6E962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单位名称（盖章）：</w:t>
      </w:r>
    </w:p>
    <w:p w14:paraId="64B34D3A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10F2E4C7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0E175968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E40EA37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B1141C5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57E0EA86">
      <w:pPr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（此页为封面）</w:t>
      </w:r>
    </w:p>
    <w:p w14:paraId="19889136">
      <w:pPr>
        <w:rPr>
          <w:rFonts w:eastAsia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34E9ECAD">
      <w:pPr>
        <w:pStyle w:val="7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基本情况</w:t>
      </w:r>
    </w:p>
    <w:p w14:paraId="37729C17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基本情况</w:t>
      </w:r>
    </w:p>
    <w:p w14:paraId="709E78C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主要职能。</w:t>
      </w:r>
    </w:p>
    <w:p w14:paraId="33D4A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（一）贯彻执行党中央、国务院，省委、省政府，市委、市政府，县委、县政府有关信访工作的方针、政策，结合全县实际，拟定全县信访工作的规章、制度和工作要点，并组织实施。</w:t>
      </w:r>
    </w:p>
    <w:p w14:paraId="4DE40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承办上级机关和领导交办、批办的信访事项，检查、督促、协调处理重大信访问题；做好全县的信访维稳工作，不发生因信访问题所产生的大规模聚集上访、极端恶性事件和负面舆情炒作。办理人民群众给县委、县政府和县主要领导同志的来信。</w:t>
      </w:r>
    </w:p>
    <w:p w14:paraId="6C247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（三）接待到县委、县政府的群众来访，做好领导同志接待上访群众的服务工作。</w:t>
      </w:r>
    </w:p>
    <w:p w14:paraId="5491C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（四）掌握信访工作动态，汇集人民群众的建议、意见，及时提供信访信息，为领导决策服务。</w:t>
      </w:r>
    </w:p>
    <w:p w14:paraId="51724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（五）负责对全县信访工作的检查指导、督查督办；负责信访理论研究和全县信访干部的业务指导。</w:t>
      </w:r>
    </w:p>
    <w:p w14:paraId="387C9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（六）会同有关部门，对重大信访事项的渎职失职部门或人员，提出处理意见。</w:t>
      </w:r>
    </w:p>
    <w:p w14:paraId="793E4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（七）承办上级交办的其他工作。</w:t>
      </w:r>
    </w:p>
    <w:p w14:paraId="5D82B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2.机构情况。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根据“三定”文件，炎陵县信访局内设办公室、政策法规股（督察股）、办信股3个股室和1个下属非独立核算的公益一类事业单位，即炎陵县信访接待中心。</w:t>
      </w:r>
    </w:p>
    <w:p w14:paraId="3C23E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3.人员情况。炎陵县信访局拥有编制12人，其中行政编6人，事业编6人。年初在职在岗人数11人，9月公务员退休1人；年末在职在岗10人，其中行政编4人，事业编6人。</w:t>
      </w:r>
    </w:p>
    <w:p w14:paraId="5428F68D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157ABF50">
      <w:pPr>
        <w:pStyle w:val="7"/>
        <w:widowControl/>
        <w:numPr>
          <w:numId w:val="0"/>
        </w:numPr>
        <w:spacing w:line="520" w:lineRule="exact"/>
        <w:ind w:firstLine="960" w:firstLineChars="300"/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1.单位年度整体支出绩效目标。一是做好全县信访事项和群众的接待、交办、跟踪、督导工作，保证及时解决群众信访问题，推动信访突出问题排查化解，维护群众合法权益，促进社会和谐稳定；二是做好全年各特护期信访维稳工作，保障特护期期间全县域内无信访事项引发的各类问题；三是持续推动信访法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治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化建设，提高信访事项办理规范化水平，推动全县信访干部信访业务水平提升；四是坚持和发展新时代“枫桥经验”，充分发挥基层信访工作活力，依靠和发动群众依法及时就地解决矛盾纠纷。</w:t>
      </w:r>
    </w:p>
    <w:p w14:paraId="5BF9BFEF">
      <w:pPr>
        <w:pStyle w:val="7"/>
        <w:widowControl/>
        <w:numPr>
          <w:ilvl w:val="0"/>
          <w:numId w:val="0"/>
        </w:numPr>
        <w:spacing w:line="520" w:lineRule="exact"/>
        <w:ind w:firstLine="1280" w:firstLineChars="400"/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2.专项资金绩效目标。</w:t>
      </w:r>
    </w:p>
    <w:p w14:paraId="2C8EFEA2">
      <w:pPr>
        <w:pStyle w:val="7"/>
        <w:widowControl/>
        <w:numPr>
          <w:ilvl w:val="0"/>
          <w:numId w:val="0"/>
        </w:numPr>
        <w:spacing w:line="520" w:lineRule="exact"/>
        <w:ind w:firstLine="960" w:firstLineChars="300"/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（1）信访维稳专项。一是做好全县的信访维稳工作，保证无因信访问题引发的大规模聚集上访、极端恶性事件和负面舆情炒作。二是实现特护期信访工作“零集访、零非访、零滋事、零违纪、零通报”的工作目标。</w:t>
      </w:r>
    </w:p>
    <w:p w14:paraId="67AB5C02">
      <w:pPr>
        <w:pStyle w:val="7"/>
        <w:widowControl/>
        <w:numPr>
          <w:ilvl w:val="0"/>
          <w:numId w:val="0"/>
        </w:numPr>
        <w:spacing w:line="520" w:lineRule="exact"/>
        <w:ind w:firstLine="960" w:firstLineChars="300"/>
        <w:rPr>
          <w:rFonts w:hint="default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（2）社会风险防控“N合一”机制专项经费。一是加强对全县社会风险的排查，做好核实工作；二是对突发事件进行预警和处置；推动风险事项的源头管控与化解；三是提高全县对于社会风险的防范与协调能力；四是对社会风险进行综合治理，及时处置突发事件。做好特护期防控及到市赴省进京的稳控工作。</w:t>
      </w:r>
    </w:p>
    <w:p w14:paraId="0C8BDE37">
      <w:pPr>
        <w:pStyle w:val="7"/>
        <w:widowControl/>
        <w:spacing w:line="520" w:lineRule="exact"/>
        <w:ind w:left="640" w:firstLine="0" w:firstLineChars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</w:t>
      </w:r>
      <w:r>
        <w:rPr>
          <w:rFonts w:ascii="Times New Roman" w:hAnsi="Times New Roman" w:eastAsia="黑体"/>
          <w:color w:val="auto"/>
          <w:sz w:val="32"/>
          <w:szCs w:val="32"/>
        </w:rPr>
        <w:t>一般公共预算支出情况</w:t>
      </w:r>
    </w:p>
    <w:p w14:paraId="75491AB2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（一）基本支出情况</w:t>
      </w:r>
    </w:p>
    <w:p w14:paraId="0F0A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全年支出总计2965263.55元，均为基本支出。其中工资福利支出1407274.29元，占总支出的比重为47.46%；商品和服务支出1481089.26元，占总支出的比重为49.95%；对个人和家庭的补助76900元（包含信访救助金40000元），占总支出的比重为2.6%。工资福利支出与商品和服务支出基本持平。与2023年相比，工资福利支出金额和商品和服务支出金额均有所下降，主要是本年度有退休人员存在，降低了工资福利方面的支出；以及厉行节约，降低了机关日常运转中花费；对个人和家庭的补助金额和占比也有所下降，主要是相关业务的减少。</w:t>
      </w:r>
    </w:p>
    <w:p w14:paraId="68F713A2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（二）项目支出情况</w:t>
      </w:r>
    </w:p>
    <w:p w14:paraId="63B1662E">
      <w:pPr>
        <w:widowControl/>
        <w:spacing w:line="52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1.信访维稳专项。年初安排资金50万元，实际支出50万元。主要用于信访局信访事项的维稳，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主要支出为确保信访业务正常开展的差旅、会议、用餐、办公等相关费用。</w:t>
      </w:r>
    </w:p>
    <w:p w14:paraId="02B15259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社会风险防控“N合一”机制专项经费</w:t>
      </w:r>
      <w:r>
        <w:rPr>
          <w:rFonts w:hint="eastAsia" w:ascii="仿宋_GB2312" w:hAnsi="仿宋" w:cs="Arial"/>
          <w:snapToGrid w:val="0"/>
          <w:color w:val="auto"/>
          <w:kern w:val="0"/>
          <w:sz w:val="32"/>
          <w:szCs w:val="32"/>
          <w:lang w:val="en-US" w:eastAsia="zh-CN" w:bidi="ar-SA"/>
        </w:rPr>
        <w:t>。年初预算88万元，实际支出71.91万元。主要用于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“N合一”指挥部办公室的日常支出，如差旅费、重点信访人员维稳费用</w:t>
      </w:r>
      <w:r>
        <w:rPr>
          <w:rFonts w:hint="eastAsia" w:ascii="仿宋_GB2312" w:hAnsi="仿宋" w:cs="Arial"/>
          <w:snapToGrid w:val="0"/>
          <w:color w:val="auto"/>
          <w:kern w:val="0"/>
          <w:sz w:val="32"/>
          <w:szCs w:val="32"/>
          <w:lang w:val="en-US" w:eastAsia="zh-CN" w:bidi="ar-SA"/>
        </w:rPr>
        <w:t>、会议费</w:t>
      </w:r>
      <w:r>
        <w:rPr>
          <w:rFonts w:hint="eastAsia" w:ascii="仿宋_GB2312" w:hAnsi="仿宋" w:eastAsia="仿宋_GB2312" w:cs="Arial"/>
          <w:snapToGrid w:val="0"/>
          <w:color w:val="auto"/>
          <w:kern w:val="0"/>
          <w:sz w:val="32"/>
          <w:szCs w:val="32"/>
          <w:lang w:val="en-US" w:eastAsia="zh-CN" w:bidi="ar-SA"/>
        </w:rPr>
        <w:t>等；对在社会治理风险防控中表现的突出的乡镇、县直单位进行奖励。</w:t>
      </w:r>
    </w:p>
    <w:p w14:paraId="18F4CC46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</w:t>
      </w:r>
      <w:r>
        <w:rPr>
          <w:rFonts w:ascii="Times New Roman" w:hAnsi="Times New Roman" w:eastAsia="黑体"/>
          <w:color w:val="auto"/>
          <w:sz w:val="32"/>
          <w:szCs w:val="32"/>
        </w:rPr>
        <w:t>政府性基金预算支出情况</w:t>
      </w:r>
    </w:p>
    <w:p w14:paraId="66F13D7A">
      <w:pPr>
        <w:pStyle w:val="7"/>
        <w:widowControl/>
        <w:spacing w:line="520" w:lineRule="exact"/>
        <w:ind w:left="640" w:firstLine="0" w:firstLineChars="0"/>
        <w:jc w:val="left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eastAsia="zh-CN"/>
        </w:rPr>
        <w:t>无。</w:t>
      </w:r>
    </w:p>
    <w:p w14:paraId="339E9750">
      <w:pPr>
        <w:pStyle w:val="7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四、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国有资本经营预算支出情况</w:t>
      </w:r>
    </w:p>
    <w:p w14:paraId="6F519D1F">
      <w:pPr>
        <w:pStyle w:val="7"/>
        <w:widowControl/>
        <w:spacing w:line="520" w:lineRule="exact"/>
        <w:ind w:left="640" w:firstLine="0" w:firstLineChars="0"/>
        <w:jc w:val="left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07256737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color w:val="auto"/>
          <w:sz w:val="32"/>
          <w:szCs w:val="32"/>
        </w:rPr>
        <w:t>社会保险基金预算支出情况</w:t>
      </w:r>
    </w:p>
    <w:p w14:paraId="7747772B">
      <w:pPr>
        <w:widowControl/>
        <w:spacing w:line="520" w:lineRule="exact"/>
        <w:ind w:firstLine="645"/>
        <w:jc w:val="left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76899866">
      <w:pPr>
        <w:widowControl/>
        <w:spacing w:line="520" w:lineRule="exact"/>
        <w:ind w:firstLine="645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六</w:t>
      </w:r>
      <w:r>
        <w:rPr>
          <w:rFonts w:eastAsia="黑体"/>
          <w:color w:val="auto"/>
          <w:sz w:val="32"/>
          <w:szCs w:val="32"/>
        </w:rPr>
        <w:t>、部门整体支出绩效情况</w:t>
      </w:r>
    </w:p>
    <w:p w14:paraId="50538E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目标达成情况：截止到2024年年年底，县信访局已经全部完成年初预定的绩效目标，全县信访工作稳步推进，没有出现因信访问题引发的大规模聚集上访，极端恶性事件和负面舆情炒作。特护期各项信访工作完成预期目标。</w:t>
      </w:r>
    </w:p>
    <w:p w14:paraId="652DEB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预算执行情况：2024年，县信访局总计支出296.53万元，圆满完成了年初制定的预算目标。</w:t>
      </w:r>
    </w:p>
    <w:p w14:paraId="3677FE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产出成效：全县信访形势总体良好，信访人的稳控与信访事件的处理均到位，全年度未出现因信访问题导致的各类恶性事件。</w:t>
      </w:r>
    </w:p>
    <w:p w14:paraId="328E17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社会效益：一是促进了社会公平正义，促进了社会矛盾的的解决；二是增加了政府公信力，让群众切实感觉到了政府对于解决问题的态度；三是维护了社会稳定和谐，促进了社会和谐发展。</w:t>
      </w:r>
    </w:p>
    <w:p w14:paraId="3C2B6F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lang w:val="en-US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服务对象满意度：根据统计，2024年，服务对象满意率约为95%，超过年初预期的90%。</w:t>
      </w:r>
    </w:p>
    <w:p w14:paraId="46504A09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ascii="Times New Roman" w:hAnsi="Times New Roman" w:eastAsia="黑体"/>
          <w:color w:val="auto"/>
          <w:sz w:val="32"/>
          <w:szCs w:val="32"/>
        </w:rPr>
        <w:t>存在的问题及原因分析</w:t>
      </w:r>
    </w:p>
    <w:p w14:paraId="6F29C681">
      <w:pPr>
        <w:widowControl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21"/>
          <w:lang w:val="en-US" w:eastAsia="zh-CN" w:bidi="ar-SA"/>
        </w:rPr>
        <w:t>（一）存在的问题。一是年初预算的制定不够准确，存在对于部分临时性、一次性支出把握不准的问题，如临时特护期相关费用；二是对于极少数不稳定因素，在管控方面，还存在掌握信息略有滞后等问题。</w:t>
      </w:r>
    </w:p>
    <w:p w14:paraId="705E1609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21"/>
          <w:lang w:val="en-US" w:eastAsia="zh-CN" w:bidi="ar-SA"/>
        </w:rPr>
        <w:t>（二）原因分析。一是制定年初预算时，对于次年的部分维稳事项无法做到合理预计；二是对本年度资金的规划和使用还有待提高。</w:t>
      </w:r>
    </w:p>
    <w:p w14:paraId="0ABB9CC8">
      <w:pPr>
        <w:widowControl/>
        <w:spacing w:line="520" w:lineRule="exact"/>
        <w:ind w:firstLine="640" w:firstLineChars="20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八</w:t>
      </w:r>
      <w:r>
        <w:rPr>
          <w:rFonts w:eastAsia="黑体"/>
          <w:color w:val="auto"/>
          <w:sz w:val="32"/>
          <w:szCs w:val="32"/>
        </w:rPr>
        <w:t>、下一步改进措施</w:t>
      </w:r>
    </w:p>
    <w:p w14:paraId="15AC893B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提高预算制定水平，对全年支出有更合理的规划和使用。二是提高同其他部门的协调能力，加强对信访事件的处理能力。三是灵活运用信访联席会议等方式，加强对不稳定因素处理的能力。四是继续加强单位内控制度的实施，保障资金的使用在合理合规范围之内。</w:t>
      </w:r>
    </w:p>
    <w:p w14:paraId="265A6900">
      <w:pPr>
        <w:widowControl/>
        <w:numPr>
          <w:ilvl w:val="0"/>
          <w:numId w:val="4"/>
        </w:numPr>
        <w:spacing w:line="520" w:lineRule="exact"/>
        <w:ind w:firstLine="645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绩效自评结果及</w:t>
      </w:r>
      <w:r>
        <w:rPr>
          <w:rFonts w:eastAsia="黑体"/>
          <w:color w:val="auto"/>
          <w:sz w:val="32"/>
          <w:szCs w:val="32"/>
        </w:rPr>
        <w:t>其他需要说明的情况</w:t>
      </w:r>
    </w:p>
    <w:p w14:paraId="15B46C07">
      <w:pPr>
        <w:pStyle w:val="2"/>
        <w:numPr>
          <w:ilvl w:val="0"/>
          <w:numId w:val="0"/>
        </w:numPr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无。</w:t>
      </w:r>
    </w:p>
    <w:p w14:paraId="295B6F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color w:val="auto"/>
        </w:rPr>
      </w:pPr>
    </w:p>
    <w:p w14:paraId="07907D3A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2DF8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D9A7507C"/>
    <w:multiLevelType w:val="singleLevel"/>
    <w:tmpl w:val="D9A7507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FE2BD1"/>
    <w:multiLevelType w:val="singleLevel"/>
    <w:tmpl w:val="E6FE2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38FA"/>
    <w:rsid w:val="049D275A"/>
    <w:rsid w:val="1F47EEFC"/>
    <w:rsid w:val="1FFF983A"/>
    <w:rsid w:val="23DC3288"/>
    <w:rsid w:val="28C338FA"/>
    <w:rsid w:val="373FF789"/>
    <w:rsid w:val="4FFFEC0E"/>
    <w:rsid w:val="50FF6A12"/>
    <w:rsid w:val="567B9A1C"/>
    <w:rsid w:val="57FD5946"/>
    <w:rsid w:val="5DCBAD87"/>
    <w:rsid w:val="6BEA1E2B"/>
    <w:rsid w:val="6F585FA4"/>
    <w:rsid w:val="6FF7C6E5"/>
    <w:rsid w:val="7421105E"/>
    <w:rsid w:val="77AE4014"/>
    <w:rsid w:val="7F7B00C9"/>
    <w:rsid w:val="7FE5F307"/>
    <w:rsid w:val="96FF9588"/>
    <w:rsid w:val="9FFE7D91"/>
    <w:rsid w:val="B4DF5894"/>
    <w:rsid w:val="B97F660F"/>
    <w:rsid w:val="BDD296ED"/>
    <w:rsid w:val="BE7E6495"/>
    <w:rsid w:val="BFAF49A2"/>
    <w:rsid w:val="CFDF8B1C"/>
    <w:rsid w:val="D1EBF326"/>
    <w:rsid w:val="DC7BA4CD"/>
    <w:rsid w:val="DEF1A745"/>
    <w:rsid w:val="DFFEE5C0"/>
    <w:rsid w:val="ED6B219D"/>
    <w:rsid w:val="EE5E9C80"/>
    <w:rsid w:val="F5BEE3FB"/>
    <w:rsid w:val="F77DE48F"/>
    <w:rsid w:val="FDD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2238</Words>
  <Characters>2325</Characters>
  <Lines>0</Lines>
  <Paragraphs>0</Paragraphs>
  <TotalTime>10</TotalTime>
  <ScaleCrop>false</ScaleCrop>
  <LinksUpToDate>false</LinksUpToDate>
  <CharactersWithSpaces>2329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2025-07-25T19:11:00Z</dcterms:created>
  <dc:creator>Administrator</dc:creator>
  <cp:lastModifiedBy>greatwall</cp:lastModifiedBy>
  <dcterms:modified xsi:type="dcterms:W3CDTF">2025-07-30T10:42:33Z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B27BBCD843A3404C8CEEEE8028AAEA86_13</vt:lpwstr>
  </property>
  <property fmtid="{D5CDD505-2E9C-101B-9397-08002B2CF9AE}" pid="4" name="KSOTemplateDocerSaveRecord">
    <vt:lpwstr>eyJoZGlkIjoiMTQyYTIzNjY3MWIzZWYyYzM0MjQ5ODk0NjZiMTlkZmIiLCJ1c2VySWQiOiIzMDA1NjM4NDQifQ==</vt:lpwstr>
  </property>
</Properties>
</file>