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5114F30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2024年度中共炎陵县委办公室</w:t>
      </w: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中共炎陵县委办公室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770D6AE2">
      <w:pPr>
        <w:pStyle w:val="6"/>
        <w:widowControl/>
        <w:numPr>
          <w:ilvl w:val="0"/>
          <w:numId w:val="0"/>
        </w:numPr>
        <w:spacing w:line="520" w:lineRule="exact"/>
        <w:ind w:left="630" w:leftChars="0" w:firstLine="960" w:firstLine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eastAsia="zh-CN"/>
        </w:rPr>
        <w:t>负责县委日常文书的处理、县委领导同志公务活动的组织安排、县委各类会议的组织工作;负责县委文件、文稿的起草、批办、审核和印发工作;围绕县委中心工作开展调查研究;负责全县绩效评估工作的组织实施；负责中央、省、市、县重大方针政策、重要工作部署落实情况的督促检查，做好领导重要批示件、群众反映的突出问题的查办工作;负责全县党政密码通信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中共炎陵县委办公室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69A5609A">
      <w:pPr>
        <w:pStyle w:val="6"/>
        <w:spacing w:line="520" w:lineRule="exact"/>
        <w:ind w:left="640" w:firstLine="640" w:firstLineChars="200"/>
        <w:rPr>
          <w:rFonts w:ascii="Arial" w:hAnsi="Arial" w:eastAsia="仿宋_GB2312" w:cs="Arial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  <w:lang w:eastAsia="zh-CN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804.52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元，其中，一般公共服务支出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656.52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62.99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31.73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hint="eastAsia" w:eastAsia="仿宋_GB2312"/>
          <w:sz w:val="32"/>
          <w:szCs w:val="32"/>
          <w:lang w:eastAsia="zh-CN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46.52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元。</w:t>
      </w:r>
    </w:p>
    <w:p w14:paraId="7C11EFB6">
      <w:pPr>
        <w:pStyle w:val="6"/>
        <w:widowControl/>
        <w:spacing w:line="520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  <w:bookmarkStart w:id="0" w:name="_GoBack"/>
      <w:bookmarkEnd w:id="0"/>
    </w:p>
    <w:p w14:paraId="7AC34448">
      <w:pPr>
        <w:widowControl/>
        <w:spacing w:line="520" w:lineRule="exact"/>
        <w:ind w:firstLine="1280" w:firstLineChars="4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本单位无项目支出</w:t>
      </w:r>
      <w:r>
        <w:rPr>
          <w:rFonts w:eastAsia="仿宋_GB2312"/>
          <w:sz w:val="32"/>
          <w:szCs w:val="32"/>
        </w:rPr>
        <w:t>。</w:t>
      </w:r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59EA1022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 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本单位无政府性基金预算支出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。</w:t>
      </w:r>
    </w:p>
    <w:p w14:paraId="216101D4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4693A1B8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本单位无国有资本经营预算支出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。</w:t>
      </w:r>
    </w:p>
    <w:p w14:paraId="690EE68D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CDFF522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本单位无社会保险基金预算支出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3AA49AA3">
      <w:pPr>
        <w:widowControl/>
        <w:spacing w:line="520" w:lineRule="exact"/>
        <w:ind w:firstLine="1302" w:firstLineChars="407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本部门“四本预算”支出的绩效目标完成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100%</w:t>
      </w:r>
      <w:r>
        <w:rPr>
          <w:rFonts w:eastAsia="仿宋_GB2312"/>
          <w:color w:val="000000"/>
          <w:sz w:val="32"/>
          <w:szCs w:val="32"/>
        </w:rPr>
        <w:t>，实现产出和取得效益的情况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很好</w:t>
      </w:r>
      <w:r>
        <w:rPr>
          <w:rFonts w:eastAsia="仿宋_GB2312"/>
          <w:color w:val="000000"/>
          <w:sz w:val="32"/>
          <w:szCs w:val="32"/>
        </w:rPr>
        <w:t>。围绕部门职责、行业发展规划，以预算资金管理为主线，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严格按照</w:t>
      </w:r>
      <w:r>
        <w:rPr>
          <w:rFonts w:eastAsia="仿宋_GB2312"/>
          <w:color w:val="000000"/>
          <w:sz w:val="32"/>
          <w:szCs w:val="32"/>
        </w:rPr>
        <w:t>部门资产管理和开展业务，从运行成本、管理效率、履职效能、社会效应、可持续发展能力和服务对象满意度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100%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/>
          <w:sz w:val="32"/>
          <w:szCs w:val="32"/>
          <w:lang w:eastAsia="zh-CN"/>
        </w:rPr>
        <w:t>部门整体及核心业务实施效果。</w:t>
      </w:r>
      <w:r>
        <w:rPr>
          <w:rFonts w:hint="eastAsia" w:eastAsia="仿宋_GB2312"/>
          <w:sz w:val="32"/>
          <w:szCs w:val="32"/>
        </w:rPr>
        <w:t>确保重点工作落到实处</w:t>
      </w:r>
      <w:r>
        <w:rPr>
          <w:rFonts w:eastAsia="仿宋_GB2312"/>
          <w:sz w:val="32"/>
          <w:szCs w:val="32"/>
          <w:lang w:eastAsia="zh-CN"/>
        </w:rPr>
        <w:t>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F227A28">
      <w:pPr>
        <w:widowControl/>
        <w:spacing w:line="520" w:lineRule="exact"/>
        <w:ind w:firstLine="1280" w:firstLineChars="4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7A255F71">
      <w:pPr>
        <w:widowControl/>
        <w:numPr>
          <w:ilvl w:val="0"/>
          <w:numId w:val="0"/>
        </w:numPr>
        <w:spacing w:line="520" w:lineRule="exact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    无。</w:t>
      </w:r>
    </w:p>
    <w:p w14:paraId="47BCC704">
      <w:pPr>
        <w:widowControl/>
        <w:numPr>
          <w:ilvl w:val="0"/>
          <w:numId w:val="3"/>
        </w:numPr>
        <w:spacing w:line="52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23AE0433">
      <w:pPr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  无。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ED99A2DF"/>
    <w:multiLevelType w:val="singleLevel"/>
    <w:tmpl w:val="ED99A2D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3CF3CD7"/>
    <w:rsid w:val="15BF56EC"/>
    <w:rsid w:val="35CB6416"/>
    <w:rsid w:val="44506454"/>
    <w:rsid w:val="4B4334AB"/>
    <w:rsid w:val="5403276E"/>
    <w:rsid w:val="54C57A37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666</Characters>
  <Lines>0</Lines>
  <Paragraphs>0</Paragraphs>
  <TotalTime>0</TotalTime>
  <ScaleCrop>false</ScaleCrop>
  <LinksUpToDate>false</LinksUpToDate>
  <CharactersWithSpaces>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WPS_1676884730</cp:lastModifiedBy>
  <dcterms:modified xsi:type="dcterms:W3CDTF">2025-07-29T09:57:44Z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eyJoZGlkIjoiNTRmOWU0M2I3OTkwOWQ1ZjRmZDZlNTQ0OGFmYzE0MWUiLCJ1c2VySWQiOiIxNDc1ODEyOTk3In0=</vt:lpwstr>
  </property>
</Properties>
</file>