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3182B">
      <w:pPr>
        <w:ind w:firstLine="720"/>
        <w:rPr>
          <w:rFonts w:eastAsia="仿宋_GB2312"/>
          <w:snapToGrid w:val="0"/>
          <w:color w:val="auto"/>
          <w:kern w:val="0"/>
          <w:sz w:val="36"/>
          <w:szCs w:val="36"/>
        </w:rPr>
      </w:pPr>
    </w:p>
    <w:p w14:paraId="3CBFDD1F">
      <w:pPr>
        <w:ind w:firstLine="720"/>
        <w:rPr>
          <w:rFonts w:eastAsia="仿宋_GB2312"/>
          <w:snapToGrid w:val="0"/>
          <w:color w:val="auto"/>
          <w:kern w:val="0"/>
          <w:sz w:val="36"/>
          <w:szCs w:val="36"/>
        </w:rPr>
      </w:pPr>
    </w:p>
    <w:p w14:paraId="579C34EA">
      <w:pPr>
        <w:ind w:firstLine="720"/>
        <w:rPr>
          <w:rFonts w:eastAsia="仿宋_GB2312"/>
          <w:snapToGrid w:val="0"/>
          <w:color w:val="auto"/>
          <w:kern w:val="0"/>
          <w:sz w:val="36"/>
          <w:szCs w:val="36"/>
        </w:rPr>
      </w:pPr>
    </w:p>
    <w:p w14:paraId="6F43157A">
      <w:pPr>
        <w:ind w:firstLine="720"/>
        <w:rPr>
          <w:rFonts w:eastAsia="仿宋_GB2312"/>
          <w:snapToGrid w:val="0"/>
          <w:color w:val="auto"/>
          <w:kern w:val="0"/>
          <w:sz w:val="36"/>
          <w:szCs w:val="36"/>
        </w:rPr>
      </w:pPr>
    </w:p>
    <w:p w14:paraId="3C9BB939">
      <w:pPr>
        <w:ind w:firstLine="720"/>
        <w:rPr>
          <w:rFonts w:eastAsia="仿宋_GB2312"/>
          <w:snapToGrid w:val="0"/>
          <w:color w:val="auto"/>
          <w:kern w:val="0"/>
          <w:sz w:val="36"/>
          <w:szCs w:val="36"/>
        </w:rPr>
      </w:pPr>
    </w:p>
    <w:p w14:paraId="1CCE7850">
      <w:pPr>
        <w:adjustRightInd w:val="0"/>
        <w:snapToGrid w:val="0"/>
        <w:spacing w:beforeLines="0" w:afterLines="0"/>
        <w:jc w:val="center"/>
        <w:outlineLvl w:val="9"/>
        <w:rPr>
          <w:rFonts w:hint="eastAsia" w:ascii="方正小标宋_GBK" w:eastAsia="方正小标宋_GBK"/>
          <w:color w:val="auto"/>
          <w:sz w:val="72"/>
        </w:rPr>
      </w:pPr>
      <w:bookmarkStart w:id="0" w:name="_Toc30809"/>
      <w:bookmarkStart w:id="1" w:name="_Toc72704838"/>
      <w:r>
        <w:rPr>
          <w:rFonts w:hint="eastAsia" w:ascii="方正小标宋_GBK" w:eastAsia="方正小标宋_GBK"/>
          <w:color w:val="auto"/>
          <w:sz w:val="72"/>
        </w:rPr>
        <w:t>建设项目环境影响报告表</w:t>
      </w:r>
      <w:bookmarkEnd w:id="0"/>
    </w:p>
    <w:p w14:paraId="4359EDA6">
      <w:pPr>
        <w:adjustRightInd w:val="0"/>
        <w:snapToGrid w:val="0"/>
        <w:spacing w:before="192" w:beforeLines="80" w:afterLines="0"/>
        <w:jc w:val="center"/>
        <w:rPr>
          <w:rFonts w:hint="eastAsia" w:ascii="楷体_GB2312" w:eastAsia="楷体_GB2312"/>
          <w:color w:val="auto"/>
          <w:sz w:val="48"/>
        </w:rPr>
      </w:pPr>
      <w:r>
        <w:rPr>
          <w:rFonts w:hint="eastAsia" w:ascii="楷体_GB2312" w:eastAsia="楷体_GB2312"/>
          <w:color w:val="auto"/>
          <w:sz w:val="48"/>
        </w:rPr>
        <w:t>（污染影响类）</w:t>
      </w:r>
    </w:p>
    <w:p w14:paraId="4E38183B">
      <w:pPr>
        <w:adjustRightInd w:val="0"/>
        <w:snapToGrid w:val="0"/>
        <w:spacing w:before="192" w:beforeLines="80" w:afterLines="0"/>
        <w:jc w:val="center"/>
        <w:rPr>
          <w:rFonts w:hint="eastAsia" w:ascii="楷体_GB2312" w:eastAsia="楷体_GB2312"/>
          <w:color w:val="auto"/>
          <w:sz w:val="48"/>
          <w:lang w:val="en-US" w:eastAsia="zh-CN"/>
        </w:rPr>
      </w:pPr>
      <w:r>
        <w:rPr>
          <w:rFonts w:hint="eastAsia" w:ascii="楷体_GB2312" w:eastAsia="楷体_GB2312"/>
          <w:color w:val="auto"/>
          <w:sz w:val="48"/>
          <w:lang w:val="en-US" w:eastAsia="zh-CN"/>
        </w:rPr>
        <w:t xml:space="preserve"> </w:t>
      </w:r>
    </w:p>
    <w:p w14:paraId="66E2D9E9">
      <w:pPr>
        <w:adjustRightInd w:val="0"/>
        <w:snapToGrid w:val="0"/>
        <w:spacing w:beforeLines="0" w:afterLines="0" w:line="288" w:lineRule="auto"/>
        <w:jc w:val="center"/>
        <w:outlineLvl w:val="9"/>
        <w:rPr>
          <w:rFonts w:hint="eastAsia" w:ascii="华文仿宋" w:hAnsi="华文仿宋" w:eastAsia="华文仿宋"/>
          <w:color w:val="auto"/>
          <w:kern w:val="44"/>
          <w:sz w:val="44"/>
        </w:rPr>
      </w:pPr>
    </w:p>
    <w:p w14:paraId="44704F25">
      <w:pPr>
        <w:spacing w:beforeLines="0" w:afterLines="0"/>
        <w:jc w:val="center"/>
        <w:outlineLvl w:val="9"/>
        <w:rPr>
          <w:rFonts w:hint="eastAsia"/>
          <w:color w:val="auto"/>
          <w:sz w:val="52"/>
        </w:rPr>
      </w:pPr>
    </w:p>
    <w:p w14:paraId="52D77693">
      <w:pPr>
        <w:spacing w:beforeLines="0" w:afterLines="0"/>
        <w:ind w:firstLine="1040"/>
        <w:outlineLvl w:val="9"/>
        <w:rPr>
          <w:rFonts w:hint="eastAsia"/>
          <w:color w:val="auto"/>
          <w:sz w:val="44"/>
        </w:rPr>
      </w:pPr>
    </w:p>
    <w:p w14:paraId="3684947D">
      <w:pPr>
        <w:spacing w:beforeLines="0" w:afterLines="0"/>
        <w:ind w:firstLine="1040"/>
        <w:outlineLvl w:val="9"/>
        <w:rPr>
          <w:rFonts w:hint="eastAsia"/>
          <w:color w:val="auto"/>
          <w:sz w:val="44"/>
        </w:rPr>
      </w:pPr>
    </w:p>
    <w:p w14:paraId="08ACA575">
      <w:pPr>
        <w:spacing w:beforeLines="0" w:afterLines="0"/>
        <w:ind w:firstLine="1040"/>
        <w:outlineLvl w:val="9"/>
        <w:rPr>
          <w:rFonts w:hint="eastAsia"/>
          <w:color w:val="auto"/>
          <w:sz w:val="44"/>
        </w:rPr>
      </w:pPr>
    </w:p>
    <w:p w14:paraId="25736004">
      <w:pPr>
        <w:adjustRightInd w:val="0"/>
        <w:snapToGrid w:val="0"/>
        <w:spacing w:beforeLines="0" w:afterLines="0" w:line="288" w:lineRule="auto"/>
        <w:ind w:firstLine="1040"/>
        <w:rPr>
          <w:rFonts w:hint="eastAsia" w:ascii="仿宋_GB2312" w:eastAsia="仿宋_GB2312"/>
          <w:color w:val="auto"/>
          <w:sz w:val="36"/>
          <w:highlight w:val="yellow"/>
          <w:u w:val="single"/>
          <w:lang w:eastAsia="zh-CN"/>
        </w:rPr>
      </w:pPr>
      <w:r>
        <w:rPr>
          <w:rFonts w:hint="eastAsia" w:ascii="仿宋_GB2312" w:eastAsia="仿宋_GB2312"/>
          <w:color w:val="auto"/>
          <w:sz w:val="36"/>
        </w:rPr>
        <w:t>项目名称：</w:t>
      </w:r>
      <w:r>
        <w:rPr>
          <w:rFonts w:hint="eastAsia" w:ascii="仿宋_GB2312" w:eastAsia="仿宋_GB2312"/>
          <w:color w:val="auto"/>
          <w:sz w:val="36"/>
          <w:highlight w:val="none"/>
          <w:u w:val="single"/>
          <w:lang w:eastAsia="zh-CN"/>
        </w:rPr>
        <w:t>醴陵市浦诺森自动化设备有限公司机械加工项目</w:t>
      </w:r>
    </w:p>
    <w:p w14:paraId="7ADAB581">
      <w:pPr>
        <w:adjustRightInd w:val="0"/>
        <w:snapToGrid w:val="0"/>
        <w:spacing w:beforeLines="0" w:afterLines="0" w:line="288" w:lineRule="auto"/>
        <w:ind w:firstLine="720" w:firstLineChars="200"/>
        <w:rPr>
          <w:rFonts w:hint="eastAsia" w:ascii="仿宋_GB2312" w:eastAsia="仿宋_GB2312"/>
          <w:color w:val="auto"/>
          <w:sz w:val="36"/>
          <w:u w:val="single"/>
          <w:lang w:eastAsia="zh-CN"/>
        </w:rPr>
      </w:pPr>
      <w:r>
        <w:rPr>
          <w:rFonts w:hint="eastAsia" w:ascii="仿宋_GB2312" w:eastAsia="仿宋_GB2312"/>
          <w:color w:val="auto"/>
          <w:sz w:val="36"/>
        </w:rPr>
        <w:t>建设单位</w:t>
      </w:r>
      <w:r>
        <w:rPr>
          <w:rFonts w:hint="eastAsia" w:ascii="仿宋_GB2312" w:eastAsia="仿宋_GB2312"/>
          <w:color w:val="auto"/>
          <w:sz w:val="36"/>
          <w:lang w:val="en-US" w:eastAsia="zh-CN"/>
        </w:rPr>
        <w:t>(</w:t>
      </w:r>
      <w:r>
        <w:rPr>
          <w:rFonts w:hint="eastAsia" w:ascii="仿宋_GB2312" w:eastAsia="仿宋_GB2312"/>
          <w:color w:val="auto"/>
          <w:sz w:val="36"/>
        </w:rPr>
        <w:t>盖章</w:t>
      </w:r>
      <w:r>
        <w:rPr>
          <w:rFonts w:hint="eastAsia" w:ascii="仿宋_GB2312" w:eastAsia="仿宋_GB2312"/>
          <w:color w:val="auto"/>
          <w:sz w:val="36"/>
          <w:lang w:val="en-US" w:eastAsia="zh-CN"/>
        </w:rPr>
        <w:t>)</w:t>
      </w:r>
      <w:r>
        <w:rPr>
          <w:rFonts w:hint="eastAsia" w:ascii="仿宋_GB2312" w:eastAsia="仿宋_GB2312"/>
          <w:color w:val="auto"/>
          <w:sz w:val="36"/>
        </w:rPr>
        <w:t>：</w:t>
      </w:r>
      <w:r>
        <w:rPr>
          <w:rFonts w:hint="eastAsia" w:ascii="仿宋_GB2312" w:eastAsia="仿宋_GB2312"/>
          <w:color w:val="auto"/>
          <w:sz w:val="36"/>
          <w:u w:val="single"/>
          <w:lang w:eastAsia="zh-CN"/>
        </w:rPr>
        <w:t>醴陵市浦诺森自动化设备有限公司</w:t>
      </w:r>
    </w:p>
    <w:p w14:paraId="5E146DE3">
      <w:pPr>
        <w:adjustRightInd w:val="0"/>
        <w:snapToGrid w:val="0"/>
        <w:spacing w:beforeLines="0" w:afterLines="0" w:line="288" w:lineRule="auto"/>
        <w:ind w:firstLine="1040"/>
        <w:rPr>
          <w:rFonts w:hint="eastAsia" w:ascii="仿宋_GB2312" w:eastAsia="仿宋_GB2312"/>
          <w:color w:val="auto"/>
          <w:sz w:val="36"/>
          <w:u w:val="single"/>
        </w:rPr>
      </w:pPr>
      <w:r>
        <w:rPr>
          <w:rFonts w:hint="eastAsia" w:ascii="仿宋_GB2312" w:eastAsia="仿宋_GB2312"/>
          <w:color w:val="auto"/>
          <w:sz w:val="36"/>
        </w:rPr>
        <w:t>编制日期：</w:t>
      </w:r>
      <w:r>
        <w:rPr>
          <w:rFonts w:hint="eastAsia" w:ascii="仿宋_GB2312" w:eastAsia="仿宋_GB2312"/>
          <w:color w:val="auto"/>
          <w:sz w:val="36"/>
          <w:u w:val="single"/>
        </w:rPr>
        <w:t xml:space="preserve">       202</w:t>
      </w:r>
      <w:r>
        <w:rPr>
          <w:rFonts w:hint="eastAsia" w:ascii="仿宋_GB2312" w:eastAsia="仿宋_GB2312"/>
          <w:color w:val="auto"/>
          <w:sz w:val="36"/>
          <w:u w:val="single"/>
          <w:lang w:val="en-US" w:eastAsia="zh-CN"/>
        </w:rPr>
        <w:t>5</w:t>
      </w:r>
      <w:r>
        <w:rPr>
          <w:rFonts w:hint="eastAsia" w:ascii="仿宋_GB2312" w:eastAsia="仿宋_GB2312"/>
          <w:color w:val="auto"/>
          <w:sz w:val="36"/>
          <w:u w:val="single"/>
        </w:rPr>
        <w:t>年</w:t>
      </w:r>
      <w:r>
        <w:rPr>
          <w:rFonts w:hint="eastAsia" w:ascii="仿宋_GB2312" w:eastAsia="仿宋_GB2312"/>
          <w:color w:val="auto"/>
          <w:sz w:val="36"/>
          <w:u w:val="single"/>
          <w:lang w:val="en-US" w:eastAsia="zh-CN"/>
        </w:rPr>
        <w:t>6</w:t>
      </w:r>
      <w:r>
        <w:rPr>
          <w:rFonts w:hint="eastAsia" w:ascii="仿宋_GB2312" w:eastAsia="仿宋_GB2312"/>
          <w:color w:val="auto"/>
          <w:sz w:val="36"/>
          <w:u w:val="single"/>
        </w:rPr>
        <w:t xml:space="preserve">月      </w:t>
      </w:r>
    </w:p>
    <w:p w14:paraId="73051938">
      <w:pPr>
        <w:adjustRightInd w:val="0"/>
        <w:snapToGrid w:val="0"/>
        <w:spacing w:beforeLines="0" w:afterLines="0" w:line="288" w:lineRule="auto"/>
        <w:ind w:firstLine="1040"/>
        <w:rPr>
          <w:rFonts w:hint="eastAsia" w:ascii="仿宋_GB2312" w:eastAsia="仿宋_GB2312"/>
          <w:color w:val="auto"/>
          <w:sz w:val="36"/>
          <w:u w:val="single"/>
        </w:rPr>
      </w:pPr>
    </w:p>
    <w:p w14:paraId="19EB3932">
      <w:pPr>
        <w:adjustRightInd w:val="0"/>
        <w:snapToGrid w:val="0"/>
        <w:spacing w:beforeLines="0" w:afterLines="0" w:line="288" w:lineRule="auto"/>
        <w:ind w:firstLine="1040"/>
        <w:rPr>
          <w:rFonts w:hint="eastAsia" w:ascii="仿宋_GB2312" w:eastAsia="仿宋_GB2312"/>
          <w:color w:val="auto"/>
          <w:sz w:val="36"/>
        </w:rPr>
      </w:pPr>
    </w:p>
    <w:p w14:paraId="0EA9E245">
      <w:pPr>
        <w:adjustRightInd w:val="0"/>
        <w:snapToGrid w:val="0"/>
        <w:spacing w:beforeLines="0" w:afterLines="0" w:line="288" w:lineRule="auto"/>
        <w:ind w:firstLine="1040"/>
        <w:rPr>
          <w:rFonts w:hint="eastAsia" w:ascii="仿宋_GB2312" w:eastAsia="仿宋_GB2312"/>
          <w:color w:val="auto"/>
          <w:sz w:val="36"/>
        </w:rPr>
      </w:pPr>
    </w:p>
    <w:p w14:paraId="10B1B8AB">
      <w:pPr>
        <w:adjustRightInd w:val="0"/>
        <w:snapToGrid w:val="0"/>
        <w:spacing w:beforeLines="0" w:afterLines="0" w:line="288" w:lineRule="auto"/>
        <w:ind w:firstLine="1040"/>
        <w:rPr>
          <w:rFonts w:hint="eastAsia" w:ascii="仿宋_GB2312" w:eastAsia="仿宋_GB2312"/>
          <w:color w:val="auto"/>
          <w:sz w:val="36"/>
        </w:rPr>
      </w:pPr>
    </w:p>
    <w:p w14:paraId="684E8914">
      <w:pPr>
        <w:adjustRightInd w:val="0"/>
        <w:snapToGrid w:val="0"/>
        <w:spacing w:beforeLines="0" w:afterLines="0" w:line="288" w:lineRule="auto"/>
        <w:ind w:firstLine="1040"/>
        <w:rPr>
          <w:rFonts w:hint="eastAsia" w:ascii="仿宋_GB2312" w:eastAsia="仿宋_GB2312"/>
          <w:color w:val="auto"/>
          <w:sz w:val="36"/>
        </w:rPr>
      </w:pPr>
    </w:p>
    <w:p w14:paraId="186DC36A">
      <w:pPr>
        <w:adjustRightInd w:val="0"/>
        <w:snapToGrid w:val="0"/>
        <w:spacing w:beforeLines="0" w:afterLines="0" w:line="288" w:lineRule="auto"/>
        <w:jc w:val="center"/>
        <w:rPr>
          <w:rFonts w:hint="eastAsia" w:ascii="楷体_GB2312" w:eastAsia="楷体_GB2312"/>
          <w:color w:val="auto"/>
          <w:sz w:val="36"/>
        </w:rPr>
        <w:sectPr>
          <w:footerReference r:id="rId3" w:type="default"/>
          <w:type w:val="continuous"/>
          <w:pgSz w:w="11906" w:h="16838"/>
          <w:pgMar w:top="1134" w:right="1440" w:bottom="1134" w:left="1440" w:header="851" w:footer="1077" w:gutter="0"/>
          <w:pgNumType w:fmt="decimal" w:start="3"/>
          <w:cols w:space="720" w:num="1"/>
          <w:docGrid w:linePitch="312" w:charSpace="0"/>
        </w:sectPr>
      </w:pPr>
      <w:r>
        <w:rPr>
          <w:rFonts w:hint="eastAsia" w:ascii="楷体_GB2312" w:eastAsia="楷体_GB2312"/>
          <w:color w:val="auto"/>
          <w:sz w:val="36"/>
        </w:rPr>
        <w:t>中华人民共和国生态环境部制</w:t>
      </w:r>
    </w:p>
    <w:p w14:paraId="2282A6FB">
      <w:pPr>
        <w:pStyle w:val="23"/>
        <w:rPr>
          <w:rFonts w:hint="eastAsia"/>
        </w:rPr>
      </w:pPr>
    </w:p>
    <w:p w14:paraId="15E8E72B">
      <w:pPr>
        <w:adjustRightInd/>
        <w:snapToGrid/>
        <w:spacing w:beforeLines="-2147483648" w:afterLines="-2147483648" w:line="240" w:lineRule="auto"/>
        <w:jc w:val="left"/>
        <w:rPr>
          <w:rFonts w:hint="eastAsia" w:ascii="楷体_GB2312" w:eastAsia="楷体_GB2312"/>
          <w:color w:val="auto"/>
          <w:sz w:val="36"/>
        </w:rPr>
      </w:pPr>
      <w:r>
        <w:rPr>
          <w:rFonts w:hint="eastAsia" w:ascii="楷体_GB2312" w:eastAsia="楷体_GB2312"/>
          <w:color w:val="auto"/>
          <w:sz w:val="36"/>
        </w:rPr>
        <w:br w:type="page"/>
      </w:r>
    </w:p>
    <w:p w14:paraId="6917E351">
      <w:pPr>
        <w:pStyle w:val="23"/>
        <w:rPr>
          <w:rFonts w:hint="eastAsia"/>
        </w:rPr>
        <w:sectPr>
          <w:type w:val="continuous"/>
          <w:pgSz w:w="11906" w:h="16838"/>
          <w:pgMar w:top="1134" w:right="1440" w:bottom="1134" w:left="1440" w:header="851" w:footer="1077" w:gutter="0"/>
          <w:pgNumType w:fmt="decimal" w:start="3"/>
          <w:cols w:space="720" w:num="1"/>
          <w:docGrid w:linePitch="312" w:charSpace="0"/>
        </w:sectPr>
      </w:pPr>
    </w:p>
    <w:bookmarkEnd w:id="1"/>
    <w:p w14:paraId="025FF0FC">
      <w:pPr>
        <w:jc w:val="center"/>
        <w:rPr>
          <w:rFonts w:ascii="Times New Roman" w:hAnsi="Times New Roman" w:eastAsia="宋体"/>
          <w:b/>
          <w:bCs/>
          <w:color w:val="auto"/>
          <w:sz w:val="24"/>
        </w:rPr>
      </w:pPr>
      <w:r>
        <w:rPr>
          <w:rFonts w:ascii="Times New Roman" w:hAnsi="Times New Roman" w:eastAsia="宋体"/>
          <w:b/>
          <w:bCs/>
          <w:color w:val="auto"/>
          <w:sz w:val="24"/>
          <w:lang w:val="zh-CN"/>
        </w:rPr>
        <w:t>目</w:t>
      </w:r>
      <w:r>
        <w:rPr>
          <w:rFonts w:hint="eastAsia" w:ascii="Times New Roman" w:hAnsi="Times New Roman" w:eastAsia="宋体"/>
          <w:b/>
          <w:bCs/>
          <w:color w:val="auto"/>
          <w:sz w:val="24"/>
          <w:lang w:val="en-US" w:eastAsia="zh-CN"/>
        </w:rPr>
        <w:t xml:space="preserve"> </w:t>
      </w:r>
      <w:r>
        <w:rPr>
          <w:rFonts w:ascii="Times New Roman" w:hAnsi="Times New Roman" w:eastAsia="宋体"/>
          <w:b/>
          <w:bCs/>
          <w:color w:val="auto"/>
          <w:sz w:val="24"/>
          <w:lang w:val="zh-CN"/>
        </w:rPr>
        <w:t>录</w:t>
      </w:r>
    </w:p>
    <w:p w14:paraId="28830E7E">
      <w:pPr>
        <w:pStyle w:val="16"/>
        <w:keepNext w:val="0"/>
        <w:keepLines w:val="0"/>
        <w:pageBreakBefore w:val="0"/>
        <w:widowControl w:val="0"/>
        <w:tabs>
          <w:tab w:val="right" w:leader="dot" w:pos="9026"/>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TOC \o "1-3" \h \z \u </w:instrText>
      </w:r>
      <w:r>
        <w:rPr>
          <w:rFonts w:hint="default" w:ascii="Times New Roman" w:hAnsi="Times New Roman" w:eastAsia="宋体" w:cs="Times New Roman"/>
          <w:color w:val="auto"/>
          <w:sz w:val="24"/>
          <w:szCs w:val="24"/>
        </w:rPr>
        <w:fldChar w:fldCharType="separate"/>
      </w:r>
    </w:p>
    <w:p w14:paraId="6C4D5F00">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zh-CN"/>
        </w:rPr>
        <w:fldChar w:fldCharType="begin"/>
      </w:r>
      <w:r>
        <w:rPr>
          <w:rFonts w:hint="default" w:ascii="Times New Roman" w:hAnsi="Times New Roman" w:eastAsia="宋体" w:cs="Times New Roman"/>
          <w:sz w:val="24"/>
          <w:szCs w:val="24"/>
          <w:lang w:val="zh-CN"/>
        </w:rPr>
        <w:instrText xml:space="preserve"> HYPERLINK \l _Toc29769 </w:instrText>
      </w:r>
      <w:r>
        <w:rPr>
          <w:rFonts w:hint="default" w:ascii="Times New Roman" w:hAnsi="Times New Roman" w:eastAsia="宋体" w:cs="Times New Roman"/>
          <w:sz w:val="24"/>
          <w:szCs w:val="24"/>
          <w:lang w:val="zh-CN"/>
        </w:rPr>
        <w:fldChar w:fldCharType="separate"/>
      </w:r>
      <w:r>
        <w:rPr>
          <w:rFonts w:hint="default" w:ascii="Times New Roman" w:hAnsi="Times New Roman" w:eastAsia="宋体" w:cs="Times New Roman"/>
          <w:bCs/>
          <w:snapToGrid w:val="0"/>
          <w:sz w:val="24"/>
          <w:szCs w:val="24"/>
        </w:rPr>
        <w:t>一、建设项目基本情况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_Toc29769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lang w:val="zh-CN"/>
        </w:rPr>
        <w:fldChar w:fldCharType="end"/>
      </w:r>
    </w:p>
    <w:p w14:paraId="323629AB">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zh-CN"/>
        </w:rPr>
        <w:fldChar w:fldCharType="begin"/>
      </w:r>
      <w:r>
        <w:rPr>
          <w:rFonts w:hint="default" w:ascii="Times New Roman" w:hAnsi="Times New Roman" w:eastAsia="宋体" w:cs="Times New Roman"/>
          <w:sz w:val="24"/>
          <w:szCs w:val="24"/>
          <w:lang w:val="zh-CN"/>
        </w:rPr>
        <w:instrText xml:space="preserve"> HYPERLINK \l _Toc1773 </w:instrText>
      </w:r>
      <w:r>
        <w:rPr>
          <w:rFonts w:hint="default" w:ascii="Times New Roman" w:hAnsi="Times New Roman" w:eastAsia="宋体" w:cs="Times New Roman"/>
          <w:sz w:val="24"/>
          <w:szCs w:val="24"/>
          <w:lang w:val="zh-CN"/>
        </w:rPr>
        <w:fldChar w:fldCharType="separate"/>
      </w:r>
      <w:r>
        <w:rPr>
          <w:rFonts w:hint="default" w:ascii="Times New Roman" w:hAnsi="Times New Roman" w:eastAsia="宋体" w:cs="Times New Roman"/>
          <w:bCs/>
          <w:snapToGrid w:val="0"/>
          <w:sz w:val="24"/>
          <w:szCs w:val="24"/>
        </w:rPr>
        <w:t>二、建设项目工程分析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lang w:val="zh-CN"/>
        </w:rPr>
        <w:fldChar w:fldCharType="end"/>
      </w:r>
    </w:p>
    <w:p w14:paraId="56A8480E">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zh-CN"/>
        </w:rPr>
        <w:fldChar w:fldCharType="begin"/>
      </w:r>
      <w:r>
        <w:rPr>
          <w:rFonts w:hint="default" w:ascii="Times New Roman" w:hAnsi="Times New Roman" w:eastAsia="宋体" w:cs="Times New Roman"/>
          <w:sz w:val="24"/>
          <w:szCs w:val="24"/>
          <w:lang w:val="zh-CN"/>
        </w:rPr>
        <w:instrText xml:space="preserve"> HYPERLINK \l _Toc13014 </w:instrText>
      </w:r>
      <w:r>
        <w:rPr>
          <w:rFonts w:hint="default" w:ascii="Times New Roman" w:hAnsi="Times New Roman" w:eastAsia="宋体" w:cs="Times New Roman"/>
          <w:sz w:val="24"/>
          <w:szCs w:val="24"/>
          <w:lang w:val="zh-CN"/>
        </w:rPr>
        <w:fldChar w:fldCharType="separate"/>
      </w:r>
      <w:r>
        <w:rPr>
          <w:rFonts w:hint="default" w:ascii="Times New Roman" w:hAnsi="Times New Roman" w:eastAsia="宋体" w:cs="Times New Roman"/>
          <w:bCs/>
          <w:snapToGrid w:val="0"/>
          <w:sz w:val="24"/>
          <w:szCs w:val="24"/>
        </w:rPr>
        <w:t>三、区域环境质量现状、环境保护目标及评价标准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_Toc13014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lang w:val="zh-CN"/>
        </w:rPr>
        <w:fldChar w:fldCharType="end"/>
      </w:r>
    </w:p>
    <w:p w14:paraId="22C7D69C">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zh-CN"/>
        </w:rPr>
        <w:fldChar w:fldCharType="begin"/>
      </w:r>
      <w:r>
        <w:rPr>
          <w:rFonts w:hint="default" w:ascii="Times New Roman" w:hAnsi="Times New Roman" w:eastAsia="宋体" w:cs="Times New Roman"/>
          <w:sz w:val="24"/>
          <w:szCs w:val="24"/>
          <w:lang w:val="zh-CN"/>
        </w:rPr>
        <w:instrText xml:space="preserve"> HYPERLINK \l _Toc24081 </w:instrText>
      </w:r>
      <w:r>
        <w:rPr>
          <w:rFonts w:hint="default" w:ascii="Times New Roman" w:hAnsi="Times New Roman" w:eastAsia="宋体" w:cs="Times New Roman"/>
          <w:sz w:val="24"/>
          <w:szCs w:val="24"/>
          <w:lang w:val="zh-CN"/>
        </w:rPr>
        <w:fldChar w:fldCharType="separate"/>
      </w:r>
      <w:r>
        <w:rPr>
          <w:rFonts w:hint="default" w:ascii="Times New Roman" w:hAnsi="Times New Roman" w:eastAsia="宋体" w:cs="Times New Roman"/>
          <w:bCs/>
          <w:snapToGrid w:val="0"/>
          <w:sz w:val="24"/>
          <w:szCs w:val="24"/>
        </w:rPr>
        <w:t>四、主要环境影响和保护措施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lang w:val="zh-CN"/>
        </w:rPr>
        <w:fldChar w:fldCharType="end"/>
      </w:r>
    </w:p>
    <w:p w14:paraId="2EDD97EB">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zh-CN"/>
        </w:rPr>
        <w:fldChar w:fldCharType="begin"/>
      </w:r>
      <w:r>
        <w:rPr>
          <w:rFonts w:hint="default" w:ascii="Times New Roman" w:hAnsi="Times New Roman" w:eastAsia="宋体" w:cs="Times New Roman"/>
          <w:sz w:val="24"/>
          <w:szCs w:val="24"/>
          <w:lang w:val="zh-CN"/>
        </w:rPr>
        <w:instrText xml:space="preserve"> HYPERLINK \l _Toc30777 </w:instrText>
      </w:r>
      <w:r>
        <w:rPr>
          <w:rFonts w:hint="default" w:ascii="Times New Roman" w:hAnsi="Times New Roman" w:eastAsia="宋体" w:cs="Times New Roman"/>
          <w:sz w:val="24"/>
          <w:szCs w:val="24"/>
          <w:lang w:val="zh-CN"/>
        </w:rPr>
        <w:fldChar w:fldCharType="separate"/>
      </w:r>
      <w:r>
        <w:rPr>
          <w:rFonts w:hint="default" w:ascii="Times New Roman" w:hAnsi="Times New Roman" w:eastAsia="宋体" w:cs="Times New Roman"/>
          <w:bCs/>
          <w:snapToGrid w:val="0"/>
          <w:sz w:val="24"/>
          <w:szCs w:val="24"/>
        </w:rPr>
        <w:t>五、环境保护措施监督检查清单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lang w:val="zh-CN"/>
        </w:rPr>
        <w:fldChar w:fldCharType="end"/>
      </w:r>
    </w:p>
    <w:p w14:paraId="0B0C3C82">
      <w:pPr>
        <w:pStyle w:val="16"/>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zh-CN"/>
        </w:rPr>
        <w:fldChar w:fldCharType="begin"/>
      </w:r>
      <w:r>
        <w:rPr>
          <w:rFonts w:hint="default" w:ascii="Times New Roman" w:hAnsi="Times New Roman" w:eastAsia="宋体" w:cs="Times New Roman"/>
          <w:sz w:val="24"/>
          <w:szCs w:val="24"/>
          <w:lang w:val="zh-CN"/>
        </w:rPr>
        <w:instrText xml:space="preserve"> HYPERLINK \l _Toc10366 </w:instrText>
      </w:r>
      <w:r>
        <w:rPr>
          <w:rFonts w:hint="default" w:ascii="Times New Roman" w:hAnsi="Times New Roman" w:eastAsia="宋体" w:cs="Times New Roman"/>
          <w:sz w:val="24"/>
          <w:szCs w:val="24"/>
          <w:lang w:val="zh-CN"/>
        </w:rPr>
        <w:fldChar w:fldCharType="separate"/>
      </w:r>
      <w:r>
        <w:rPr>
          <w:rFonts w:hint="default" w:ascii="Times New Roman" w:hAnsi="Times New Roman" w:eastAsia="宋体" w:cs="Times New Roman"/>
          <w:bCs/>
          <w:snapToGrid w:val="0"/>
          <w:sz w:val="24"/>
          <w:szCs w:val="24"/>
        </w:rPr>
        <w:t>六、结论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_Toc10366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lang w:val="zh-CN"/>
        </w:rPr>
        <w:fldChar w:fldCharType="end"/>
      </w:r>
    </w:p>
    <w:p w14:paraId="2EC2929E">
      <w:pPr>
        <w:pStyle w:val="18"/>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zh-CN"/>
        </w:rPr>
        <w:fldChar w:fldCharType="begin"/>
      </w:r>
      <w:r>
        <w:rPr>
          <w:rFonts w:hint="default" w:ascii="Times New Roman" w:hAnsi="Times New Roman" w:eastAsia="宋体" w:cs="Times New Roman"/>
          <w:sz w:val="24"/>
          <w:szCs w:val="24"/>
          <w:lang w:val="zh-CN"/>
        </w:rPr>
        <w:instrText xml:space="preserve"> HYPERLINK \l _Toc5381 </w:instrText>
      </w:r>
      <w:r>
        <w:rPr>
          <w:rFonts w:hint="default" w:ascii="Times New Roman" w:hAnsi="Times New Roman" w:eastAsia="宋体" w:cs="Times New Roman"/>
          <w:sz w:val="24"/>
          <w:szCs w:val="24"/>
          <w:lang w:val="zh-CN"/>
        </w:rPr>
        <w:fldChar w:fldCharType="separate"/>
      </w:r>
      <w:r>
        <w:rPr>
          <w:rFonts w:hint="default" w:ascii="Times New Roman" w:hAnsi="Times New Roman" w:eastAsia="宋体" w:cs="Times New Roman"/>
          <w:sz w:val="24"/>
          <w:szCs w:val="24"/>
        </w:rPr>
        <w:t>建设项目污染物排放量汇总表</w:t>
      </w:r>
      <w:r>
        <w:rPr>
          <w:rFonts w:hint="eastAsia" w:cs="Times New Roman"/>
          <w:sz w:val="24"/>
          <w:szCs w:val="24"/>
          <w:lang w:val="en-US" w:eastAsia="zh-CN"/>
        </w:rPr>
        <w:t xml:space="preserve">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_Toc5381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lang w:val="zh-CN"/>
        </w:rPr>
        <w:fldChar w:fldCharType="end"/>
      </w:r>
    </w:p>
    <w:p w14:paraId="342F2B00">
      <w:pPr>
        <w:pStyle w:val="109"/>
        <w:spacing w:line="300" w:lineRule="auto"/>
        <w:ind w:firstLine="0" w:firstLineChars="0"/>
        <w:rPr>
          <w:b/>
          <w:bCs/>
          <w:color w:val="auto"/>
          <w:sz w:val="28"/>
          <w:szCs w:val="28"/>
          <w:highlight w:val="none"/>
          <w:u w:val="none"/>
        </w:rPr>
      </w:pPr>
      <w:r>
        <w:rPr>
          <w:rFonts w:hint="default" w:ascii="Times New Roman" w:hAnsi="Times New Roman" w:eastAsia="宋体" w:cs="Times New Roman"/>
          <w:color w:val="auto"/>
          <w:sz w:val="24"/>
          <w:szCs w:val="24"/>
          <w:lang w:val="zh-CN"/>
        </w:rPr>
        <w:fldChar w:fldCharType="end"/>
      </w:r>
      <w:r>
        <w:rPr>
          <w:b/>
          <w:bCs/>
          <w:color w:val="auto"/>
          <w:sz w:val="28"/>
          <w:szCs w:val="28"/>
          <w:highlight w:val="none"/>
          <w:u w:val="none"/>
        </w:rPr>
        <w:t>附件：</w:t>
      </w:r>
    </w:p>
    <w:p w14:paraId="690E29A0">
      <w:pPr>
        <w:spacing w:line="300" w:lineRule="auto"/>
        <w:ind w:firstLine="480" w:firstLineChars="200"/>
        <w:rPr>
          <w:rFonts w:hint="default" w:eastAsia="宋体"/>
          <w:color w:val="auto"/>
          <w:sz w:val="24"/>
          <w:highlight w:val="none"/>
          <w:u w:val="none"/>
          <w:lang w:val="en-US" w:eastAsia="zh-CN"/>
        </w:rPr>
      </w:pPr>
      <w:r>
        <w:rPr>
          <w:rFonts w:hint="eastAsia"/>
          <w:color w:val="auto"/>
          <w:sz w:val="24"/>
          <w:highlight w:val="none"/>
          <w:u w:val="none"/>
          <w:lang w:val="en-US" w:eastAsia="zh-CN"/>
        </w:rPr>
        <w:t>附件1：环评委托书</w:t>
      </w:r>
    </w:p>
    <w:p w14:paraId="62858ED0">
      <w:pPr>
        <w:spacing w:line="300" w:lineRule="auto"/>
        <w:ind w:firstLine="480" w:firstLineChars="200"/>
        <w:rPr>
          <w:color w:val="auto"/>
          <w:sz w:val="24"/>
          <w:highlight w:val="none"/>
          <w:u w:val="none"/>
          <w:lang w:val="zh-CN"/>
        </w:rPr>
      </w:pPr>
      <w:r>
        <w:rPr>
          <w:rFonts w:hint="eastAsia"/>
          <w:color w:val="auto"/>
          <w:sz w:val="24"/>
          <w:highlight w:val="none"/>
          <w:u w:val="none"/>
          <w:lang w:val="zh-CN"/>
        </w:rPr>
        <w:t>附件</w:t>
      </w:r>
      <w:r>
        <w:rPr>
          <w:rFonts w:hint="eastAsia"/>
          <w:color w:val="auto"/>
          <w:sz w:val="24"/>
          <w:highlight w:val="none"/>
          <w:u w:val="none"/>
          <w:lang w:val="en-US" w:eastAsia="zh-CN"/>
        </w:rPr>
        <w:t>2</w:t>
      </w:r>
      <w:r>
        <w:rPr>
          <w:rFonts w:hint="eastAsia"/>
          <w:color w:val="auto"/>
          <w:sz w:val="24"/>
          <w:highlight w:val="none"/>
          <w:u w:val="none"/>
          <w:lang w:val="zh-CN"/>
        </w:rPr>
        <w:t>：建设项目环评审批征求意见书</w:t>
      </w:r>
    </w:p>
    <w:p w14:paraId="2001B66E">
      <w:pPr>
        <w:spacing w:line="300" w:lineRule="auto"/>
        <w:ind w:firstLine="480" w:firstLineChars="200"/>
        <w:rPr>
          <w:rFonts w:hint="eastAsia" w:eastAsia="宋体"/>
          <w:color w:val="auto"/>
          <w:sz w:val="24"/>
          <w:highlight w:val="none"/>
          <w:u w:val="none"/>
          <w:lang w:val="en-US" w:eastAsia="zh-CN"/>
        </w:rPr>
      </w:pPr>
      <w:r>
        <w:rPr>
          <w:rFonts w:hint="eastAsia"/>
          <w:color w:val="auto"/>
          <w:sz w:val="24"/>
          <w:highlight w:val="none"/>
          <w:u w:val="none"/>
          <w:lang w:val="zh-CN"/>
        </w:rPr>
        <w:t>附件</w:t>
      </w:r>
      <w:r>
        <w:rPr>
          <w:rFonts w:hint="eastAsia"/>
          <w:color w:val="auto"/>
          <w:sz w:val="24"/>
          <w:highlight w:val="none"/>
          <w:u w:val="none"/>
          <w:lang w:val="en-US" w:eastAsia="zh-CN"/>
        </w:rPr>
        <w:t>3</w:t>
      </w:r>
      <w:r>
        <w:rPr>
          <w:rFonts w:hint="eastAsia"/>
          <w:color w:val="auto"/>
          <w:sz w:val="24"/>
          <w:highlight w:val="none"/>
          <w:u w:val="none"/>
          <w:lang w:val="zh-CN"/>
        </w:rPr>
        <w:t>：</w:t>
      </w:r>
      <w:r>
        <w:rPr>
          <w:rFonts w:hint="eastAsia"/>
          <w:color w:val="auto"/>
          <w:sz w:val="24"/>
          <w:highlight w:val="none"/>
          <w:u w:val="none"/>
          <w:lang w:val="en-US" w:eastAsia="zh-CN"/>
        </w:rPr>
        <w:t>备案证明</w:t>
      </w:r>
    </w:p>
    <w:p w14:paraId="4111615B">
      <w:pPr>
        <w:spacing w:line="300" w:lineRule="auto"/>
        <w:ind w:firstLine="480" w:firstLineChars="200"/>
        <w:rPr>
          <w:rFonts w:hint="default" w:eastAsia="宋体"/>
          <w:color w:val="auto"/>
          <w:sz w:val="24"/>
          <w:highlight w:val="none"/>
          <w:u w:val="none"/>
          <w:lang w:val="en-US" w:eastAsia="zh-CN"/>
        </w:rPr>
      </w:pPr>
      <w:r>
        <w:rPr>
          <w:color w:val="auto"/>
          <w:sz w:val="24"/>
          <w:highlight w:val="none"/>
          <w:u w:val="none"/>
          <w:lang w:val="zh-CN"/>
        </w:rPr>
        <w:t>附件</w:t>
      </w:r>
      <w:r>
        <w:rPr>
          <w:rFonts w:hint="eastAsia"/>
          <w:color w:val="auto"/>
          <w:sz w:val="24"/>
          <w:highlight w:val="none"/>
          <w:u w:val="none"/>
          <w:lang w:val="en-US" w:eastAsia="zh-CN"/>
        </w:rPr>
        <w:t>4</w:t>
      </w:r>
      <w:r>
        <w:rPr>
          <w:rFonts w:hint="eastAsia"/>
          <w:color w:val="auto"/>
          <w:sz w:val="24"/>
          <w:highlight w:val="none"/>
          <w:u w:val="none"/>
          <w:lang w:val="zh-CN"/>
        </w:rPr>
        <w:t>：</w:t>
      </w:r>
      <w:r>
        <w:rPr>
          <w:rFonts w:hint="eastAsia"/>
          <w:color w:val="auto"/>
          <w:sz w:val="24"/>
          <w:highlight w:val="none"/>
          <w:u w:val="none"/>
          <w:lang w:val="en-US" w:eastAsia="zh-CN"/>
        </w:rPr>
        <w:t>检测报告</w:t>
      </w:r>
    </w:p>
    <w:p w14:paraId="46CE671C">
      <w:pPr>
        <w:pStyle w:val="109"/>
        <w:spacing w:line="300" w:lineRule="auto"/>
        <w:ind w:firstLine="480"/>
        <w:rPr>
          <w:rFonts w:hint="default"/>
          <w:color w:val="auto"/>
          <w:highlight w:val="none"/>
          <w:u w:val="none"/>
          <w:lang w:val="en-US" w:eastAsia="zh-CN"/>
        </w:rPr>
      </w:pPr>
      <w:r>
        <w:rPr>
          <w:rFonts w:hint="eastAsia"/>
          <w:color w:val="auto"/>
          <w:highlight w:val="none"/>
          <w:u w:val="none"/>
          <w:lang w:val="en-US" w:eastAsia="zh-CN"/>
        </w:rPr>
        <w:t>附件5：用地资料</w:t>
      </w:r>
    </w:p>
    <w:p w14:paraId="11DA3E6C">
      <w:pPr>
        <w:pStyle w:val="109"/>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附件6：营业执照</w:t>
      </w:r>
    </w:p>
    <w:p w14:paraId="6AE20F18">
      <w:pPr>
        <w:pStyle w:val="109"/>
        <w:spacing w:line="300" w:lineRule="auto"/>
        <w:ind w:firstLine="480"/>
        <w:rPr>
          <w:rFonts w:hint="eastAsia"/>
          <w:color w:val="auto"/>
          <w:highlight w:val="none"/>
          <w:u w:val="none"/>
          <w:lang w:val="en-US" w:eastAsia="zh-CN"/>
        </w:rPr>
      </w:pPr>
      <w:r>
        <w:rPr>
          <w:rFonts w:hint="eastAsia"/>
          <w:color w:val="auto"/>
          <w:highlight w:val="none"/>
          <w:u w:val="none"/>
          <w:lang w:val="en-US" w:eastAsia="zh-CN"/>
        </w:rPr>
        <w:t>附件7：树脂漆检测报告及MSDS</w:t>
      </w:r>
    </w:p>
    <w:p w14:paraId="3CF098D5">
      <w:pPr>
        <w:keepNext w:val="0"/>
        <w:keepLines w:val="0"/>
        <w:pageBreakBefore w:val="0"/>
        <w:widowControl w:val="0"/>
        <w:kinsoku/>
        <w:wordWrap/>
        <w:overflowPunct/>
        <w:topLinePunct w:val="0"/>
        <w:autoSpaceDE/>
        <w:autoSpaceDN/>
        <w:bidi w:val="0"/>
        <w:adjustRightInd/>
        <w:snapToGrid/>
        <w:spacing w:line="300" w:lineRule="auto"/>
        <w:textAlignment w:val="auto"/>
        <w:rPr>
          <w:b/>
          <w:bCs/>
          <w:color w:val="auto"/>
          <w:sz w:val="28"/>
          <w:szCs w:val="28"/>
          <w:highlight w:val="none"/>
          <w:lang w:val="zh-CN"/>
        </w:rPr>
      </w:pPr>
      <w:r>
        <w:rPr>
          <w:b/>
          <w:bCs/>
          <w:color w:val="auto"/>
          <w:sz w:val="28"/>
          <w:szCs w:val="28"/>
          <w:highlight w:val="none"/>
          <w:lang w:val="zh-CN"/>
        </w:rPr>
        <w:t>附图：</w:t>
      </w:r>
    </w:p>
    <w:p w14:paraId="3F2DEF67">
      <w:pPr>
        <w:spacing w:line="300" w:lineRule="auto"/>
        <w:ind w:firstLine="480" w:firstLineChars="200"/>
        <w:rPr>
          <w:highlight w:val="none"/>
        </w:rPr>
      </w:pPr>
      <w:r>
        <w:rPr>
          <w:color w:val="auto"/>
          <w:sz w:val="24"/>
          <w:highlight w:val="none"/>
          <w:lang w:val="zh-CN"/>
        </w:rPr>
        <w:t>附图1</w:t>
      </w:r>
      <w:r>
        <w:rPr>
          <w:rFonts w:hint="eastAsia" w:ascii="Times New Roman"/>
          <w:color w:val="auto"/>
          <w:sz w:val="24"/>
          <w:highlight w:val="none"/>
          <w:lang w:val="zh-CN"/>
        </w:rPr>
        <w:t>：</w:t>
      </w:r>
      <w:r>
        <w:rPr>
          <w:color w:val="auto"/>
          <w:sz w:val="24"/>
          <w:highlight w:val="none"/>
          <w:lang w:val="zh-CN"/>
        </w:rPr>
        <w:t>地理位置图</w:t>
      </w:r>
    </w:p>
    <w:p w14:paraId="4E3AC515">
      <w:pPr>
        <w:spacing w:line="300" w:lineRule="auto"/>
        <w:ind w:firstLine="480" w:firstLineChars="200"/>
        <w:rPr>
          <w:color w:val="auto"/>
          <w:sz w:val="24"/>
          <w:highlight w:val="none"/>
          <w:u w:val="none"/>
          <w:lang w:val="zh-CN"/>
        </w:rPr>
      </w:pPr>
      <w:r>
        <w:rPr>
          <w:color w:val="auto"/>
          <w:sz w:val="24"/>
          <w:highlight w:val="none"/>
          <w:u w:val="none"/>
          <w:lang w:val="zh-CN"/>
        </w:rPr>
        <w:t>附图</w:t>
      </w:r>
      <w:r>
        <w:rPr>
          <w:rFonts w:hint="eastAsia"/>
          <w:color w:val="auto"/>
          <w:sz w:val="24"/>
          <w:highlight w:val="none"/>
          <w:u w:val="none"/>
          <w:lang w:val="en-US" w:eastAsia="zh-CN"/>
        </w:rPr>
        <w:t>2</w:t>
      </w:r>
      <w:r>
        <w:rPr>
          <w:rFonts w:hint="eastAsia" w:ascii="Times New Roman"/>
          <w:color w:val="auto"/>
          <w:sz w:val="24"/>
          <w:highlight w:val="none"/>
          <w:u w:val="none"/>
          <w:lang w:val="zh-CN"/>
        </w:rPr>
        <w:t>：厂区</w:t>
      </w:r>
      <w:r>
        <w:rPr>
          <w:color w:val="auto"/>
          <w:sz w:val="24"/>
          <w:highlight w:val="none"/>
          <w:u w:val="none"/>
          <w:lang w:val="zh-CN"/>
        </w:rPr>
        <w:t>平面布置图</w:t>
      </w:r>
    </w:p>
    <w:p w14:paraId="40AF1E4F">
      <w:pPr>
        <w:spacing w:line="300" w:lineRule="auto"/>
        <w:ind w:firstLine="480" w:firstLineChars="200"/>
        <w:rPr>
          <w:color w:val="auto"/>
          <w:sz w:val="24"/>
          <w:highlight w:val="none"/>
          <w:lang w:val="zh-CN"/>
        </w:rPr>
      </w:pPr>
      <w:r>
        <w:rPr>
          <w:color w:val="auto"/>
          <w:sz w:val="24"/>
          <w:highlight w:val="none"/>
          <w:lang w:val="zh-CN"/>
        </w:rPr>
        <w:t>附图</w:t>
      </w:r>
      <w:r>
        <w:rPr>
          <w:rFonts w:hint="eastAsia"/>
          <w:color w:val="auto"/>
          <w:sz w:val="24"/>
          <w:highlight w:val="none"/>
          <w:lang w:val="en-US" w:eastAsia="zh-CN"/>
        </w:rPr>
        <w:t>3</w:t>
      </w:r>
      <w:r>
        <w:rPr>
          <w:rFonts w:hint="eastAsia" w:ascii="Times New Roman"/>
          <w:color w:val="auto"/>
          <w:sz w:val="24"/>
          <w:highlight w:val="none"/>
          <w:lang w:val="zh-CN"/>
        </w:rPr>
        <w:t>：环境保护目标分布图</w:t>
      </w:r>
    </w:p>
    <w:p w14:paraId="21889642">
      <w:pPr>
        <w:pStyle w:val="109"/>
        <w:spacing w:line="300" w:lineRule="auto"/>
        <w:ind w:firstLine="480"/>
        <w:rPr>
          <w:rFonts w:hint="eastAsia"/>
          <w:color w:val="auto"/>
          <w:highlight w:val="none"/>
          <w:lang w:val="en-US" w:eastAsia="zh-CN"/>
        </w:rPr>
      </w:pPr>
      <w:r>
        <w:rPr>
          <w:rFonts w:hint="eastAsia"/>
          <w:color w:val="auto"/>
          <w:highlight w:val="none"/>
          <w:lang w:val="zh-CN"/>
        </w:rPr>
        <w:t>附图</w:t>
      </w:r>
      <w:r>
        <w:rPr>
          <w:rFonts w:hint="eastAsia"/>
          <w:color w:val="auto"/>
          <w:highlight w:val="none"/>
          <w:lang w:val="en-US" w:eastAsia="zh-CN"/>
        </w:rPr>
        <w:t>4</w:t>
      </w:r>
      <w:r>
        <w:rPr>
          <w:rFonts w:hint="eastAsia"/>
          <w:color w:val="auto"/>
          <w:highlight w:val="none"/>
          <w:lang w:val="zh-CN"/>
        </w:rPr>
        <w:t>：</w:t>
      </w:r>
      <w:r>
        <w:rPr>
          <w:rFonts w:hint="eastAsia"/>
          <w:color w:val="auto"/>
          <w:highlight w:val="none"/>
          <w:lang w:val="en-US" w:eastAsia="zh-CN"/>
        </w:rPr>
        <w:t>大气引用数据监测点位图</w:t>
      </w:r>
    </w:p>
    <w:p w14:paraId="6F2BABC6">
      <w:pPr>
        <w:pStyle w:val="109"/>
        <w:spacing w:line="300" w:lineRule="auto"/>
        <w:ind w:firstLine="480"/>
        <w:rPr>
          <w:rFonts w:hint="default"/>
          <w:color w:val="auto"/>
          <w:highlight w:val="none"/>
          <w:lang w:val="en-US" w:eastAsia="zh-CN"/>
        </w:rPr>
      </w:pPr>
      <w:r>
        <w:rPr>
          <w:rFonts w:hint="default"/>
          <w:color w:val="auto"/>
          <w:highlight w:val="none"/>
          <w:lang w:val="en-US" w:eastAsia="zh-CN"/>
        </w:rPr>
        <w:t>附图5：噪声检测点位图</w:t>
      </w:r>
    </w:p>
    <w:p w14:paraId="28B9A4A3">
      <w:pPr>
        <w:pStyle w:val="109"/>
        <w:spacing w:line="300" w:lineRule="auto"/>
        <w:ind w:firstLine="480"/>
        <w:rPr>
          <w:rFonts w:hint="default"/>
          <w:color w:val="auto"/>
          <w:highlight w:val="none"/>
          <w:u w:val="none"/>
          <w:lang w:val="en-US" w:eastAsia="zh-CN"/>
        </w:rPr>
      </w:pPr>
      <w:r>
        <w:rPr>
          <w:rFonts w:hint="eastAsia"/>
          <w:color w:val="auto"/>
          <w:highlight w:val="none"/>
          <w:u w:val="none"/>
          <w:lang w:val="en-US" w:eastAsia="zh-CN"/>
        </w:rPr>
        <w:t>附图6：项目所在地水系图</w:t>
      </w:r>
    </w:p>
    <w:p w14:paraId="5ED416AD">
      <w:pPr>
        <w:pStyle w:val="109"/>
        <w:ind w:firstLine="480"/>
        <w:rPr>
          <w:b/>
          <w:bCs/>
          <w:snapToGrid w:val="0"/>
          <w:color w:val="auto"/>
          <w:kern w:val="0"/>
          <w:sz w:val="36"/>
          <w:szCs w:val="36"/>
        </w:rPr>
      </w:pPr>
      <w:r>
        <w:rPr>
          <w:b/>
          <w:bCs/>
          <w:snapToGrid w:val="0"/>
          <w:color w:val="auto"/>
          <w:kern w:val="0"/>
          <w:sz w:val="36"/>
          <w:szCs w:val="36"/>
        </w:rPr>
        <w:br w:type="page"/>
      </w:r>
    </w:p>
    <w:p w14:paraId="2EF18110">
      <w:pPr>
        <w:adjustRightInd w:val="0"/>
        <w:snapToGrid w:val="0"/>
        <w:spacing w:line="288" w:lineRule="auto"/>
        <w:ind w:firstLine="720"/>
        <w:rPr>
          <w:rFonts w:eastAsia="仿宋_GB2312"/>
          <w:snapToGrid w:val="0"/>
          <w:color w:val="auto"/>
          <w:kern w:val="0"/>
          <w:sz w:val="36"/>
          <w:szCs w:val="36"/>
        </w:rPr>
        <w:sectPr>
          <w:type w:val="continuous"/>
          <w:pgSz w:w="11906" w:h="16838"/>
          <w:pgMar w:top="1134" w:right="1440" w:bottom="1134" w:left="1440" w:header="851" w:footer="1077" w:gutter="0"/>
          <w:pgNumType w:fmt="decimal" w:start="3"/>
          <w:cols w:space="720" w:num="1"/>
          <w:docGrid w:linePitch="312" w:charSpace="0"/>
        </w:sectPr>
      </w:pPr>
    </w:p>
    <w:p w14:paraId="4F8129B2">
      <w:pPr>
        <w:pStyle w:val="20"/>
        <w:spacing w:before="105" w:beforeAutospacing="0" w:after="0" w:afterAutospacing="0" w:line="360" w:lineRule="auto"/>
        <w:jc w:val="center"/>
        <w:outlineLvl w:val="0"/>
        <w:rPr>
          <w:rFonts w:ascii="Times New Roman" w:hAnsi="Times New Roman"/>
          <w:b/>
          <w:bCs/>
          <w:snapToGrid w:val="0"/>
          <w:color w:val="auto"/>
          <w:sz w:val="30"/>
          <w:szCs w:val="30"/>
        </w:rPr>
      </w:pPr>
      <w:bookmarkStart w:id="2" w:name="_Toc72704839"/>
      <w:bookmarkStart w:id="3" w:name="_Toc29769"/>
      <w:r>
        <w:rPr>
          <w:rFonts w:ascii="Times New Roman" w:hAnsi="Times New Roman"/>
          <w:b/>
          <w:bCs/>
          <w:snapToGrid w:val="0"/>
          <w:color w:val="auto"/>
          <w:sz w:val="30"/>
          <w:szCs w:val="30"/>
        </w:rPr>
        <w:t>一、建设项目基本情况</w:t>
      </w:r>
      <w:bookmarkEnd w:id="2"/>
      <w:bookmarkEnd w:id="3"/>
    </w:p>
    <w:tbl>
      <w:tblPr>
        <w:tblStyle w:val="24"/>
        <w:tblW w:w="505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28" w:type="dxa"/>
          <w:left w:w="28" w:type="dxa"/>
          <w:bottom w:w="28" w:type="dxa"/>
          <w:right w:w="28" w:type="dxa"/>
        </w:tblCellMar>
      </w:tblPr>
      <w:tblGrid>
        <w:gridCol w:w="1125"/>
        <w:gridCol w:w="3139"/>
        <w:gridCol w:w="1745"/>
        <w:gridCol w:w="3166"/>
      </w:tblGrid>
      <w:tr w14:paraId="44DBD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92" w:hRule="atLeast"/>
          <w:jc w:val="center"/>
        </w:trPr>
        <w:tc>
          <w:tcPr>
            <w:tcW w:w="613" w:type="pct"/>
            <w:noWrap w:val="0"/>
            <w:tcMar>
              <w:top w:w="16" w:type="dxa"/>
              <w:left w:w="16" w:type="dxa"/>
              <w:right w:w="16" w:type="dxa"/>
            </w:tcMar>
            <w:vAlign w:val="center"/>
          </w:tcPr>
          <w:p w14:paraId="45BC217A">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建设项目名称</w:t>
            </w:r>
          </w:p>
        </w:tc>
        <w:tc>
          <w:tcPr>
            <w:tcW w:w="4386" w:type="pct"/>
            <w:gridSpan w:val="3"/>
            <w:noWrap w:val="0"/>
            <w:vAlign w:val="center"/>
          </w:tcPr>
          <w:p w14:paraId="0013704F">
            <w:pPr>
              <w:pStyle w:val="87"/>
              <w:keepNext w:val="0"/>
              <w:keepLines w:val="0"/>
              <w:suppressLineNumbers w:val="0"/>
              <w:spacing w:before="0" w:beforeAutospacing="0" w:after="0" w:afterAutospacing="0"/>
              <w:ind w:left="0" w:right="0"/>
              <w:rPr>
                <w:rFonts w:hint="default"/>
                <w:snapToGrid w:val="0"/>
                <w:color w:val="auto"/>
                <w:lang w:val="en-US"/>
              </w:rPr>
            </w:pPr>
            <w:r>
              <w:rPr>
                <w:rFonts w:hint="eastAsia"/>
                <w:snapToGrid w:val="0"/>
                <w:color w:val="auto"/>
                <w:highlight w:val="none"/>
                <w:lang w:eastAsia="zh-CN"/>
              </w:rPr>
              <w:t>醴陵市浦诺森自动化设备有限公司机械加工项目</w:t>
            </w:r>
          </w:p>
        </w:tc>
      </w:tr>
      <w:tr w14:paraId="3E36F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97" w:hRule="atLeast"/>
          <w:jc w:val="center"/>
        </w:trPr>
        <w:tc>
          <w:tcPr>
            <w:tcW w:w="613" w:type="pct"/>
            <w:noWrap w:val="0"/>
            <w:tcMar>
              <w:top w:w="16" w:type="dxa"/>
              <w:left w:w="16" w:type="dxa"/>
              <w:right w:w="16" w:type="dxa"/>
            </w:tcMar>
            <w:vAlign w:val="center"/>
          </w:tcPr>
          <w:p w14:paraId="044AB947">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highlight w:val="none"/>
              </w:rPr>
              <w:t>项目代码</w:t>
            </w:r>
          </w:p>
        </w:tc>
        <w:tc>
          <w:tcPr>
            <w:tcW w:w="4386" w:type="pct"/>
            <w:gridSpan w:val="3"/>
            <w:noWrap w:val="0"/>
            <w:vAlign w:val="center"/>
          </w:tcPr>
          <w:p w14:paraId="4A5E0668">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eastAsia"/>
                <w:snapToGrid w:val="0"/>
                <w:color w:val="auto"/>
                <w:lang w:val="en-US" w:eastAsia="zh-CN"/>
              </w:rPr>
              <w:t>2505-430281-04-05-495043</w:t>
            </w:r>
          </w:p>
        </w:tc>
      </w:tr>
      <w:tr w14:paraId="08A78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97" w:hRule="atLeast"/>
          <w:jc w:val="center"/>
        </w:trPr>
        <w:tc>
          <w:tcPr>
            <w:tcW w:w="613" w:type="pct"/>
            <w:noWrap w:val="0"/>
            <w:tcMar>
              <w:top w:w="16" w:type="dxa"/>
              <w:left w:w="16" w:type="dxa"/>
              <w:right w:w="16" w:type="dxa"/>
            </w:tcMar>
            <w:vAlign w:val="center"/>
          </w:tcPr>
          <w:p w14:paraId="2BE42D9E">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建设单位联系人</w:t>
            </w:r>
          </w:p>
        </w:tc>
        <w:tc>
          <w:tcPr>
            <w:tcW w:w="1710" w:type="pct"/>
            <w:noWrap w:val="0"/>
            <w:vAlign w:val="center"/>
          </w:tcPr>
          <w:p w14:paraId="147D1615">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p>
        </w:tc>
        <w:tc>
          <w:tcPr>
            <w:tcW w:w="951" w:type="pct"/>
            <w:noWrap w:val="0"/>
            <w:vAlign w:val="center"/>
          </w:tcPr>
          <w:p w14:paraId="04F56FE1">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联系方式</w:t>
            </w:r>
          </w:p>
        </w:tc>
        <w:tc>
          <w:tcPr>
            <w:tcW w:w="1725" w:type="pct"/>
            <w:noWrap w:val="0"/>
            <w:vAlign w:val="center"/>
          </w:tcPr>
          <w:p w14:paraId="0A3EE098">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p>
        </w:tc>
      </w:tr>
      <w:tr w14:paraId="76503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97" w:hRule="atLeast"/>
          <w:jc w:val="center"/>
        </w:trPr>
        <w:tc>
          <w:tcPr>
            <w:tcW w:w="613" w:type="pct"/>
            <w:noWrap w:val="0"/>
            <w:tcMar>
              <w:top w:w="16" w:type="dxa"/>
              <w:left w:w="16" w:type="dxa"/>
              <w:right w:w="16" w:type="dxa"/>
            </w:tcMar>
            <w:vAlign w:val="center"/>
          </w:tcPr>
          <w:p w14:paraId="07028A97">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建设地点</w:t>
            </w:r>
          </w:p>
        </w:tc>
        <w:tc>
          <w:tcPr>
            <w:tcW w:w="4386" w:type="pct"/>
            <w:gridSpan w:val="3"/>
            <w:noWrap w:val="0"/>
            <w:vAlign w:val="center"/>
          </w:tcPr>
          <w:p w14:paraId="0CCCC2FD">
            <w:pPr>
              <w:pStyle w:val="87"/>
              <w:keepNext w:val="0"/>
              <w:keepLines w:val="0"/>
              <w:suppressLineNumbers w:val="0"/>
              <w:spacing w:before="0" w:beforeAutospacing="0" w:after="0" w:afterAutospacing="0"/>
              <w:ind w:left="0" w:right="0"/>
              <w:jc w:val="center"/>
              <w:rPr>
                <w:rFonts w:hint="default" w:eastAsia="宋体"/>
                <w:snapToGrid w:val="0"/>
                <w:color w:val="auto"/>
                <w:lang w:val="en-US" w:eastAsia="zh-CN"/>
              </w:rPr>
            </w:pPr>
            <w:r>
              <w:rPr>
                <w:rFonts w:hint="eastAsia"/>
                <w:snapToGrid w:val="0"/>
                <w:color w:val="auto"/>
                <w:lang w:val="en-US" w:eastAsia="zh-CN"/>
              </w:rPr>
              <w:t>湖南省株洲市醴陵市浦口镇浦口村瓦子组</w:t>
            </w:r>
          </w:p>
        </w:tc>
      </w:tr>
      <w:tr w14:paraId="543DB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97" w:hRule="atLeast"/>
          <w:jc w:val="center"/>
        </w:trPr>
        <w:tc>
          <w:tcPr>
            <w:tcW w:w="613" w:type="pct"/>
            <w:noWrap w:val="0"/>
            <w:tcMar>
              <w:top w:w="16" w:type="dxa"/>
              <w:left w:w="16" w:type="dxa"/>
              <w:right w:w="16" w:type="dxa"/>
            </w:tcMar>
            <w:vAlign w:val="center"/>
          </w:tcPr>
          <w:p w14:paraId="574B9793">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地理坐标</w:t>
            </w:r>
          </w:p>
        </w:tc>
        <w:tc>
          <w:tcPr>
            <w:tcW w:w="4386" w:type="pct"/>
            <w:gridSpan w:val="3"/>
            <w:noWrap w:val="0"/>
            <w:vAlign w:val="center"/>
          </w:tcPr>
          <w:p w14:paraId="114EA9B7">
            <w:pPr>
              <w:keepNext w:val="0"/>
              <w:keepLines w:val="0"/>
              <w:suppressLineNumbers w:val="0"/>
              <w:spacing w:before="0" w:beforeAutospacing="0" w:after="0" w:afterAutospacing="0"/>
              <w:ind w:left="0" w:right="0"/>
              <w:jc w:val="center"/>
              <w:rPr>
                <w:rFonts w:hint="default"/>
              </w:rPr>
            </w:pPr>
            <w:r>
              <w:rPr>
                <w:rFonts w:hint="eastAsia"/>
                <w:lang w:val="en-US" w:eastAsia="zh-CN"/>
              </w:rPr>
              <w:t>N113°37′16.545″E、27°46′8.264″</w:t>
            </w:r>
          </w:p>
        </w:tc>
      </w:tr>
      <w:tr w14:paraId="7672C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61" w:hRule="atLeast"/>
          <w:jc w:val="center"/>
        </w:trPr>
        <w:tc>
          <w:tcPr>
            <w:tcW w:w="613" w:type="pct"/>
            <w:noWrap w:val="0"/>
            <w:tcMar>
              <w:top w:w="16" w:type="dxa"/>
              <w:left w:w="16" w:type="dxa"/>
              <w:right w:w="16" w:type="dxa"/>
            </w:tcMar>
            <w:vAlign w:val="center"/>
          </w:tcPr>
          <w:p w14:paraId="6F313BE9">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国民经济</w:t>
            </w:r>
          </w:p>
          <w:p w14:paraId="1749545C">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行业类别</w:t>
            </w:r>
          </w:p>
        </w:tc>
        <w:tc>
          <w:tcPr>
            <w:tcW w:w="1710" w:type="pct"/>
            <w:noWrap w:val="0"/>
            <w:vAlign w:val="center"/>
          </w:tcPr>
          <w:p w14:paraId="565DAC1E">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eastAsia"/>
                <w:snapToGrid w:val="0"/>
                <w:color w:val="auto"/>
                <w:lang w:val="en-US" w:eastAsia="zh-CN"/>
              </w:rPr>
              <w:t>C4190其他未列明制造业</w:t>
            </w:r>
          </w:p>
          <w:p w14:paraId="7697D827">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default" w:eastAsia="宋体"/>
                <w:snapToGrid w:val="0"/>
                <w:color w:val="auto"/>
                <w:lang w:val="en-US" w:eastAsia="zh-CN"/>
              </w:rPr>
              <w:t>C3591</w:t>
            </w:r>
            <w:r>
              <w:rPr>
                <w:rFonts w:hint="eastAsia"/>
                <w:snapToGrid w:val="0"/>
                <w:color w:val="auto"/>
                <w:lang w:val="en-US" w:eastAsia="zh-CN"/>
              </w:rPr>
              <w:t>环境保护专用设备制造</w:t>
            </w:r>
          </w:p>
        </w:tc>
        <w:tc>
          <w:tcPr>
            <w:tcW w:w="951" w:type="pct"/>
            <w:noWrap w:val="0"/>
            <w:vAlign w:val="center"/>
          </w:tcPr>
          <w:p w14:paraId="6FDAF329">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建设项目</w:t>
            </w:r>
          </w:p>
          <w:p w14:paraId="738ED0DB">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行业类别</w:t>
            </w:r>
          </w:p>
        </w:tc>
        <w:tc>
          <w:tcPr>
            <w:tcW w:w="1725" w:type="pct"/>
            <w:noWrap w:val="0"/>
            <w:vAlign w:val="center"/>
          </w:tcPr>
          <w:p w14:paraId="2C297C7A">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eastAsia"/>
                <w:snapToGrid w:val="0"/>
                <w:color w:val="auto"/>
                <w:lang w:val="en-US" w:eastAsia="zh-CN"/>
              </w:rPr>
              <w:t>38--084其他未列明制造业</w:t>
            </w:r>
            <w:r>
              <w:rPr>
                <w:rFonts w:hint="eastAsia"/>
                <w:snapToGrid w:val="0"/>
                <w:color w:val="auto"/>
                <w:lang w:eastAsia="zh-CN"/>
              </w:rPr>
              <w:t>；</w:t>
            </w:r>
            <w:r>
              <w:rPr>
                <w:rFonts w:hint="eastAsia"/>
                <w:snapToGrid w:val="0"/>
                <w:color w:val="auto"/>
                <w:lang w:val="en-US" w:eastAsia="zh-CN"/>
              </w:rPr>
              <w:t>32--070环保、邮政、社会公共服务及其他专用设备制造</w:t>
            </w:r>
          </w:p>
        </w:tc>
      </w:tr>
      <w:tr w14:paraId="5E7F6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219" w:hRule="atLeast"/>
          <w:jc w:val="center"/>
        </w:trPr>
        <w:tc>
          <w:tcPr>
            <w:tcW w:w="613" w:type="pct"/>
            <w:noWrap w:val="0"/>
            <w:tcMar>
              <w:top w:w="16" w:type="dxa"/>
              <w:left w:w="16" w:type="dxa"/>
              <w:right w:w="16" w:type="dxa"/>
            </w:tcMar>
            <w:vAlign w:val="center"/>
          </w:tcPr>
          <w:p w14:paraId="46479F17">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建设性质</w:t>
            </w:r>
          </w:p>
        </w:tc>
        <w:tc>
          <w:tcPr>
            <w:tcW w:w="1710" w:type="pct"/>
            <w:noWrap w:val="0"/>
            <w:vAlign w:val="center"/>
          </w:tcPr>
          <w:p w14:paraId="634D0A2E">
            <w:pPr>
              <w:pStyle w:val="87"/>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rPr>
            </w:pPr>
            <w:r>
              <w:rPr>
                <w:rFonts w:hint="eastAsia" w:ascii="宋体" w:hAnsi="宋体" w:eastAsia="宋体" w:cs="宋体"/>
                <w:snapToGrid w:val="0"/>
                <w:color w:val="auto"/>
              </w:rPr>
              <w:sym w:font="Wingdings" w:char="00FE"/>
            </w:r>
            <w:r>
              <w:rPr>
                <w:rFonts w:hint="eastAsia" w:ascii="宋体" w:hAnsi="宋体" w:eastAsia="宋体" w:cs="宋体"/>
                <w:snapToGrid w:val="0"/>
                <w:color w:val="auto"/>
              </w:rPr>
              <w:t>新建（迁建）</w:t>
            </w:r>
          </w:p>
          <w:p w14:paraId="645D6D02">
            <w:pPr>
              <w:pStyle w:val="87"/>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rPr>
            </w:pPr>
            <w:r>
              <w:rPr>
                <w:rFonts w:hint="eastAsia" w:ascii="宋体" w:hAnsi="宋体" w:eastAsia="宋体" w:cs="宋体"/>
                <w:snapToGrid w:val="0"/>
                <w:color w:val="auto"/>
              </w:rPr>
              <w:sym w:font="Wingdings 2" w:char="00A3"/>
            </w:r>
            <w:r>
              <w:rPr>
                <w:rFonts w:hint="eastAsia" w:ascii="宋体" w:hAnsi="宋体" w:eastAsia="宋体" w:cs="宋体"/>
                <w:snapToGrid w:val="0"/>
                <w:color w:val="auto"/>
              </w:rPr>
              <w:t>改建</w:t>
            </w:r>
          </w:p>
          <w:p w14:paraId="5916101E">
            <w:pPr>
              <w:pStyle w:val="87"/>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rPr>
            </w:pPr>
            <w:r>
              <w:rPr>
                <w:rFonts w:hint="eastAsia" w:ascii="宋体" w:hAnsi="宋体" w:eastAsia="宋体" w:cs="宋体"/>
                <w:snapToGrid w:val="0"/>
                <w:color w:val="auto"/>
              </w:rPr>
              <w:sym w:font="Wingdings 2" w:char="00A3"/>
            </w:r>
            <w:r>
              <w:rPr>
                <w:rFonts w:hint="eastAsia" w:ascii="宋体" w:hAnsi="宋体" w:eastAsia="宋体" w:cs="宋体"/>
                <w:snapToGrid w:val="0"/>
                <w:color w:val="auto"/>
              </w:rPr>
              <w:t>扩建</w:t>
            </w:r>
          </w:p>
          <w:p w14:paraId="1C1D6036">
            <w:pPr>
              <w:pStyle w:val="87"/>
              <w:keepNext w:val="0"/>
              <w:keepLines w:val="0"/>
              <w:suppressLineNumbers w:val="0"/>
              <w:spacing w:before="0" w:beforeAutospacing="0" w:after="0" w:afterAutospacing="0"/>
              <w:ind w:left="0" w:right="0" w:firstLine="212" w:firstLineChars="100"/>
              <w:jc w:val="left"/>
              <w:rPr>
                <w:rFonts w:hint="default"/>
                <w:snapToGrid w:val="0"/>
                <w:color w:val="auto"/>
              </w:rPr>
            </w:pPr>
            <w:r>
              <w:rPr>
                <w:rFonts w:hint="eastAsia" w:ascii="宋体" w:hAnsi="宋体" w:eastAsia="宋体" w:cs="宋体"/>
                <w:snapToGrid w:val="0"/>
                <w:color w:val="auto"/>
              </w:rPr>
              <w:sym w:font="Wingdings 2" w:char="00A3"/>
            </w:r>
            <w:r>
              <w:rPr>
                <w:rFonts w:hint="eastAsia" w:ascii="宋体" w:hAnsi="宋体" w:eastAsia="宋体" w:cs="宋体"/>
                <w:snapToGrid w:val="0"/>
                <w:color w:val="auto"/>
              </w:rPr>
              <w:t>技术改造</w:t>
            </w:r>
          </w:p>
        </w:tc>
        <w:tc>
          <w:tcPr>
            <w:tcW w:w="951" w:type="pct"/>
            <w:noWrap w:val="0"/>
            <w:vAlign w:val="center"/>
          </w:tcPr>
          <w:p w14:paraId="69946101">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建设项目</w:t>
            </w:r>
          </w:p>
          <w:p w14:paraId="14DC5C0C">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申报情形</w:t>
            </w:r>
          </w:p>
        </w:tc>
        <w:tc>
          <w:tcPr>
            <w:tcW w:w="1725" w:type="pct"/>
            <w:noWrap w:val="0"/>
            <w:vAlign w:val="center"/>
          </w:tcPr>
          <w:p w14:paraId="10F541A8">
            <w:pPr>
              <w:pStyle w:val="87"/>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rPr>
            </w:pPr>
            <w:r>
              <w:rPr>
                <w:rFonts w:hint="eastAsia" w:ascii="宋体" w:hAnsi="宋体" w:eastAsia="宋体" w:cs="宋体"/>
                <w:snapToGrid w:val="0"/>
                <w:color w:val="auto"/>
              </w:rPr>
              <w:sym w:font="Wingdings" w:char="00FE"/>
            </w:r>
            <w:r>
              <w:rPr>
                <w:rFonts w:hint="eastAsia" w:ascii="宋体" w:hAnsi="宋体" w:eastAsia="宋体" w:cs="宋体"/>
                <w:snapToGrid w:val="0"/>
                <w:color w:val="auto"/>
              </w:rPr>
              <w:t xml:space="preserve">首次申报项目             </w:t>
            </w:r>
          </w:p>
          <w:p w14:paraId="588F5EC6">
            <w:pPr>
              <w:pStyle w:val="87"/>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rPr>
            </w:pPr>
            <w:r>
              <w:rPr>
                <w:rFonts w:hint="eastAsia" w:ascii="宋体" w:hAnsi="宋体" w:eastAsia="宋体" w:cs="宋体"/>
                <w:snapToGrid w:val="0"/>
                <w:color w:val="auto"/>
              </w:rPr>
              <w:t>□不予批准后再次申报项目</w:t>
            </w:r>
          </w:p>
          <w:p w14:paraId="77582049">
            <w:pPr>
              <w:pStyle w:val="87"/>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rPr>
            </w:pPr>
            <w:r>
              <w:rPr>
                <w:rFonts w:hint="eastAsia" w:ascii="宋体" w:hAnsi="宋体" w:eastAsia="宋体" w:cs="宋体"/>
                <w:snapToGrid w:val="0"/>
                <w:color w:val="auto"/>
              </w:rPr>
              <w:t xml:space="preserve">□超五年重新审核项目     </w:t>
            </w:r>
          </w:p>
          <w:p w14:paraId="64B752AA">
            <w:pPr>
              <w:pStyle w:val="87"/>
              <w:keepNext w:val="0"/>
              <w:keepLines w:val="0"/>
              <w:suppressLineNumbers w:val="0"/>
              <w:spacing w:before="0" w:beforeAutospacing="0" w:after="0" w:afterAutospacing="0"/>
              <w:ind w:left="0" w:right="0" w:firstLine="212" w:firstLineChars="100"/>
              <w:jc w:val="left"/>
              <w:rPr>
                <w:rFonts w:hint="default"/>
                <w:snapToGrid w:val="0"/>
                <w:color w:val="auto"/>
              </w:rPr>
            </w:pPr>
            <w:r>
              <w:rPr>
                <w:rFonts w:hint="eastAsia" w:ascii="宋体" w:hAnsi="宋体" w:eastAsia="宋体" w:cs="宋体"/>
                <w:snapToGrid w:val="0"/>
                <w:color w:val="auto"/>
              </w:rPr>
              <w:sym w:font="Wingdings 2" w:char="00A3"/>
            </w:r>
            <w:r>
              <w:rPr>
                <w:rFonts w:hint="eastAsia" w:ascii="宋体" w:hAnsi="宋体" w:eastAsia="宋体" w:cs="宋体"/>
                <w:snapToGrid w:val="0"/>
                <w:color w:val="auto"/>
              </w:rPr>
              <w:t>重大变动重新报批项目</w:t>
            </w:r>
          </w:p>
        </w:tc>
      </w:tr>
      <w:tr w14:paraId="74B04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51" w:hRule="atLeast"/>
          <w:jc w:val="center"/>
        </w:trPr>
        <w:tc>
          <w:tcPr>
            <w:tcW w:w="613" w:type="pct"/>
            <w:noWrap w:val="0"/>
            <w:tcMar>
              <w:top w:w="16" w:type="dxa"/>
              <w:left w:w="16" w:type="dxa"/>
              <w:right w:w="16" w:type="dxa"/>
            </w:tcMar>
            <w:vAlign w:val="center"/>
          </w:tcPr>
          <w:p w14:paraId="3306E9D2">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highlight w:val="none"/>
              </w:rPr>
              <w:t>项目审批（核准/备案）部门（选填）</w:t>
            </w:r>
          </w:p>
        </w:tc>
        <w:tc>
          <w:tcPr>
            <w:tcW w:w="1710" w:type="pct"/>
            <w:noWrap w:val="0"/>
            <w:vAlign w:val="center"/>
          </w:tcPr>
          <w:p w14:paraId="061AA801">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eastAsia"/>
                <w:snapToGrid w:val="0"/>
                <w:color w:val="auto"/>
                <w:lang w:val="en-US" w:eastAsia="zh-CN"/>
              </w:rPr>
              <w:t>醴陵市发展和改革局</w:t>
            </w:r>
          </w:p>
        </w:tc>
        <w:tc>
          <w:tcPr>
            <w:tcW w:w="951" w:type="pct"/>
            <w:noWrap w:val="0"/>
            <w:vAlign w:val="center"/>
          </w:tcPr>
          <w:p w14:paraId="2B4F997E">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highlight w:val="none"/>
              </w:rPr>
              <w:t>项目审批（核准/备案）文号（选填）</w:t>
            </w:r>
          </w:p>
        </w:tc>
        <w:tc>
          <w:tcPr>
            <w:tcW w:w="1725" w:type="pct"/>
            <w:noWrap w:val="0"/>
            <w:vAlign w:val="center"/>
          </w:tcPr>
          <w:p w14:paraId="687B819C">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eastAsia"/>
                <w:snapToGrid w:val="0"/>
                <w:color w:val="auto"/>
                <w:lang w:val="en-US" w:eastAsia="zh-CN"/>
              </w:rPr>
              <w:t>醴发改备〔2025〕374号</w:t>
            </w:r>
          </w:p>
        </w:tc>
      </w:tr>
      <w:tr w14:paraId="4CC9B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97" w:hRule="atLeast"/>
          <w:jc w:val="center"/>
        </w:trPr>
        <w:tc>
          <w:tcPr>
            <w:tcW w:w="613" w:type="pct"/>
            <w:noWrap w:val="0"/>
            <w:tcMar>
              <w:top w:w="16" w:type="dxa"/>
              <w:left w:w="16" w:type="dxa"/>
              <w:right w:w="16" w:type="dxa"/>
            </w:tcMar>
            <w:vAlign w:val="center"/>
          </w:tcPr>
          <w:p w14:paraId="1EBA0AE5">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总投资（万元）</w:t>
            </w:r>
          </w:p>
        </w:tc>
        <w:tc>
          <w:tcPr>
            <w:tcW w:w="1710" w:type="pct"/>
            <w:noWrap w:val="0"/>
            <w:vAlign w:val="center"/>
          </w:tcPr>
          <w:p w14:paraId="497B7774">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eastAsia"/>
                <w:snapToGrid w:val="0"/>
                <w:color w:val="auto"/>
                <w:highlight w:val="none"/>
                <w:lang w:val="en-US" w:eastAsia="zh-CN"/>
              </w:rPr>
              <w:t>300</w:t>
            </w:r>
          </w:p>
        </w:tc>
        <w:tc>
          <w:tcPr>
            <w:tcW w:w="951" w:type="pct"/>
            <w:noWrap w:val="0"/>
            <w:tcMar>
              <w:top w:w="16" w:type="dxa"/>
              <w:left w:w="16" w:type="dxa"/>
              <w:right w:w="16" w:type="dxa"/>
            </w:tcMar>
            <w:vAlign w:val="center"/>
          </w:tcPr>
          <w:p w14:paraId="49034F85">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highlight w:val="none"/>
              </w:rPr>
              <w:t>环保投资（万元）</w:t>
            </w:r>
          </w:p>
        </w:tc>
        <w:tc>
          <w:tcPr>
            <w:tcW w:w="1725" w:type="pct"/>
            <w:noWrap w:val="0"/>
            <w:vAlign w:val="center"/>
          </w:tcPr>
          <w:p w14:paraId="567EA975">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eastAsia"/>
                <w:snapToGrid w:val="0"/>
                <w:color w:val="auto"/>
                <w:highlight w:val="none"/>
                <w:lang w:val="en-US" w:eastAsia="zh-CN"/>
              </w:rPr>
              <w:t>12</w:t>
            </w:r>
          </w:p>
        </w:tc>
      </w:tr>
      <w:tr w14:paraId="54401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97" w:hRule="atLeast"/>
          <w:jc w:val="center"/>
        </w:trPr>
        <w:tc>
          <w:tcPr>
            <w:tcW w:w="613" w:type="pct"/>
            <w:noWrap w:val="0"/>
            <w:tcMar>
              <w:top w:w="16" w:type="dxa"/>
              <w:left w:w="16" w:type="dxa"/>
              <w:right w:w="16" w:type="dxa"/>
            </w:tcMar>
            <w:vAlign w:val="center"/>
          </w:tcPr>
          <w:p w14:paraId="3A9372BE">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环保投资占比（%）</w:t>
            </w:r>
          </w:p>
        </w:tc>
        <w:tc>
          <w:tcPr>
            <w:tcW w:w="1710" w:type="pct"/>
            <w:noWrap w:val="0"/>
            <w:vAlign w:val="center"/>
          </w:tcPr>
          <w:p w14:paraId="26BA09E7">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eastAsia"/>
                <w:snapToGrid w:val="0"/>
                <w:color w:val="auto"/>
                <w:highlight w:val="none"/>
                <w:lang w:val="en-US" w:eastAsia="zh-CN"/>
              </w:rPr>
              <w:t>4</w:t>
            </w:r>
          </w:p>
        </w:tc>
        <w:tc>
          <w:tcPr>
            <w:tcW w:w="951" w:type="pct"/>
            <w:noWrap w:val="0"/>
            <w:tcMar>
              <w:top w:w="16" w:type="dxa"/>
              <w:left w:w="16" w:type="dxa"/>
              <w:right w:w="16" w:type="dxa"/>
            </w:tcMar>
            <w:vAlign w:val="center"/>
          </w:tcPr>
          <w:p w14:paraId="30F47B30">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施工工期</w:t>
            </w:r>
          </w:p>
        </w:tc>
        <w:tc>
          <w:tcPr>
            <w:tcW w:w="1725" w:type="pct"/>
            <w:noWrap w:val="0"/>
            <w:vAlign w:val="center"/>
          </w:tcPr>
          <w:p w14:paraId="01F1C6F3">
            <w:pPr>
              <w:pStyle w:val="87"/>
              <w:keepNext w:val="0"/>
              <w:keepLines w:val="0"/>
              <w:suppressLineNumbers w:val="0"/>
              <w:spacing w:before="0" w:beforeAutospacing="0" w:after="0" w:afterAutospacing="0"/>
              <w:ind w:left="0" w:right="0"/>
              <w:rPr>
                <w:rFonts w:hint="default" w:eastAsia="宋体"/>
                <w:snapToGrid w:val="0"/>
                <w:color w:val="auto"/>
                <w:lang w:val="en-US" w:eastAsia="zh-CN"/>
              </w:rPr>
            </w:pPr>
            <w:r>
              <w:rPr>
                <w:rFonts w:hint="eastAsia"/>
                <w:snapToGrid w:val="0"/>
                <w:color w:val="auto"/>
                <w:lang w:val="en-US" w:eastAsia="zh-CN"/>
              </w:rPr>
              <w:t>1个月</w:t>
            </w:r>
          </w:p>
        </w:tc>
      </w:tr>
      <w:tr w14:paraId="4722E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97" w:hRule="atLeast"/>
          <w:jc w:val="center"/>
        </w:trPr>
        <w:tc>
          <w:tcPr>
            <w:tcW w:w="613" w:type="pct"/>
            <w:noWrap w:val="0"/>
            <w:tcMar>
              <w:top w:w="16" w:type="dxa"/>
              <w:left w:w="16" w:type="dxa"/>
              <w:right w:w="16" w:type="dxa"/>
            </w:tcMar>
            <w:vAlign w:val="center"/>
          </w:tcPr>
          <w:p w14:paraId="36C5AF0C">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是否开工建设</w:t>
            </w:r>
          </w:p>
        </w:tc>
        <w:tc>
          <w:tcPr>
            <w:tcW w:w="1710" w:type="pct"/>
            <w:noWrap w:val="0"/>
            <w:vAlign w:val="center"/>
          </w:tcPr>
          <w:p w14:paraId="246EFE9F">
            <w:pPr>
              <w:pStyle w:val="87"/>
              <w:keepNext w:val="0"/>
              <w:keepLines w:val="0"/>
              <w:suppressLineNumbers w:val="0"/>
              <w:spacing w:before="0" w:beforeAutospacing="0" w:after="0" w:afterAutospacing="0"/>
              <w:ind w:left="0" w:right="0" w:firstLine="212" w:firstLineChars="100"/>
              <w:jc w:val="left"/>
              <w:rPr>
                <w:rFonts w:hint="eastAsia" w:ascii="宋体" w:hAnsi="宋体" w:eastAsia="宋体" w:cs="宋体"/>
                <w:snapToGrid w:val="0"/>
                <w:color w:val="auto"/>
              </w:rPr>
            </w:pPr>
            <w:r>
              <w:rPr>
                <w:rFonts w:hint="eastAsia" w:ascii="宋体" w:hAnsi="宋体" w:eastAsia="宋体" w:cs="宋体"/>
                <w:snapToGrid w:val="0"/>
                <w:color w:val="auto"/>
              </w:rPr>
              <w:sym w:font="Wingdings" w:char="00FE"/>
            </w:r>
            <w:r>
              <w:rPr>
                <w:rFonts w:hint="eastAsia" w:ascii="宋体" w:hAnsi="宋体" w:eastAsia="宋体" w:cs="宋体"/>
                <w:snapToGrid w:val="0"/>
                <w:color w:val="auto"/>
              </w:rPr>
              <w:t>否</w:t>
            </w:r>
          </w:p>
          <w:p w14:paraId="097ACE22">
            <w:pPr>
              <w:pStyle w:val="87"/>
              <w:keepNext w:val="0"/>
              <w:keepLines w:val="0"/>
              <w:suppressLineNumbers w:val="0"/>
              <w:spacing w:before="0" w:beforeAutospacing="0" w:after="0" w:afterAutospacing="0"/>
              <w:ind w:left="0" w:right="0" w:firstLine="212" w:firstLineChars="100"/>
              <w:jc w:val="left"/>
              <w:rPr>
                <w:rFonts w:hint="default"/>
                <w:snapToGrid w:val="0"/>
                <w:color w:val="auto"/>
              </w:rPr>
            </w:pPr>
            <w:r>
              <w:rPr>
                <w:rFonts w:hint="eastAsia" w:ascii="宋体" w:hAnsi="宋体" w:eastAsia="宋体" w:cs="宋体"/>
                <w:snapToGrid w:val="0"/>
                <w:color w:val="auto"/>
                <w:u w:val="none"/>
              </w:rPr>
              <w:sym w:font="Wingdings 2" w:char="00A3"/>
            </w:r>
            <w:r>
              <w:rPr>
                <w:rFonts w:hint="eastAsia" w:ascii="宋体" w:hAnsi="宋体" w:eastAsia="宋体" w:cs="宋体"/>
                <w:snapToGrid w:val="0"/>
                <w:color w:val="auto"/>
                <w:u w:val="none"/>
              </w:rPr>
              <w:t xml:space="preserve">是 </w:t>
            </w:r>
          </w:p>
        </w:tc>
        <w:tc>
          <w:tcPr>
            <w:tcW w:w="951" w:type="pct"/>
            <w:noWrap w:val="0"/>
            <w:tcMar>
              <w:top w:w="16" w:type="dxa"/>
              <w:left w:w="16" w:type="dxa"/>
              <w:right w:w="16" w:type="dxa"/>
            </w:tcMar>
            <w:vAlign w:val="center"/>
          </w:tcPr>
          <w:p w14:paraId="62B96D5D">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highlight w:val="none"/>
              </w:rPr>
              <w:t>用地面积（m</w:t>
            </w:r>
            <w:r>
              <w:rPr>
                <w:rFonts w:hint="default"/>
                <w:snapToGrid w:val="0"/>
                <w:color w:val="auto"/>
                <w:highlight w:val="none"/>
                <w:vertAlign w:val="superscript"/>
              </w:rPr>
              <w:t>2</w:t>
            </w:r>
            <w:r>
              <w:rPr>
                <w:rFonts w:hint="default"/>
                <w:snapToGrid w:val="0"/>
                <w:color w:val="auto"/>
                <w:highlight w:val="none"/>
              </w:rPr>
              <w:t>）</w:t>
            </w:r>
          </w:p>
        </w:tc>
        <w:tc>
          <w:tcPr>
            <w:tcW w:w="1725" w:type="pct"/>
            <w:noWrap w:val="0"/>
            <w:vAlign w:val="center"/>
          </w:tcPr>
          <w:p w14:paraId="1A1A492C">
            <w:pPr>
              <w:pStyle w:val="109"/>
              <w:keepNext w:val="0"/>
              <w:keepLines w:val="0"/>
              <w:suppressLineNumbers w:val="0"/>
              <w:spacing w:before="0" w:beforeAutospacing="0" w:after="0" w:afterAutospacing="0"/>
              <w:ind w:left="0" w:right="0" w:firstLine="0" w:firstLineChars="0"/>
              <w:jc w:val="center"/>
              <w:rPr>
                <w:rFonts w:hint="default" w:hAnsi="Times New Roman" w:eastAsia="宋体"/>
                <w:snapToGrid w:val="0"/>
                <w:color w:val="auto"/>
                <w:spacing w:val="1"/>
                <w:kern w:val="0"/>
                <w:sz w:val="21"/>
                <w:lang w:val="en-US" w:eastAsia="zh-CN"/>
              </w:rPr>
            </w:pPr>
            <w:r>
              <w:rPr>
                <w:rFonts w:hint="eastAsia" w:hAnsi="Times New Roman"/>
                <w:snapToGrid w:val="0"/>
                <w:color w:val="auto"/>
                <w:spacing w:val="1"/>
                <w:kern w:val="0"/>
                <w:sz w:val="21"/>
                <w:lang w:val="en-US" w:eastAsia="zh-CN"/>
              </w:rPr>
              <w:t>4888</w:t>
            </w:r>
          </w:p>
        </w:tc>
      </w:tr>
      <w:tr w14:paraId="5D655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3" w:hRule="atLeast"/>
          <w:jc w:val="center"/>
        </w:trPr>
        <w:tc>
          <w:tcPr>
            <w:tcW w:w="613" w:type="pct"/>
            <w:noWrap w:val="0"/>
            <w:vAlign w:val="center"/>
          </w:tcPr>
          <w:p w14:paraId="2FAD6FB7">
            <w:pPr>
              <w:pStyle w:val="87"/>
              <w:keepNext w:val="0"/>
              <w:keepLines w:val="0"/>
              <w:suppressLineNumbers w:val="0"/>
              <w:spacing w:before="0" w:beforeAutospacing="0" w:after="0" w:afterAutospacing="0"/>
              <w:ind w:left="0" w:right="0"/>
              <w:rPr>
                <w:rFonts w:hint="default"/>
                <w:snapToGrid w:val="0"/>
                <w:color w:val="auto"/>
              </w:rPr>
            </w:pPr>
            <w:r>
              <w:rPr>
                <w:rFonts w:hint="eastAsia"/>
                <w:snapToGrid w:val="0"/>
                <w:color w:val="auto"/>
                <w:lang w:eastAsia="zh-CN"/>
              </w:rPr>
              <w:t xml:space="preserve"> </w:t>
            </w:r>
            <w:r>
              <w:rPr>
                <w:rFonts w:hint="default"/>
                <w:snapToGrid w:val="0"/>
                <w:color w:val="auto"/>
              </w:rPr>
              <w:t>专项评价设置情况</w:t>
            </w:r>
          </w:p>
        </w:tc>
        <w:tc>
          <w:tcPr>
            <w:tcW w:w="4386" w:type="pct"/>
            <w:gridSpan w:val="3"/>
            <w:noWrap w:val="0"/>
            <w:vAlign w:val="center"/>
          </w:tcPr>
          <w:p w14:paraId="678EC92E">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项目专项情况说明如下表所示：</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3515"/>
              <w:gridCol w:w="2276"/>
              <w:gridCol w:w="1108"/>
            </w:tblGrid>
            <w:tr w14:paraId="0176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4850DEE9">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专项设置类别</w:t>
                  </w:r>
                </w:p>
              </w:tc>
              <w:tc>
                <w:tcPr>
                  <w:tcW w:w="2202" w:type="pct"/>
                  <w:noWrap w:val="0"/>
                  <w:vAlign w:val="center"/>
                </w:tcPr>
                <w:p w14:paraId="4D8D3868">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设置原则</w:t>
                  </w:r>
                </w:p>
              </w:tc>
              <w:tc>
                <w:tcPr>
                  <w:tcW w:w="1426" w:type="pct"/>
                  <w:noWrap w:val="0"/>
                  <w:vAlign w:val="center"/>
                </w:tcPr>
                <w:p w14:paraId="793F3193">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本项目情况</w:t>
                  </w:r>
                </w:p>
              </w:tc>
              <w:tc>
                <w:tcPr>
                  <w:tcW w:w="694" w:type="pct"/>
                  <w:noWrap w:val="0"/>
                  <w:vAlign w:val="center"/>
                </w:tcPr>
                <w:p w14:paraId="476EEBCF">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是否</w:t>
                  </w:r>
                  <w:r>
                    <w:rPr>
                      <w:rFonts w:hint="default" w:ascii="Times New Roman" w:hAnsi="Times New Roman" w:cs="Times New Roman"/>
                      <w:b/>
                      <w:bCs/>
                      <w:color w:val="000000"/>
                      <w:spacing w:val="0"/>
                      <w:w w:val="100"/>
                      <w:position w:val="0"/>
                      <w:sz w:val="21"/>
                      <w:szCs w:val="21"/>
                      <w:lang w:eastAsia="zh-CN"/>
                    </w:rPr>
                    <w:t>专</w:t>
                  </w:r>
                  <w:r>
                    <w:rPr>
                      <w:rFonts w:hint="default" w:ascii="Times New Roman" w:hAnsi="Times New Roman" w:cs="Times New Roman"/>
                      <w:b/>
                      <w:bCs/>
                      <w:color w:val="000000"/>
                      <w:spacing w:val="0"/>
                      <w:w w:val="100"/>
                      <w:position w:val="0"/>
                      <w:sz w:val="21"/>
                      <w:szCs w:val="21"/>
                    </w:rPr>
                    <w:t>项评价</w:t>
                  </w:r>
                </w:p>
              </w:tc>
            </w:tr>
            <w:tr w14:paraId="60F5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08B47714">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大气</w:t>
                  </w:r>
                </w:p>
              </w:tc>
              <w:tc>
                <w:tcPr>
                  <w:tcW w:w="2202" w:type="pct"/>
                  <w:noWrap w:val="0"/>
                  <w:vAlign w:val="center"/>
                </w:tcPr>
                <w:p w14:paraId="4E5D5229">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排放废气含有毒有害污染物、二嗯英、苯并</w:t>
                  </w:r>
                  <w:r>
                    <w:rPr>
                      <w:rFonts w:hint="default" w:ascii="Times New Roman" w:hAnsi="Times New Roman" w:eastAsia="Times New Roman" w:cs="Times New Roman"/>
                      <w:color w:val="000000"/>
                      <w:spacing w:val="0"/>
                      <w:w w:val="100"/>
                      <w:position w:val="0"/>
                      <w:sz w:val="21"/>
                      <w:szCs w:val="21"/>
                    </w:rPr>
                    <w:t>［a］</w:t>
                  </w:r>
                  <w:r>
                    <w:rPr>
                      <w:rFonts w:hint="default" w:ascii="Times New Roman" w:hAnsi="Times New Roman" w:cs="Times New Roman"/>
                      <w:color w:val="000000"/>
                      <w:spacing w:val="0"/>
                      <w:w w:val="100"/>
                      <w:position w:val="0"/>
                      <w:sz w:val="21"/>
                      <w:szCs w:val="21"/>
                    </w:rPr>
                    <w:t>芘、氰化物、氯气且厂界外</w:t>
                  </w:r>
                  <w:r>
                    <w:rPr>
                      <w:rFonts w:hint="default" w:ascii="Times New Roman" w:hAnsi="Times New Roman" w:eastAsia="Times New Roman" w:cs="Times New Roman"/>
                      <w:color w:val="000000"/>
                      <w:spacing w:val="0"/>
                      <w:w w:val="100"/>
                      <w:position w:val="0"/>
                      <w:sz w:val="21"/>
                      <w:szCs w:val="21"/>
                    </w:rPr>
                    <w:t>500</w:t>
                  </w:r>
                  <w:r>
                    <w:rPr>
                      <w:rFonts w:hint="default" w:ascii="Times New Roman" w:hAnsi="Times New Roman" w:cs="Times New Roman"/>
                      <w:color w:val="000000"/>
                      <w:spacing w:val="0"/>
                      <w:w w:val="100"/>
                      <w:position w:val="0"/>
                      <w:sz w:val="21"/>
                      <w:szCs w:val="21"/>
                    </w:rPr>
                    <w:t>米范围内有环境空气保护目标的建设项目</w:t>
                  </w:r>
                </w:p>
              </w:tc>
              <w:tc>
                <w:tcPr>
                  <w:tcW w:w="1426" w:type="pct"/>
                  <w:noWrap w:val="0"/>
                  <w:vAlign w:val="center"/>
                </w:tcPr>
                <w:p w14:paraId="2D068C72">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本项目排放废气主要为</w:t>
                  </w:r>
                  <w:r>
                    <w:rPr>
                      <w:rFonts w:hint="eastAsia" w:ascii="Times New Roman" w:hAnsi="Times New Roman" w:cs="Times New Roman"/>
                      <w:color w:val="000000"/>
                      <w:spacing w:val="0"/>
                      <w:w w:val="100"/>
                      <w:position w:val="0"/>
                      <w:sz w:val="21"/>
                      <w:szCs w:val="21"/>
                      <w:lang w:val="en-US" w:eastAsia="zh-CN"/>
                    </w:rPr>
                    <w:t>颗粒物、非甲烷总烃</w:t>
                  </w:r>
                  <w:r>
                    <w:rPr>
                      <w:rFonts w:hint="default" w:ascii="Times New Roman" w:hAnsi="Times New Roman" w:cs="Times New Roman"/>
                      <w:color w:val="000000"/>
                      <w:spacing w:val="0"/>
                      <w:w w:val="100"/>
                      <w:position w:val="0"/>
                      <w:sz w:val="21"/>
                      <w:szCs w:val="21"/>
                    </w:rPr>
                    <w:t>等，不属于《有毒有害大气污染物名录》的污染物</w:t>
                  </w:r>
                </w:p>
              </w:tc>
              <w:tc>
                <w:tcPr>
                  <w:tcW w:w="694" w:type="pct"/>
                  <w:noWrap w:val="0"/>
                  <w:vAlign w:val="center"/>
                </w:tcPr>
                <w:p w14:paraId="253D6D05">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否</w:t>
                  </w:r>
                </w:p>
              </w:tc>
            </w:tr>
            <w:tr w14:paraId="462D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0BD41B20">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地表水</w:t>
                  </w:r>
                </w:p>
              </w:tc>
              <w:tc>
                <w:tcPr>
                  <w:tcW w:w="2202" w:type="pct"/>
                  <w:noWrap w:val="0"/>
                  <w:vAlign w:val="center"/>
                </w:tcPr>
                <w:p w14:paraId="093E818E">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新增工业废水直排建设项目（槽罐车外送污水处理厂的除外）</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cs="Times New Roman"/>
                      <w:color w:val="000000"/>
                      <w:spacing w:val="0"/>
                      <w:w w:val="100"/>
                      <w:position w:val="0"/>
                      <w:sz w:val="21"/>
                      <w:szCs w:val="21"/>
                    </w:rPr>
                    <w:t>新增废水直排的污水集中处理厂</w:t>
                  </w:r>
                </w:p>
              </w:tc>
              <w:tc>
                <w:tcPr>
                  <w:tcW w:w="1426" w:type="pct"/>
                  <w:noWrap w:val="0"/>
                  <w:vAlign w:val="center"/>
                </w:tcPr>
                <w:p w14:paraId="02878A70">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cs="Times New Roman"/>
                      <w:color w:val="000000"/>
                      <w:spacing w:val="0"/>
                      <w:w w:val="100"/>
                      <w:position w:val="0"/>
                      <w:sz w:val="21"/>
                      <w:szCs w:val="21"/>
                    </w:rPr>
                    <w:t>本项目</w:t>
                  </w:r>
                  <w:r>
                    <w:rPr>
                      <w:rFonts w:hint="eastAsia" w:ascii="Times New Roman" w:hAnsi="Times New Roman" w:cs="Times New Roman"/>
                      <w:color w:val="000000"/>
                      <w:spacing w:val="0"/>
                      <w:w w:val="100"/>
                      <w:position w:val="0"/>
                      <w:sz w:val="21"/>
                      <w:szCs w:val="21"/>
                      <w:lang w:val="en-US" w:eastAsia="zh-CN"/>
                    </w:rPr>
                    <w:t>无生产废水</w:t>
                  </w:r>
                </w:p>
              </w:tc>
              <w:tc>
                <w:tcPr>
                  <w:tcW w:w="694" w:type="pct"/>
                  <w:noWrap w:val="0"/>
                  <w:vAlign w:val="center"/>
                </w:tcPr>
                <w:p w14:paraId="7D0599AF">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color w:val="000000"/>
                      <w:spacing w:val="0"/>
                      <w:w w:val="100"/>
                      <w:position w:val="0"/>
                      <w:sz w:val="21"/>
                      <w:szCs w:val="21"/>
                      <w:lang w:eastAsia="zh-CN"/>
                    </w:rPr>
                    <w:t>否</w:t>
                  </w:r>
                </w:p>
              </w:tc>
            </w:tr>
            <w:tr w14:paraId="2408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76" w:type="pct"/>
                  <w:noWrap w:val="0"/>
                  <w:vAlign w:val="center"/>
                </w:tcPr>
                <w:p w14:paraId="17570490">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环境风险</w:t>
                  </w:r>
                </w:p>
              </w:tc>
              <w:tc>
                <w:tcPr>
                  <w:tcW w:w="2202" w:type="pct"/>
                  <w:noWrap w:val="0"/>
                  <w:vAlign w:val="center"/>
                </w:tcPr>
                <w:p w14:paraId="13B39607">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有毒有害和易燃易爆危险物质储量超过临界量的建设项目</w:t>
                  </w:r>
                </w:p>
              </w:tc>
              <w:tc>
                <w:tcPr>
                  <w:tcW w:w="1426" w:type="pct"/>
                  <w:noWrap w:val="0"/>
                  <w:vAlign w:val="center"/>
                </w:tcPr>
                <w:p w14:paraId="2A5EE16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项目</w:t>
                  </w:r>
                  <w:r>
                    <w:rPr>
                      <w:rFonts w:hint="eastAsia" w:cs="Times New Roman"/>
                      <w:kern w:val="0"/>
                      <w:sz w:val="21"/>
                      <w:szCs w:val="21"/>
                      <w:vertAlign w:val="baseline"/>
                      <w:lang w:val="en-US" w:eastAsia="zh-CN"/>
                    </w:rPr>
                    <w:t>树脂漆、</w:t>
                  </w:r>
                  <w:r>
                    <w:rPr>
                      <w:rFonts w:hint="default" w:ascii="Times New Roman" w:hAnsi="Times New Roman" w:eastAsia="宋体" w:cs="Times New Roman"/>
                      <w:kern w:val="0"/>
                      <w:sz w:val="21"/>
                      <w:szCs w:val="21"/>
                      <w:vertAlign w:val="baseline"/>
                      <w:lang w:val="en-US" w:eastAsia="zh-CN"/>
                    </w:rPr>
                    <w:t>润滑油、黄油</w:t>
                  </w:r>
                  <w:r>
                    <w:rPr>
                      <w:rFonts w:hint="eastAsia" w:cs="Times New Roman"/>
                      <w:kern w:val="0"/>
                      <w:sz w:val="21"/>
                      <w:szCs w:val="21"/>
                      <w:vertAlign w:val="baseline"/>
                      <w:lang w:val="en-US" w:eastAsia="zh-CN"/>
                    </w:rPr>
                    <w:t>等</w:t>
                  </w:r>
                  <w:r>
                    <w:rPr>
                      <w:rFonts w:hint="eastAsia" w:ascii="Times New Roman" w:hAnsi="Times New Roman" w:eastAsia="宋体" w:cs="Times New Roman"/>
                      <w:kern w:val="0"/>
                      <w:sz w:val="21"/>
                      <w:szCs w:val="21"/>
                      <w:vertAlign w:val="baseline"/>
                      <w:lang w:val="en-US" w:eastAsia="zh-CN"/>
                    </w:rPr>
                    <w:t>暂存量未超过临界量</w:t>
                  </w:r>
                </w:p>
              </w:tc>
              <w:tc>
                <w:tcPr>
                  <w:tcW w:w="694" w:type="pct"/>
                  <w:noWrap w:val="0"/>
                  <w:vAlign w:val="center"/>
                </w:tcPr>
                <w:p w14:paraId="506761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eastAsia="宋体" w:cs="Times New Roman"/>
                      <w:kern w:val="0"/>
                      <w:sz w:val="21"/>
                      <w:szCs w:val="21"/>
                      <w:vertAlign w:val="baseline"/>
                      <w:lang w:eastAsia="zh-CN"/>
                    </w:rPr>
                    <w:t>否</w:t>
                  </w:r>
                </w:p>
              </w:tc>
            </w:tr>
            <w:tr w14:paraId="423D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0636B14A">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生态</w:t>
                  </w:r>
                </w:p>
              </w:tc>
              <w:tc>
                <w:tcPr>
                  <w:tcW w:w="2202" w:type="pct"/>
                  <w:noWrap w:val="0"/>
                  <w:vAlign w:val="center"/>
                </w:tcPr>
                <w:p w14:paraId="71D6C412">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rPr>
                    <w:t>取水口下游</w:t>
                  </w:r>
                  <w:r>
                    <w:rPr>
                      <w:rFonts w:hint="default" w:ascii="Times New Roman" w:hAnsi="Times New Roman" w:eastAsia="Times New Roman" w:cs="Times New Roman"/>
                      <w:color w:val="000000"/>
                      <w:spacing w:val="0"/>
                      <w:w w:val="100"/>
                      <w:position w:val="0"/>
                      <w:sz w:val="21"/>
                      <w:szCs w:val="21"/>
                    </w:rPr>
                    <w:t>500m</w:t>
                  </w:r>
                  <w:r>
                    <w:rPr>
                      <w:rFonts w:hint="default" w:ascii="Times New Roman" w:hAnsi="Times New Roman" w:cs="Times New Roman"/>
                      <w:color w:val="000000"/>
                      <w:spacing w:val="0"/>
                      <w:w w:val="100"/>
                      <w:position w:val="0"/>
                      <w:sz w:val="21"/>
                      <w:szCs w:val="21"/>
                    </w:rPr>
                    <w:t>范围内</w:t>
                  </w:r>
                </w:p>
                <w:p w14:paraId="1B0E056A">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有重要水生生物的自然产卵场、索饵场、越冬场和洄游通道的新增河道取水的污染类建设项目</w:t>
                  </w:r>
                </w:p>
              </w:tc>
              <w:tc>
                <w:tcPr>
                  <w:tcW w:w="1426" w:type="pct"/>
                  <w:noWrap w:val="0"/>
                  <w:vAlign w:val="center"/>
                </w:tcPr>
                <w:p w14:paraId="2A31764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rPr>
                    <w:t>项目</w:t>
                  </w:r>
                  <w:r>
                    <w:rPr>
                      <w:rFonts w:hint="eastAsia" w:ascii="Times New Roman" w:hAnsi="Times New Roman" w:eastAsia="宋体" w:cs="Times New Roman"/>
                      <w:kern w:val="0"/>
                      <w:sz w:val="21"/>
                      <w:szCs w:val="21"/>
                      <w:vertAlign w:val="baseline"/>
                      <w:lang w:val="en-US" w:eastAsia="zh-CN"/>
                    </w:rPr>
                    <w:t>由市政自来水管网供水，无取水口</w:t>
                  </w:r>
                </w:p>
              </w:tc>
              <w:tc>
                <w:tcPr>
                  <w:tcW w:w="694" w:type="pct"/>
                  <w:noWrap w:val="0"/>
                  <w:vAlign w:val="center"/>
                </w:tcPr>
                <w:p w14:paraId="5E4F26D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eastAsia="宋体" w:cs="Times New Roman"/>
                      <w:kern w:val="0"/>
                      <w:sz w:val="21"/>
                      <w:szCs w:val="21"/>
                      <w:vertAlign w:val="baseline"/>
                      <w:lang w:eastAsia="zh-CN"/>
                    </w:rPr>
                    <w:t>否</w:t>
                  </w:r>
                </w:p>
              </w:tc>
            </w:tr>
            <w:tr w14:paraId="5DC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3E9F61DE">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海洋</w:t>
                  </w:r>
                </w:p>
              </w:tc>
              <w:tc>
                <w:tcPr>
                  <w:tcW w:w="2202" w:type="pct"/>
                  <w:noWrap w:val="0"/>
                  <w:vAlign w:val="center"/>
                </w:tcPr>
                <w:p w14:paraId="3905BC99">
                  <w:pPr>
                    <w:pStyle w:val="133"/>
                    <w:keepNext w:val="0"/>
                    <w:keepLines w:val="0"/>
                    <w:pageBreakBefore w:val="0"/>
                    <w:widowControl w:val="0"/>
                    <w:suppressLineNumbers w:val="0"/>
                    <w:shd w:val="clear" w:color="auto" w:fill="auto"/>
                    <w:kinsoku/>
                    <w:wordWrap/>
                    <w:overflowPunct/>
                    <w:topLinePunct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直接向海排放污染物</w:t>
                  </w:r>
                  <w:r>
                    <w:rPr>
                      <w:rFonts w:hint="default" w:ascii="Times New Roman" w:hAnsi="Times New Roman" w:cs="Times New Roman"/>
                      <w:color w:val="000000"/>
                      <w:spacing w:val="0"/>
                      <w:w w:val="100"/>
                      <w:position w:val="0"/>
                      <w:sz w:val="21"/>
                      <w:szCs w:val="21"/>
                      <w:lang w:eastAsia="zh-CN"/>
                    </w:rPr>
                    <w:t>的</w:t>
                  </w:r>
                  <w:r>
                    <w:rPr>
                      <w:rFonts w:hint="default" w:ascii="Times New Roman" w:hAnsi="Times New Roman" w:cs="Times New Roman"/>
                      <w:color w:val="000000"/>
                      <w:spacing w:val="0"/>
                      <w:w w:val="100"/>
                      <w:position w:val="0"/>
                      <w:sz w:val="21"/>
                      <w:szCs w:val="21"/>
                    </w:rPr>
                    <w:t>海洋工程建设项目</w:t>
                  </w:r>
                </w:p>
              </w:tc>
              <w:tc>
                <w:tcPr>
                  <w:tcW w:w="1426" w:type="pct"/>
                  <w:noWrap w:val="0"/>
                  <w:vAlign w:val="center"/>
                </w:tcPr>
                <w:p w14:paraId="500F51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eastAsia="宋体" w:cs="Times New Roman"/>
                      <w:kern w:val="0"/>
                      <w:sz w:val="21"/>
                      <w:szCs w:val="21"/>
                      <w:vertAlign w:val="baseline"/>
                      <w:lang w:eastAsia="zh-CN"/>
                    </w:rPr>
                    <w:t>不属于海洋工程</w:t>
                  </w:r>
                </w:p>
              </w:tc>
              <w:tc>
                <w:tcPr>
                  <w:tcW w:w="694" w:type="pct"/>
                  <w:noWrap w:val="0"/>
                  <w:vAlign w:val="center"/>
                </w:tcPr>
                <w:p w14:paraId="37F216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eastAsia="宋体" w:cs="Times New Roman"/>
                      <w:kern w:val="0"/>
                      <w:sz w:val="21"/>
                      <w:szCs w:val="21"/>
                      <w:vertAlign w:val="baseline"/>
                      <w:lang w:eastAsia="zh-CN"/>
                    </w:rPr>
                    <w:t>否</w:t>
                  </w:r>
                </w:p>
              </w:tc>
            </w:tr>
          </w:tbl>
          <w:p w14:paraId="11AD0A48">
            <w:pPr>
              <w:pStyle w:val="87"/>
              <w:keepNext w:val="0"/>
              <w:keepLines w:val="0"/>
              <w:suppressLineNumbers w:val="0"/>
              <w:spacing w:before="157" w:beforeLines="50" w:beforeAutospacing="0" w:after="0" w:afterAutospacing="0" w:line="360" w:lineRule="auto"/>
              <w:ind w:left="0" w:right="0" w:firstLine="484" w:firstLineChars="200"/>
              <w:jc w:val="both"/>
              <w:rPr>
                <w:rFonts w:hint="eastAsia" w:eastAsia="宋体"/>
                <w:sz w:val="24"/>
                <w:lang w:eastAsia="zh-CN"/>
              </w:rPr>
            </w:pPr>
            <w:r>
              <w:rPr>
                <w:rFonts w:hint="default" w:ascii="Times New Roman" w:hAnsi="Times New Roman" w:eastAsia="宋体" w:cs="Times New Roman"/>
                <w:kern w:val="0"/>
                <w:sz w:val="24"/>
                <w:szCs w:val="24"/>
                <w:lang w:val="en-US" w:eastAsia="zh-CN"/>
              </w:rPr>
              <w:t>综上所述，本项目无需设置专项评价。</w:t>
            </w:r>
          </w:p>
        </w:tc>
      </w:tr>
      <w:tr w14:paraId="191D0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43" w:hRule="atLeast"/>
          <w:jc w:val="center"/>
        </w:trPr>
        <w:tc>
          <w:tcPr>
            <w:tcW w:w="613" w:type="pct"/>
            <w:noWrap w:val="0"/>
            <w:vAlign w:val="center"/>
          </w:tcPr>
          <w:p w14:paraId="0AEB83DD">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规划情况</w:t>
            </w:r>
          </w:p>
        </w:tc>
        <w:tc>
          <w:tcPr>
            <w:tcW w:w="4386" w:type="pct"/>
            <w:gridSpan w:val="3"/>
            <w:noWrap w:val="0"/>
            <w:vAlign w:val="center"/>
          </w:tcPr>
          <w:p w14:paraId="7CF4EA55">
            <w:pPr>
              <w:pStyle w:val="87"/>
              <w:keepNext w:val="0"/>
              <w:keepLines w:val="0"/>
              <w:suppressLineNumbers w:val="0"/>
              <w:spacing w:before="0" w:beforeAutospacing="0" w:after="0" w:afterAutospacing="0"/>
              <w:ind w:left="0" w:right="0"/>
              <w:rPr>
                <w:rFonts w:hint="eastAsia" w:eastAsia="宋体"/>
                <w:snapToGrid w:val="0"/>
                <w:color w:val="auto"/>
                <w:sz w:val="24"/>
                <w:lang w:val="en-US" w:eastAsia="zh-CN"/>
              </w:rPr>
            </w:pPr>
            <w:r>
              <w:rPr>
                <w:rFonts w:hint="eastAsia"/>
              </w:rPr>
              <w:t>无</w:t>
            </w:r>
          </w:p>
        </w:tc>
      </w:tr>
      <w:tr w14:paraId="14BAF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957" w:hRule="atLeast"/>
          <w:jc w:val="center"/>
        </w:trPr>
        <w:tc>
          <w:tcPr>
            <w:tcW w:w="613" w:type="pct"/>
            <w:noWrap w:val="0"/>
            <w:vAlign w:val="center"/>
          </w:tcPr>
          <w:p w14:paraId="46C368A9">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规划环境影响评价情况</w:t>
            </w:r>
          </w:p>
        </w:tc>
        <w:tc>
          <w:tcPr>
            <w:tcW w:w="4386" w:type="pct"/>
            <w:gridSpan w:val="3"/>
            <w:noWrap w:val="0"/>
            <w:vAlign w:val="center"/>
          </w:tcPr>
          <w:p w14:paraId="467E6530">
            <w:pPr>
              <w:pStyle w:val="87"/>
              <w:keepNext w:val="0"/>
              <w:keepLines w:val="0"/>
              <w:suppressLineNumbers w:val="0"/>
              <w:spacing w:before="157" w:beforeLines="50" w:beforeAutospacing="0" w:after="157" w:afterLines="50" w:afterAutospacing="0" w:line="300" w:lineRule="auto"/>
              <w:ind w:left="0" w:right="0"/>
              <w:jc w:val="center"/>
              <w:rPr>
                <w:rFonts w:hint="eastAsia" w:eastAsia="宋体"/>
                <w:snapToGrid w:val="0"/>
                <w:color w:val="auto"/>
                <w:sz w:val="24"/>
                <w:lang w:val="en-US" w:eastAsia="zh-CN"/>
              </w:rPr>
            </w:pPr>
            <w:r>
              <w:rPr>
                <w:rFonts w:hint="eastAsia"/>
              </w:rPr>
              <w:t>无</w:t>
            </w:r>
          </w:p>
        </w:tc>
      </w:tr>
      <w:tr w14:paraId="1C13C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80" w:hRule="atLeast"/>
          <w:jc w:val="center"/>
        </w:trPr>
        <w:tc>
          <w:tcPr>
            <w:tcW w:w="613" w:type="pct"/>
            <w:noWrap w:val="0"/>
            <w:vAlign w:val="center"/>
          </w:tcPr>
          <w:p w14:paraId="656B6493">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规划及规划环境影响评价符合性分析</w:t>
            </w:r>
          </w:p>
        </w:tc>
        <w:tc>
          <w:tcPr>
            <w:tcW w:w="4386" w:type="pct"/>
            <w:gridSpan w:val="3"/>
            <w:noWrap w:val="0"/>
            <w:vAlign w:val="center"/>
          </w:tcPr>
          <w:p w14:paraId="2F5805B8">
            <w:pPr>
              <w:pStyle w:val="23"/>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rPr>
              <w:t>无</w:t>
            </w:r>
          </w:p>
        </w:tc>
      </w:tr>
      <w:tr w14:paraId="34B2A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021" w:hRule="atLeast"/>
          <w:jc w:val="center"/>
        </w:trPr>
        <w:tc>
          <w:tcPr>
            <w:tcW w:w="613" w:type="pct"/>
            <w:noWrap w:val="0"/>
            <w:vAlign w:val="center"/>
          </w:tcPr>
          <w:p w14:paraId="2201F448">
            <w:pPr>
              <w:pStyle w:val="87"/>
              <w:keepNext w:val="0"/>
              <w:keepLines w:val="0"/>
              <w:suppressLineNumbers w:val="0"/>
              <w:spacing w:before="0" w:beforeAutospacing="0" w:after="0" w:afterAutospacing="0"/>
              <w:ind w:left="0" w:right="0"/>
              <w:rPr>
                <w:rFonts w:hint="default"/>
                <w:snapToGrid w:val="0"/>
                <w:color w:val="auto"/>
              </w:rPr>
            </w:pPr>
            <w:r>
              <w:rPr>
                <w:rFonts w:hint="default"/>
                <w:snapToGrid w:val="0"/>
                <w:color w:val="auto"/>
              </w:rPr>
              <w:t>其他符合性分析</w:t>
            </w:r>
          </w:p>
        </w:tc>
        <w:tc>
          <w:tcPr>
            <w:tcW w:w="4386" w:type="pct"/>
            <w:gridSpan w:val="3"/>
            <w:noWrap w:val="0"/>
            <w:vAlign w:val="top"/>
          </w:tcPr>
          <w:p w14:paraId="65DA1C0C">
            <w:pPr>
              <w:pStyle w:val="88"/>
              <w:keepNext w:val="0"/>
              <w:keepLines w:val="0"/>
              <w:widowControl/>
              <w:suppressLineNumbers w:val="0"/>
              <w:spacing w:before="0" w:beforeAutospacing="0" w:after="0" w:afterAutospacing="0"/>
              <w:ind w:left="0" w:right="0" w:firstLine="480"/>
              <w:rPr>
                <w:rFonts w:hint="default"/>
                <w:b/>
                <w:bCs/>
                <w:snapToGrid w:val="0"/>
                <w:color w:val="auto"/>
                <w:sz w:val="24"/>
                <w:szCs w:val="24"/>
              </w:rPr>
            </w:pPr>
            <w:r>
              <w:rPr>
                <w:rFonts w:hint="default"/>
                <w:b/>
                <w:bCs/>
                <w:snapToGrid w:val="0"/>
                <w:color w:val="auto"/>
                <w:sz w:val="24"/>
                <w:szCs w:val="24"/>
              </w:rPr>
              <w:t>1、产业政策符合性分析</w:t>
            </w:r>
          </w:p>
          <w:p w14:paraId="22A2EB4E">
            <w:pPr>
              <w:pStyle w:val="88"/>
              <w:keepNext w:val="0"/>
              <w:keepLines w:val="0"/>
              <w:widowControl/>
              <w:suppressLineNumbers w:val="0"/>
              <w:spacing w:before="0" w:beforeAutospacing="0" w:after="0" w:afterAutospacing="0"/>
              <w:ind w:left="0" w:right="0" w:firstLine="480"/>
              <w:rPr>
                <w:rFonts w:hint="default"/>
                <w:color w:val="auto"/>
                <w:sz w:val="24"/>
                <w:szCs w:val="24"/>
              </w:rPr>
            </w:pPr>
            <w:r>
              <w:rPr>
                <w:rFonts w:hint="default"/>
                <w:snapToGrid w:val="0"/>
                <w:color w:val="auto"/>
                <w:sz w:val="24"/>
                <w:szCs w:val="24"/>
              </w:rPr>
              <w:t>本项目属于</w:t>
            </w:r>
            <w:r>
              <w:rPr>
                <w:rFonts w:hint="default"/>
                <w:snapToGrid w:val="0"/>
                <w:color w:val="auto"/>
                <w:sz w:val="24"/>
                <w:szCs w:val="24"/>
                <w:lang w:val="en-US"/>
              </w:rPr>
              <w:t>其他未列明制造业</w:t>
            </w:r>
            <w:r>
              <w:rPr>
                <w:rFonts w:hint="eastAsia"/>
                <w:snapToGrid w:val="0"/>
                <w:color w:val="auto"/>
                <w:sz w:val="24"/>
                <w:szCs w:val="24"/>
                <w:lang w:val="en-US" w:eastAsia="zh-CN"/>
              </w:rPr>
              <w:t>及环境保护专用设备制造</w:t>
            </w:r>
            <w:r>
              <w:rPr>
                <w:rFonts w:hint="default"/>
                <w:snapToGrid w:val="0"/>
                <w:color w:val="auto"/>
                <w:sz w:val="24"/>
                <w:szCs w:val="24"/>
              </w:rPr>
              <w:t>，</w:t>
            </w:r>
            <w:r>
              <w:rPr>
                <w:rFonts w:hint="eastAsia"/>
                <w:snapToGrid w:val="0"/>
                <w:color w:val="auto"/>
                <w:sz w:val="24"/>
                <w:szCs w:val="24"/>
                <w:lang w:val="en-US" w:eastAsia="zh-CN"/>
              </w:rPr>
              <w:t>主要生产花炮机械及布袋除尘器，</w:t>
            </w:r>
            <w:r>
              <w:rPr>
                <w:rFonts w:hint="eastAsia"/>
                <w:snapToGrid w:val="0"/>
                <w:color w:val="auto"/>
                <w:sz w:val="24"/>
                <w:szCs w:val="24"/>
                <w:lang w:eastAsia="zh-CN"/>
              </w:rPr>
              <w:t>根据2023年12月27日国家发展改革委令第7号公布《产业结构调整指导目录（2024年本）》</w:t>
            </w:r>
            <w:r>
              <w:rPr>
                <w:rFonts w:hint="default"/>
                <w:snapToGrid w:val="0"/>
                <w:color w:val="auto"/>
                <w:sz w:val="24"/>
                <w:szCs w:val="24"/>
              </w:rPr>
              <w:t>，本项目生产工艺和产品不属于鼓励类、限制类和淘汰类，为允许类项目；</w:t>
            </w:r>
            <w:r>
              <w:rPr>
                <w:rFonts w:hint="default"/>
                <w:color w:val="auto"/>
                <w:sz w:val="24"/>
                <w:szCs w:val="24"/>
              </w:rPr>
              <w:t>根据</w:t>
            </w:r>
            <w:r>
              <w:rPr>
                <w:rFonts w:hint="eastAsia"/>
                <w:color w:val="auto"/>
                <w:sz w:val="24"/>
                <w:szCs w:val="24"/>
                <w:lang w:eastAsia="zh-CN"/>
              </w:rPr>
              <w:t>《市场准入负面清单》（2025年版）</w:t>
            </w:r>
            <w:r>
              <w:rPr>
                <w:rFonts w:hint="default"/>
                <w:color w:val="auto"/>
                <w:sz w:val="24"/>
                <w:szCs w:val="24"/>
              </w:rPr>
              <w:t>，项目不属于国家产业政策中限制或禁止建设</w:t>
            </w:r>
            <w:r>
              <w:rPr>
                <w:rFonts w:hint="eastAsia"/>
                <w:color w:val="auto"/>
                <w:sz w:val="24"/>
                <w:szCs w:val="24"/>
              </w:rPr>
              <w:t>的</w:t>
            </w:r>
            <w:r>
              <w:rPr>
                <w:rFonts w:hint="default"/>
                <w:color w:val="auto"/>
                <w:sz w:val="24"/>
                <w:szCs w:val="24"/>
              </w:rPr>
              <w:t>类别。</w:t>
            </w:r>
          </w:p>
          <w:p w14:paraId="10982F48">
            <w:pPr>
              <w:pStyle w:val="88"/>
              <w:keepNext w:val="0"/>
              <w:keepLines w:val="0"/>
              <w:widowControl/>
              <w:suppressLineNumbers w:val="0"/>
              <w:spacing w:before="0" w:beforeAutospacing="0" w:after="0" w:afterAutospacing="0"/>
              <w:ind w:left="0" w:right="0" w:firstLine="480"/>
              <w:rPr>
                <w:rFonts w:hint="default"/>
                <w:snapToGrid w:val="0"/>
                <w:color w:val="auto"/>
                <w:sz w:val="24"/>
                <w:szCs w:val="24"/>
              </w:rPr>
            </w:pPr>
            <w:r>
              <w:rPr>
                <w:rFonts w:hint="default"/>
                <w:snapToGrid w:val="0"/>
                <w:color w:val="auto"/>
                <w:sz w:val="24"/>
                <w:szCs w:val="24"/>
              </w:rPr>
              <w:t>因此，该</w:t>
            </w:r>
            <w:r>
              <w:rPr>
                <w:rFonts w:hint="eastAsia"/>
                <w:snapToGrid w:val="0"/>
                <w:color w:val="auto"/>
                <w:sz w:val="24"/>
                <w:szCs w:val="24"/>
              </w:rPr>
              <w:t>项目</w:t>
            </w:r>
            <w:r>
              <w:rPr>
                <w:rFonts w:hint="default"/>
                <w:snapToGrid w:val="0"/>
                <w:color w:val="auto"/>
                <w:sz w:val="24"/>
                <w:szCs w:val="24"/>
              </w:rPr>
              <w:t>建设符合国家的产业政策。</w:t>
            </w:r>
          </w:p>
          <w:p w14:paraId="58F241D8">
            <w:pPr>
              <w:pStyle w:val="109"/>
              <w:keepNext w:val="0"/>
              <w:keepLines w:val="0"/>
              <w:suppressLineNumbers w:val="0"/>
              <w:spacing w:before="0" w:beforeLines="0" w:beforeAutospacing="0" w:after="0" w:afterAutospacing="0"/>
              <w:ind w:left="0" w:right="0" w:firstLine="480"/>
              <w:rPr>
                <w:rFonts w:hint="eastAsia"/>
                <w:b/>
                <w:bCs/>
                <w:snapToGrid w:val="0"/>
                <w:color w:val="auto"/>
                <w:sz w:val="24"/>
                <w:szCs w:val="24"/>
                <w:lang w:val="en-US" w:eastAsia="zh-CN"/>
              </w:rPr>
            </w:pPr>
            <w:r>
              <w:rPr>
                <w:rFonts w:hint="eastAsia"/>
                <w:b/>
                <w:bCs/>
                <w:snapToGrid w:val="0"/>
                <w:color w:val="auto"/>
                <w:sz w:val="24"/>
                <w:szCs w:val="24"/>
                <w:lang w:val="en-US" w:eastAsia="zh-CN"/>
              </w:rPr>
              <w:t>2、选址可行性分析</w:t>
            </w:r>
          </w:p>
          <w:p w14:paraId="7BA0A26C">
            <w:pPr>
              <w:pStyle w:val="109"/>
              <w:keepNext w:val="0"/>
              <w:keepLines w:val="0"/>
              <w:suppressLineNumbers w:val="0"/>
              <w:spacing w:before="0" w:beforeLines="0" w:beforeAutospacing="0" w:after="0" w:afterAutospacing="0"/>
              <w:ind w:left="0" w:right="0" w:firstLine="480"/>
              <w:rPr>
                <w:rFonts w:hint="eastAsia"/>
                <w:snapToGrid w:val="0"/>
                <w:color w:val="auto"/>
                <w:sz w:val="24"/>
                <w:szCs w:val="24"/>
                <w:lang w:val="en-US" w:eastAsia="zh-CN"/>
              </w:rPr>
            </w:pPr>
            <w:r>
              <w:rPr>
                <w:rFonts w:hint="default"/>
                <w:snapToGrid w:val="0"/>
                <w:color w:val="auto"/>
                <w:sz w:val="24"/>
                <w:szCs w:val="24"/>
                <w:lang w:val="en-US" w:eastAsia="zh-CN"/>
              </w:rPr>
              <w:t>本项目位于</w:t>
            </w:r>
            <w:r>
              <w:rPr>
                <w:rFonts w:hint="eastAsia"/>
                <w:snapToGrid w:val="0"/>
                <w:color w:val="auto"/>
                <w:sz w:val="24"/>
                <w:szCs w:val="24"/>
                <w:lang w:val="en-US" w:eastAsia="zh-CN"/>
              </w:rPr>
              <w:t>湖南省株洲市醴陵市浦口镇浦口村瓦子组。项目所在地为</w:t>
            </w:r>
            <w:r>
              <w:rPr>
                <w:rFonts w:hint="default"/>
                <w:snapToGrid w:val="0"/>
                <w:color w:val="auto"/>
                <w:sz w:val="24"/>
                <w:szCs w:val="24"/>
                <w:highlight w:val="none"/>
                <w:lang w:val="en-US" w:eastAsia="zh-CN"/>
              </w:rPr>
              <w:t>村镇建设用地</w:t>
            </w:r>
            <w:r>
              <w:rPr>
                <w:rFonts w:hint="eastAsia"/>
                <w:snapToGrid w:val="0"/>
                <w:color w:val="auto"/>
                <w:sz w:val="24"/>
                <w:szCs w:val="24"/>
                <w:highlight w:val="none"/>
                <w:lang w:val="en-US" w:eastAsia="zh-CN"/>
              </w:rPr>
              <w:t>，不改变土地性质，据查《醴陵市浦口镇、王仙镇国土空间规划》（2021-2035年），本项目位于浦口镇规划范围外，</w:t>
            </w:r>
            <w:r>
              <w:rPr>
                <w:rFonts w:hint="eastAsia"/>
                <w:snapToGrid w:val="0"/>
                <w:color w:val="auto"/>
                <w:sz w:val="24"/>
                <w:szCs w:val="24"/>
                <w:lang w:val="en-US" w:eastAsia="zh-CN"/>
              </w:rPr>
              <w:t>项目建设已取得醴陵市浦口镇人民政府、醴陵市浦口镇浦口村村民委员会同意，项目厂区已取得建设项目用地预审意见书，用地合理，符合国土空间用途管制要求，本项目符合规划要求。</w:t>
            </w:r>
          </w:p>
          <w:p w14:paraId="548E448A">
            <w:pPr>
              <w:pStyle w:val="109"/>
              <w:keepNext w:val="0"/>
              <w:keepLines w:val="0"/>
              <w:suppressLineNumbers w:val="0"/>
              <w:spacing w:before="0" w:beforeLines="0" w:beforeAutospacing="0" w:after="0" w:afterAutospacing="0"/>
              <w:ind w:left="0" w:right="0" w:firstLine="480"/>
              <w:rPr>
                <w:rFonts w:hint="default"/>
                <w:snapToGrid w:val="0"/>
                <w:color w:val="auto"/>
                <w:sz w:val="24"/>
                <w:szCs w:val="24"/>
                <w:lang w:val="en-US" w:eastAsia="zh-CN"/>
              </w:rPr>
            </w:pPr>
            <w:r>
              <w:rPr>
                <w:rFonts w:hint="eastAsia"/>
                <w:snapToGrid w:val="0"/>
                <w:color w:val="auto"/>
                <w:sz w:val="24"/>
                <w:szCs w:val="24"/>
                <w:lang w:val="en-US" w:eastAsia="zh-CN"/>
              </w:rPr>
              <w:t>本项目生产主要污染物为生活污水、颗粒物、VOCs、噪声、固体废物。本项目无生产废水，生活污水经隔油池+四格净化池处理后用作农肥，不外排；</w:t>
            </w:r>
            <w:r>
              <w:rPr>
                <w:rFonts w:hint="eastAsia"/>
                <w:snapToGrid w:val="0"/>
                <w:color w:val="auto"/>
                <w:sz w:val="24"/>
                <w:szCs w:val="24"/>
                <w:highlight w:val="none"/>
                <w:lang w:val="en-US" w:eastAsia="zh-CN"/>
              </w:rPr>
              <w:t>金属加工废气在厂房内无组织排放，焊接烟尘经移动式焊烟净化器处理后在厂房内排放，食堂油烟经油烟净化器处理后排放，对周边大气环境影响较小</w:t>
            </w:r>
            <w:r>
              <w:rPr>
                <w:rFonts w:hint="eastAsia"/>
                <w:snapToGrid w:val="0"/>
                <w:color w:val="auto"/>
                <w:sz w:val="24"/>
                <w:szCs w:val="24"/>
                <w:lang w:val="en-US" w:eastAsia="zh-CN"/>
              </w:rPr>
              <w:t>；生产设备噪声通过合理布局，隔声、消声、减振等措施，对外界影响较小；固体废物为一般固废、危险废物和生活垃圾，一般固废出售给废品回收站回收利用，危险废物暂存于危废暂存间委托有资质单位处理，生活垃圾由环卫部门统一清运，固体废物妥善处置后对外界影响较小。</w:t>
            </w:r>
          </w:p>
          <w:p w14:paraId="5989E479">
            <w:pPr>
              <w:pStyle w:val="109"/>
              <w:keepNext w:val="0"/>
              <w:keepLines w:val="0"/>
              <w:suppressLineNumbers w:val="0"/>
              <w:spacing w:before="0" w:beforeAutospacing="0" w:after="0" w:afterAutospacing="0"/>
              <w:ind w:left="0" w:right="0" w:firstLine="480"/>
              <w:rPr>
                <w:rFonts w:hint="default"/>
                <w:b/>
                <w:bCs/>
                <w:snapToGrid w:val="0"/>
                <w:color w:val="auto"/>
                <w:sz w:val="24"/>
                <w:szCs w:val="24"/>
              </w:rPr>
            </w:pPr>
            <w:r>
              <w:rPr>
                <w:rFonts w:hint="eastAsia"/>
                <w:b/>
                <w:bCs/>
                <w:snapToGrid w:val="0"/>
                <w:color w:val="auto"/>
                <w:sz w:val="24"/>
                <w:szCs w:val="24"/>
                <w:highlight w:val="none"/>
                <w:lang w:val="en-US" w:eastAsia="zh-CN"/>
              </w:rPr>
              <w:t>3</w:t>
            </w:r>
            <w:r>
              <w:rPr>
                <w:rFonts w:hint="default"/>
                <w:b/>
                <w:bCs/>
                <w:snapToGrid w:val="0"/>
                <w:color w:val="auto"/>
                <w:sz w:val="24"/>
                <w:szCs w:val="24"/>
              </w:rPr>
              <w:t>、与</w:t>
            </w:r>
            <w:r>
              <w:rPr>
                <w:rFonts w:hint="eastAsia"/>
                <w:b/>
                <w:bCs/>
                <w:snapToGrid w:val="0"/>
                <w:color w:val="auto"/>
                <w:sz w:val="24"/>
                <w:szCs w:val="24"/>
                <w:lang w:eastAsia="zh-CN"/>
              </w:rPr>
              <w:t>“</w:t>
            </w:r>
            <w:r>
              <w:rPr>
                <w:rFonts w:hint="default"/>
                <w:b/>
                <w:bCs/>
                <w:snapToGrid w:val="0"/>
                <w:color w:val="auto"/>
                <w:sz w:val="24"/>
                <w:szCs w:val="24"/>
              </w:rPr>
              <w:t>三线一单</w:t>
            </w:r>
            <w:r>
              <w:rPr>
                <w:rFonts w:hint="eastAsia"/>
                <w:b/>
                <w:bCs/>
                <w:snapToGrid w:val="0"/>
                <w:color w:val="auto"/>
                <w:sz w:val="24"/>
                <w:szCs w:val="24"/>
                <w:lang w:eastAsia="zh-CN"/>
              </w:rPr>
              <w:t>”</w:t>
            </w:r>
            <w:r>
              <w:rPr>
                <w:rFonts w:hint="default"/>
                <w:b/>
                <w:bCs/>
                <w:snapToGrid w:val="0"/>
                <w:color w:val="auto"/>
                <w:sz w:val="24"/>
                <w:szCs w:val="24"/>
              </w:rPr>
              <w:t>符合性分析</w:t>
            </w:r>
          </w:p>
          <w:p w14:paraId="2FA912BE">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根据《关于以改善环境质量为核心加强环境影响评价管理的通知》（环环评[2016]150号）要求，落实</w:t>
            </w:r>
            <w:r>
              <w:rPr>
                <w:rFonts w:hint="eastAsia" w:hAnsi="宋体" w:cs="Times New Roman"/>
                <w:color w:val="auto"/>
                <w:kern w:val="2"/>
                <w:sz w:val="24"/>
                <w:szCs w:val="24"/>
                <w:lang w:val="en-US" w:eastAsia="zh-CN" w:bidi="ar-SA"/>
              </w:rPr>
              <w:t>“</w:t>
            </w:r>
            <w:r>
              <w:rPr>
                <w:rFonts w:hint="eastAsia" w:ascii="Times New Roman" w:hAnsi="宋体" w:eastAsia="宋体" w:cs="Times New Roman"/>
                <w:color w:val="auto"/>
                <w:kern w:val="2"/>
                <w:sz w:val="24"/>
                <w:szCs w:val="24"/>
                <w:lang w:val="en-US" w:eastAsia="zh-CN" w:bidi="ar-SA"/>
              </w:rPr>
              <w:t>三线一单</w:t>
            </w:r>
            <w:r>
              <w:rPr>
                <w:rFonts w:hint="eastAsia" w:hAnsi="宋体" w:cs="Times New Roman"/>
                <w:color w:val="auto"/>
                <w:kern w:val="2"/>
                <w:sz w:val="24"/>
                <w:szCs w:val="24"/>
                <w:lang w:val="en-US" w:eastAsia="zh-CN" w:bidi="ar-SA"/>
              </w:rPr>
              <w:t>”</w:t>
            </w:r>
            <w:r>
              <w:rPr>
                <w:rFonts w:hint="eastAsia" w:ascii="Times New Roman" w:hAnsi="宋体" w:eastAsia="宋体" w:cs="Times New Roman"/>
                <w:color w:val="auto"/>
                <w:kern w:val="2"/>
                <w:sz w:val="24"/>
                <w:szCs w:val="24"/>
                <w:lang w:val="en-US" w:eastAsia="zh-CN" w:bidi="ar-SA"/>
              </w:rPr>
              <w:t>即落实</w:t>
            </w:r>
            <w:r>
              <w:rPr>
                <w:rFonts w:hint="eastAsia" w:hAnsi="宋体" w:cs="Times New Roman"/>
                <w:color w:val="auto"/>
                <w:kern w:val="2"/>
                <w:sz w:val="24"/>
                <w:szCs w:val="24"/>
                <w:lang w:val="en-US" w:eastAsia="zh-CN" w:bidi="ar-SA"/>
              </w:rPr>
              <w:t>“</w:t>
            </w:r>
            <w:r>
              <w:rPr>
                <w:rFonts w:hint="eastAsia" w:ascii="Times New Roman" w:hAnsi="宋体" w:eastAsia="宋体" w:cs="Times New Roman"/>
                <w:color w:val="auto"/>
                <w:kern w:val="2"/>
                <w:sz w:val="24"/>
                <w:szCs w:val="24"/>
                <w:lang w:val="en-US" w:eastAsia="zh-CN" w:bidi="ar-SA"/>
              </w:rPr>
              <w:t>生态保护红线、环境质量底线、资源利用上线和环境准入负面清单</w:t>
            </w:r>
            <w:r>
              <w:rPr>
                <w:rFonts w:hint="eastAsia" w:hAnsi="宋体" w:cs="Times New Roman"/>
                <w:color w:val="auto"/>
                <w:kern w:val="2"/>
                <w:sz w:val="24"/>
                <w:szCs w:val="24"/>
                <w:lang w:val="en-US" w:eastAsia="zh-CN" w:bidi="ar-SA"/>
              </w:rPr>
              <w:t>”</w:t>
            </w:r>
            <w:r>
              <w:rPr>
                <w:rFonts w:hint="eastAsia" w:ascii="Times New Roman" w:hAnsi="宋体" w:eastAsia="宋体" w:cs="Times New Roman"/>
                <w:color w:val="auto"/>
                <w:kern w:val="2"/>
                <w:sz w:val="24"/>
                <w:szCs w:val="24"/>
                <w:lang w:val="en-US" w:eastAsia="zh-CN" w:bidi="ar-SA"/>
              </w:rPr>
              <w:t>。根据</w:t>
            </w:r>
            <w:r>
              <w:rPr>
                <w:rFonts w:hint="eastAsia" w:hAnsi="宋体" w:cs="Times New Roman"/>
                <w:color w:val="auto"/>
                <w:kern w:val="2"/>
                <w:sz w:val="24"/>
                <w:szCs w:val="24"/>
                <w:lang w:val="en-US" w:eastAsia="zh-CN" w:bidi="ar-SA"/>
              </w:rPr>
              <w:t>《株洲市生态环境局关于发布株洲市生态环境分区管控更新成果（2023版）的通知》（株环发[2024]22号）</w:t>
            </w:r>
            <w:r>
              <w:rPr>
                <w:rFonts w:hint="eastAsia" w:ascii="Times New Roman" w:hAnsi="宋体" w:eastAsia="宋体" w:cs="Times New Roman"/>
                <w:color w:val="auto"/>
                <w:kern w:val="2"/>
                <w:sz w:val="24"/>
                <w:szCs w:val="24"/>
                <w:lang w:val="en-US" w:eastAsia="zh-CN" w:bidi="ar-SA"/>
              </w:rPr>
              <w:t>，其相符性如下：</w:t>
            </w:r>
          </w:p>
          <w:p w14:paraId="06FB3930">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（1）生态保护红线</w:t>
            </w:r>
          </w:p>
          <w:p w14:paraId="70994A2C">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根据株洲市环境管控单元分布，项目选址属于一般管控单元，不属于优先保护单元，不位于《株洲市生态红线区域保护规划》中的重要生态功能保护区范围内，不会导致评价范围内重要生态功能保护区生态服务功能下降。因此，项目建设符合生态红线控制要求。</w:t>
            </w:r>
          </w:p>
          <w:p w14:paraId="368258A9">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（2）环境质量底线</w:t>
            </w:r>
          </w:p>
          <w:p w14:paraId="5997C62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hAnsi="宋体" w:cs="Times New Roman"/>
                <w:color w:val="auto"/>
                <w:kern w:val="2"/>
                <w:sz w:val="24"/>
                <w:szCs w:val="24"/>
                <w:lang w:val="en-US" w:eastAsia="zh-CN" w:bidi="ar-SA"/>
              </w:rPr>
              <w:t>“</w:t>
            </w:r>
            <w:r>
              <w:rPr>
                <w:rFonts w:hint="eastAsia" w:ascii="Times New Roman" w:hAnsi="宋体" w:eastAsia="宋体" w:cs="Times New Roman"/>
                <w:color w:val="auto"/>
                <w:kern w:val="2"/>
                <w:sz w:val="24"/>
                <w:szCs w:val="24"/>
                <w:lang w:val="en-US" w:eastAsia="zh-CN" w:bidi="ar-SA"/>
              </w:rPr>
              <w:t>环境质量底线</w:t>
            </w:r>
            <w:r>
              <w:rPr>
                <w:rFonts w:hint="eastAsia" w:hAnsi="宋体" w:cs="Times New Roman"/>
                <w:color w:val="auto"/>
                <w:kern w:val="2"/>
                <w:sz w:val="24"/>
                <w:szCs w:val="24"/>
                <w:lang w:val="en-US" w:eastAsia="zh-CN" w:bidi="ar-SA"/>
              </w:rPr>
              <w:t>”</w:t>
            </w:r>
            <w:r>
              <w:rPr>
                <w:rFonts w:hint="eastAsia" w:ascii="Times New Roman" w:hAnsi="宋体" w:eastAsia="宋体" w:cs="Times New Roman"/>
                <w:color w:val="auto"/>
                <w:kern w:val="2"/>
                <w:sz w:val="24"/>
                <w:szCs w:val="24"/>
                <w:lang w:val="en-US" w:eastAsia="zh-CN" w:bidi="ar-SA"/>
              </w:rPr>
              <w:t>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p w14:paraId="2D11DABA">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项目区域内2024年环境空气除PM</w:t>
            </w:r>
            <w:r>
              <w:rPr>
                <w:rFonts w:hint="eastAsia" w:ascii="Times New Roman" w:hAnsi="宋体" w:eastAsia="宋体" w:cs="Times New Roman"/>
                <w:color w:val="auto"/>
                <w:kern w:val="2"/>
                <w:sz w:val="24"/>
                <w:szCs w:val="24"/>
                <w:vertAlign w:val="subscript"/>
                <w:lang w:val="en-US" w:eastAsia="zh-CN" w:bidi="ar-SA"/>
              </w:rPr>
              <w:t>2.5</w:t>
            </w:r>
            <w:r>
              <w:rPr>
                <w:rFonts w:hint="eastAsia" w:ascii="Times New Roman" w:hAnsi="宋体" w:eastAsia="宋体" w:cs="Times New Roman"/>
                <w:color w:val="auto"/>
                <w:kern w:val="2"/>
                <w:sz w:val="24"/>
                <w:szCs w:val="24"/>
                <w:lang w:val="en-US" w:eastAsia="zh-CN" w:bidi="ar-SA"/>
              </w:rPr>
              <w:t>外，其他监测因子均满足《环境空气质量标准》(GB3095-2012)二类标准要求，大气环境质量现状属于不达标区，但株洲市针对环境空气限期达标制定了相应的改善计划并实施，株洲市2025年环境空气质量可望能够显著改善；地表水水环境功能属于《地表水环境质量标准》（GB3838-2002）中III类功能区；声环境属于《声环境质量标准》（GB3096-2008）中2类功能区。</w:t>
            </w:r>
          </w:p>
          <w:p w14:paraId="493B9D4B">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项目营运产生的污染物经采取本评价提出的污染防治措施处理措施后均能达标排放，对周边环境影响小，不会导致当地的区域环境质量下降。</w:t>
            </w:r>
          </w:p>
          <w:p w14:paraId="78E055D9">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（3）资源利用上线</w:t>
            </w:r>
          </w:p>
          <w:p w14:paraId="636041FA">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本项目运营过程中会消耗一定量电能、水资源，占用土地资源，水、电消耗量较区域总量来说，占比很小；项目不占用基本农田、林地等，不会突破区域的资源利用上线。</w:t>
            </w:r>
          </w:p>
          <w:p w14:paraId="048C704A">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（4）生态环境准入清单</w:t>
            </w:r>
          </w:p>
          <w:p w14:paraId="774826A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根据《株洲市生态环境局关于发布株洲市生态环境分区管控更新成果（2023版）的通知》（株环发[2024]22号），项目属于</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板杉镇/枫林镇/长庆街道/李畋镇/浦口镇/王仙镇/沩山镇</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单元（环境管控单元编码ZH43028130001），其中</w:t>
            </w:r>
            <w:r>
              <w:rPr>
                <w:rFonts w:hint="eastAsia" w:hAnsi="宋体" w:cs="Times New Roman"/>
                <w:color w:val="auto"/>
                <w:kern w:val="2"/>
                <w:sz w:val="24"/>
                <w:szCs w:val="24"/>
                <w:u w:val="none"/>
                <w:lang w:val="en-US" w:eastAsia="zh-CN" w:bidi="ar-SA"/>
              </w:rPr>
              <w:t>浦口镇</w:t>
            </w:r>
            <w:r>
              <w:rPr>
                <w:rFonts w:hint="eastAsia" w:ascii="Times New Roman" w:hAnsi="宋体" w:eastAsia="宋体" w:cs="Times New Roman"/>
                <w:color w:val="auto"/>
                <w:kern w:val="2"/>
                <w:sz w:val="24"/>
                <w:szCs w:val="24"/>
                <w:u w:val="none"/>
                <w:lang w:val="en-US" w:eastAsia="zh-CN" w:bidi="ar-SA"/>
              </w:rPr>
              <w:t>经济产业布局为：烟花鞭炮、电瓷、煤矿、建筑用砂石类、机械加工、农业产业开发项目。本项目属于机械设备生产企业，符合单元主导产业。</w:t>
            </w:r>
          </w:p>
          <w:p w14:paraId="36AA587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本项目涉及的生态环境准入清单符合性见下表：</w:t>
            </w:r>
          </w:p>
          <w:p w14:paraId="215B64D4">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kern w:val="2"/>
                <w:sz w:val="21"/>
                <w:szCs w:val="21"/>
                <w:u w:val="none"/>
                <w:lang w:val="en-US" w:eastAsia="zh-CN" w:bidi="ar-SA"/>
              </w:rPr>
              <w:t>表1-</w:t>
            </w:r>
            <w:r>
              <w:rPr>
                <w:rFonts w:hint="eastAsia" w:cs="Times New Roman"/>
                <w:b/>
                <w:bCs/>
                <w:color w:val="auto"/>
                <w:kern w:val="2"/>
                <w:sz w:val="21"/>
                <w:szCs w:val="21"/>
                <w:u w:val="none"/>
                <w:lang w:val="en-US" w:eastAsia="zh-CN" w:bidi="ar-SA"/>
              </w:rPr>
              <w:t>1</w:t>
            </w:r>
            <w:r>
              <w:rPr>
                <w:rFonts w:hint="default" w:ascii="Times New Roman" w:hAnsi="Times New Roman" w:eastAsia="宋体" w:cs="Times New Roman"/>
                <w:b/>
                <w:bCs/>
                <w:color w:val="auto"/>
                <w:kern w:val="2"/>
                <w:sz w:val="21"/>
                <w:szCs w:val="21"/>
                <w:u w:val="none"/>
                <w:lang w:val="en-US" w:eastAsia="zh-CN" w:bidi="ar-SA"/>
              </w:rPr>
              <w:t xml:space="preserve">  </w:t>
            </w:r>
            <w:r>
              <w:rPr>
                <w:rFonts w:hint="eastAsia" w:ascii="Times New Roman" w:hAnsi="Times New Roman" w:eastAsia="宋体" w:cs="Times New Roman"/>
                <w:b/>
                <w:bCs/>
                <w:color w:val="auto"/>
                <w:kern w:val="2"/>
                <w:sz w:val="21"/>
                <w:szCs w:val="21"/>
                <w:u w:val="none"/>
                <w:lang w:val="en-US" w:eastAsia="zh-CN" w:bidi="ar-SA"/>
              </w:rPr>
              <w:t>本项目与本市生态环境分区管控意见相符性分析</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540"/>
              <w:gridCol w:w="1500"/>
              <w:gridCol w:w="818"/>
              <w:gridCol w:w="1079"/>
              <w:gridCol w:w="667"/>
              <w:gridCol w:w="543"/>
              <w:gridCol w:w="1113"/>
              <w:gridCol w:w="613"/>
            </w:tblGrid>
            <w:tr w14:paraId="48BF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7" w:type="pct"/>
                  <w:gridSpan w:val="2"/>
                  <w:noWrap w:val="0"/>
                  <w:vAlign w:val="center"/>
                </w:tcPr>
                <w:p w14:paraId="187FF27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1"/>
                      <w:u w:val="none"/>
                      <w:lang w:val="en-US" w:eastAsia="zh-CN" w:bidi="ar-SA"/>
                    </w:rPr>
                  </w:pPr>
                  <w:r>
                    <w:rPr>
                      <w:rFonts w:hint="eastAsia" w:ascii="Times New Roman" w:hAnsi="Times New Roman" w:eastAsia="宋体" w:cs="Times New Roman"/>
                      <w:b/>
                      <w:bCs/>
                      <w:color w:val="auto"/>
                      <w:spacing w:val="1"/>
                      <w:kern w:val="0"/>
                      <w:sz w:val="21"/>
                      <w:szCs w:val="21"/>
                      <w:u w:val="none"/>
                      <w:lang w:val="en-US" w:eastAsia="zh-CN" w:bidi="ar-SA"/>
                    </w:rPr>
                    <w:t>环境管控单元编码</w:t>
                  </w:r>
                </w:p>
              </w:tc>
              <w:tc>
                <w:tcPr>
                  <w:tcW w:w="992" w:type="pct"/>
                  <w:noWrap w:val="0"/>
                  <w:vAlign w:val="center"/>
                </w:tcPr>
                <w:p w14:paraId="22A8D5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1"/>
                      <w:u w:val="none"/>
                      <w:lang w:val="en-US" w:eastAsia="zh-CN" w:bidi="ar-SA"/>
                    </w:rPr>
                  </w:pPr>
                  <w:r>
                    <w:rPr>
                      <w:rFonts w:hint="eastAsia" w:ascii="Times New Roman" w:hAnsi="Times New Roman" w:eastAsia="宋体" w:cs="Times New Roman"/>
                      <w:b/>
                      <w:bCs/>
                      <w:color w:val="auto"/>
                      <w:spacing w:val="1"/>
                      <w:kern w:val="0"/>
                      <w:sz w:val="21"/>
                      <w:szCs w:val="21"/>
                      <w:u w:val="none"/>
                      <w:lang w:val="en-US" w:eastAsia="zh-CN" w:bidi="ar-SA"/>
                    </w:rPr>
                    <w:t>单元名称</w:t>
                  </w:r>
                </w:p>
              </w:tc>
              <w:tc>
                <w:tcPr>
                  <w:tcW w:w="565" w:type="pct"/>
                  <w:noWrap w:val="0"/>
                  <w:vAlign w:val="center"/>
                </w:tcPr>
                <w:p w14:paraId="055BCF9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1"/>
                      <w:u w:val="none"/>
                      <w:lang w:val="en-US" w:eastAsia="zh-CN" w:bidi="ar-SA"/>
                    </w:rPr>
                  </w:pPr>
                  <w:r>
                    <w:rPr>
                      <w:rFonts w:hint="eastAsia" w:ascii="Times New Roman" w:hAnsi="Times New Roman" w:eastAsia="宋体" w:cs="Times New Roman"/>
                      <w:b/>
                      <w:bCs/>
                      <w:color w:val="auto"/>
                      <w:spacing w:val="1"/>
                      <w:kern w:val="0"/>
                      <w:sz w:val="21"/>
                      <w:szCs w:val="21"/>
                      <w:u w:val="none"/>
                      <w:lang w:val="en-US" w:eastAsia="zh-CN" w:bidi="ar-SA"/>
                    </w:rPr>
                    <w:t>单元分类</w:t>
                  </w:r>
                </w:p>
              </w:tc>
              <w:tc>
                <w:tcPr>
                  <w:tcW w:w="728" w:type="pct"/>
                  <w:noWrap w:val="0"/>
                  <w:vAlign w:val="center"/>
                </w:tcPr>
                <w:p w14:paraId="1E78E0D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1"/>
                      <w:u w:val="none"/>
                      <w:lang w:val="en-US" w:eastAsia="zh-CN" w:bidi="ar-SA"/>
                    </w:rPr>
                  </w:pPr>
                  <w:r>
                    <w:rPr>
                      <w:rFonts w:hint="eastAsia" w:ascii="Times New Roman" w:hAnsi="Times New Roman" w:eastAsia="宋体" w:cs="Times New Roman"/>
                      <w:b/>
                      <w:bCs/>
                      <w:color w:val="auto"/>
                      <w:spacing w:val="1"/>
                      <w:kern w:val="0"/>
                      <w:sz w:val="21"/>
                      <w:szCs w:val="21"/>
                      <w:u w:val="none"/>
                      <w:lang w:val="en-US" w:eastAsia="zh-CN" w:bidi="ar-SA"/>
                    </w:rPr>
                    <w:t>单元面积（k㎡）</w:t>
                  </w:r>
                </w:p>
              </w:tc>
              <w:tc>
                <w:tcPr>
                  <w:tcW w:w="862" w:type="pct"/>
                  <w:gridSpan w:val="2"/>
                  <w:noWrap w:val="0"/>
                  <w:vAlign w:val="center"/>
                </w:tcPr>
                <w:p w14:paraId="1E113D2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1"/>
                      <w:u w:val="none"/>
                      <w:lang w:val="en-US" w:eastAsia="zh-CN" w:bidi="ar-SA"/>
                    </w:rPr>
                  </w:pPr>
                  <w:r>
                    <w:rPr>
                      <w:rFonts w:hint="eastAsia" w:ascii="Times New Roman" w:hAnsi="Times New Roman" w:eastAsia="宋体" w:cs="Times New Roman"/>
                      <w:b/>
                      <w:bCs/>
                      <w:color w:val="auto"/>
                      <w:spacing w:val="1"/>
                      <w:kern w:val="0"/>
                      <w:sz w:val="21"/>
                      <w:szCs w:val="21"/>
                      <w:u w:val="none"/>
                      <w:lang w:val="en-US" w:eastAsia="zh-CN" w:bidi="ar-SA"/>
                    </w:rPr>
                    <w:t>涉及乡镇（街道）</w:t>
                  </w:r>
                </w:p>
              </w:tc>
              <w:tc>
                <w:tcPr>
                  <w:tcW w:w="1184" w:type="pct"/>
                  <w:gridSpan w:val="2"/>
                  <w:noWrap w:val="0"/>
                  <w:vAlign w:val="center"/>
                </w:tcPr>
                <w:p w14:paraId="68121A2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pacing w:val="1"/>
                      <w:kern w:val="0"/>
                      <w:sz w:val="21"/>
                      <w:szCs w:val="21"/>
                      <w:u w:val="none"/>
                      <w:lang w:val="en-US" w:eastAsia="zh-CN" w:bidi="ar-SA"/>
                    </w:rPr>
                  </w:pPr>
                  <w:r>
                    <w:rPr>
                      <w:rFonts w:hint="eastAsia" w:ascii="Times New Roman" w:hAnsi="Times New Roman" w:eastAsia="宋体" w:cs="Times New Roman"/>
                      <w:b/>
                      <w:bCs/>
                      <w:color w:val="auto"/>
                      <w:spacing w:val="1"/>
                      <w:kern w:val="0"/>
                      <w:sz w:val="21"/>
                      <w:szCs w:val="21"/>
                      <w:u w:val="none"/>
                      <w:lang w:val="en-US" w:eastAsia="zh-CN" w:bidi="ar-SA"/>
                    </w:rPr>
                    <w:t>主体功能定位</w:t>
                  </w:r>
                </w:p>
              </w:tc>
            </w:tr>
            <w:tr w14:paraId="5CCE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7" w:type="pct"/>
                  <w:gridSpan w:val="2"/>
                  <w:noWrap w:val="0"/>
                  <w:vAlign w:val="center"/>
                </w:tcPr>
                <w:p w14:paraId="04E045B9">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val="0"/>
                      <w:bCs w:val="0"/>
                      <w:color w:val="auto"/>
                      <w:spacing w:val="1"/>
                      <w:kern w:val="0"/>
                      <w:sz w:val="21"/>
                      <w:szCs w:val="21"/>
                      <w:u w:val="none"/>
                      <w:lang w:val="en-US" w:eastAsia="zh-CN" w:bidi="ar-SA"/>
                    </w:rPr>
                  </w:pPr>
                  <w:r>
                    <w:rPr>
                      <w:rFonts w:hint="eastAsia" w:ascii="Times New Roman" w:hAnsi="Times New Roman" w:eastAsia="宋体" w:cs="Times New Roman"/>
                      <w:u w:val="none"/>
                    </w:rPr>
                    <w:t>ZH430281</w:t>
                  </w:r>
                  <w:r>
                    <w:rPr>
                      <w:rFonts w:hint="eastAsia" w:ascii="Times New Roman" w:hAnsi="Times New Roman" w:eastAsia="宋体" w:cs="Times New Roman"/>
                      <w:u w:val="none"/>
                      <w:lang w:val="en-US" w:eastAsia="zh-CN"/>
                    </w:rPr>
                    <w:t>3</w:t>
                  </w:r>
                  <w:r>
                    <w:rPr>
                      <w:rFonts w:hint="eastAsia" w:ascii="Times New Roman" w:hAnsi="Times New Roman" w:eastAsia="宋体" w:cs="Times New Roman"/>
                      <w:u w:val="none"/>
                    </w:rPr>
                    <w:t>000</w:t>
                  </w:r>
                  <w:r>
                    <w:rPr>
                      <w:rFonts w:hint="eastAsia" w:ascii="Times New Roman" w:hAnsi="Times New Roman" w:eastAsia="宋体" w:cs="Times New Roman"/>
                      <w:u w:val="none"/>
                      <w:lang w:val="en-US" w:eastAsia="zh-CN"/>
                    </w:rPr>
                    <w:t>1</w:t>
                  </w:r>
                </w:p>
              </w:tc>
              <w:tc>
                <w:tcPr>
                  <w:tcW w:w="992" w:type="pct"/>
                  <w:noWrap w:val="0"/>
                  <w:vAlign w:val="center"/>
                </w:tcPr>
                <w:p w14:paraId="2AE1A7D7">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val="0"/>
                      <w:bCs w:val="0"/>
                      <w:color w:val="auto"/>
                      <w:spacing w:val="1"/>
                      <w:kern w:val="0"/>
                      <w:sz w:val="21"/>
                      <w:szCs w:val="21"/>
                      <w:u w:val="none"/>
                      <w:lang w:val="en-US" w:eastAsia="zh-CN" w:bidi="ar-SA"/>
                    </w:rPr>
                  </w:pPr>
                  <w:r>
                    <w:rPr>
                      <w:rFonts w:hint="eastAsia" w:ascii="Times New Roman" w:hAnsi="Times New Roman" w:eastAsia="宋体" w:cs="Times New Roman"/>
                      <w:u w:val="none"/>
                    </w:rPr>
                    <w:t>板杉镇/枫林镇/长庆街道/李畋镇/浦口镇/王仙镇/沩山镇</w:t>
                  </w:r>
                </w:p>
              </w:tc>
              <w:tc>
                <w:tcPr>
                  <w:tcW w:w="565" w:type="pct"/>
                  <w:noWrap w:val="0"/>
                  <w:vAlign w:val="center"/>
                </w:tcPr>
                <w:p w14:paraId="60DEA19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pacing w:val="1"/>
                      <w:kern w:val="0"/>
                      <w:sz w:val="21"/>
                      <w:szCs w:val="21"/>
                      <w:u w:val="none"/>
                      <w:lang w:val="en-US" w:eastAsia="zh-CN" w:bidi="ar-SA"/>
                    </w:rPr>
                  </w:pPr>
                  <w:r>
                    <w:rPr>
                      <w:rFonts w:hint="eastAsia" w:ascii="Times New Roman" w:hAnsi="Times New Roman" w:eastAsia="宋体" w:cs="Times New Roman"/>
                      <w:b w:val="0"/>
                      <w:bCs w:val="0"/>
                      <w:color w:val="auto"/>
                      <w:spacing w:val="1"/>
                      <w:kern w:val="0"/>
                      <w:sz w:val="21"/>
                      <w:szCs w:val="21"/>
                      <w:u w:val="none"/>
                      <w:lang w:val="en-US" w:eastAsia="zh-CN" w:bidi="ar-SA"/>
                    </w:rPr>
                    <w:t>一般管控单元</w:t>
                  </w:r>
                </w:p>
              </w:tc>
              <w:tc>
                <w:tcPr>
                  <w:tcW w:w="728" w:type="pct"/>
                  <w:noWrap w:val="0"/>
                  <w:vAlign w:val="center"/>
                </w:tcPr>
                <w:p w14:paraId="017EE6F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pacing w:val="1"/>
                      <w:kern w:val="0"/>
                      <w:sz w:val="21"/>
                      <w:szCs w:val="21"/>
                      <w:u w:val="none"/>
                      <w:lang w:val="en-US" w:eastAsia="zh-CN" w:bidi="ar-SA"/>
                    </w:rPr>
                  </w:pPr>
                  <w:r>
                    <w:rPr>
                      <w:rFonts w:hint="eastAsia" w:ascii="Times New Roman" w:hAnsi="Times New Roman" w:eastAsia="宋体" w:cs="Times New Roman"/>
                      <w:b w:val="0"/>
                      <w:bCs w:val="0"/>
                      <w:color w:val="auto"/>
                      <w:spacing w:val="1"/>
                      <w:kern w:val="0"/>
                      <w:sz w:val="21"/>
                      <w:szCs w:val="21"/>
                      <w:u w:val="none"/>
                      <w:lang w:val="en-US" w:eastAsia="zh-CN" w:bidi="ar-SA"/>
                    </w:rPr>
                    <w:t>567.25</w:t>
                  </w:r>
                </w:p>
              </w:tc>
              <w:tc>
                <w:tcPr>
                  <w:tcW w:w="862" w:type="pct"/>
                  <w:gridSpan w:val="2"/>
                  <w:noWrap w:val="0"/>
                  <w:vAlign w:val="center"/>
                </w:tcPr>
                <w:p w14:paraId="16A1487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pacing w:val="1"/>
                      <w:kern w:val="0"/>
                      <w:sz w:val="21"/>
                      <w:szCs w:val="21"/>
                      <w:u w:val="none"/>
                      <w:lang w:val="en-US" w:eastAsia="zh-CN" w:bidi="ar-SA"/>
                    </w:rPr>
                  </w:pPr>
                  <w:r>
                    <w:rPr>
                      <w:rFonts w:hint="eastAsia" w:ascii="Times New Roman" w:hAnsi="Times New Roman" w:eastAsia="宋体" w:cs="Times New Roman"/>
                      <w:b w:val="0"/>
                      <w:bCs w:val="0"/>
                      <w:color w:val="auto"/>
                      <w:spacing w:val="1"/>
                      <w:kern w:val="0"/>
                      <w:sz w:val="21"/>
                      <w:szCs w:val="21"/>
                      <w:u w:val="none"/>
                      <w:lang w:val="en-US" w:eastAsia="zh-CN" w:bidi="ar-SA"/>
                    </w:rPr>
                    <w:t>板杉镇/枫林镇/长庆街道/李畋镇/浦口镇/王仙镇/沩山镇</w:t>
                  </w:r>
                </w:p>
              </w:tc>
              <w:tc>
                <w:tcPr>
                  <w:tcW w:w="1184" w:type="pct"/>
                  <w:gridSpan w:val="2"/>
                  <w:noWrap w:val="0"/>
                  <w:vAlign w:val="center"/>
                </w:tcPr>
                <w:p w14:paraId="1EFC38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pacing w:val="1"/>
                      <w:kern w:val="0"/>
                      <w:sz w:val="21"/>
                      <w:szCs w:val="21"/>
                      <w:u w:val="none"/>
                      <w:lang w:val="en-US" w:eastAsia="zh-CN" w:bidi="ar-SA"/>
                    </w:rPr>
                  </w:pPr>
                  <w:r>
                    <w:rPr>
                      <w:rFonts w:hint="default" w:ascii="Times New Roman" w:hAnsi="Times New Roman" w:eastAsia="宋体" w:cs="Times New Roman"/>
                      <w:b w:val="0"/>
                      <w:bCs w:val="0"/>
                      <w:color w:val="auto"/>
                      <w:spacing w:val="1"/>
                      <w:kern w:val="0"/>
                      <w:sz w:val="21"/>
                      <w:szCs w:val="21"/>
                      <w:u w:val="none"/>
                      <w:lang w:val="en-US" w:eastAsia="zh-CN" w:bidi="ar-SA"/>
                    </w:rPr>
                    <w:t>板杉镇/浦口镇/王仙镇/长庆街道</w:t>
                  </w:r>
                  <w:r>
                    <w:rPr>
                      <w:rFonts w:hint="eastAsia" w:cs="Times New Roman"/>
                      <w:b w:val="0"/>
                      <w:bCs w:val="0"/>
                      <w:color w:val="auto"/>
                      <w:spacing w:val="1"/>
                      <w:kern w:val="0"/>
                      <w:sz w:val="21"/>
                      <w:szCs w:val="21"/>
                      <w:u w:val="none"/>
                      <w:lang w:val="en-US" w:eastAsia="zh-CN" w:bidi="ar-SA"/>
                    </w:rPr>
                    <w:t>：</w:t>
                  </w:r>
                  <w:r>
                    <w:rPr>
                      <w:rFonts w:hint="default" w:ascii="Times New Roman" w:hAnsi="Times New Roman" w:eastAsia="宋体" w:cs="Times New Roman"/>
                      <w:b w:val="0"/>
                      <w:bCs w:val="0"/>
                      <w:color w:val="auto"/>
                      <w:spacing w:val="1"/>
                      <w:kern w:val="0"/>
                      <w:sz w:val="21"/>
                      <w:szCs w:val="21"/>
                      <w:u w:val="none"/>
                      <w:lang w:val="en-US" w:eastAsia="zh-CN" w:bidi="ar-SA"/>
                    </w:rPr>
                    <w:t>城市化地区</w:t>
                  </w:r>
                  <w:r>
                    <w:rPr>
                      <w:rFonts w:hint="eastAsia" w:cs="Times New Roman"/>
                      <w:b w:val="0"/>
                      <w:bCs w:val="0"/>
                      <w:color w:val="auto"/>
                      <w:spacing w:val="1"/>
                      <w:kern w:val="0"/>
                      <w:sz w:val="21"/>
                      <w:szCs w:val="21"/>
                      <w:u w:val="none"/>
                      <w:lang w:val="en-US" w:eastAsia="zh-CN" w:bidi="ar-SA"/>
                    </w:rPr>
                    <w:t>；</w:t>
                  </w:r>
                  <w:r>
                    <w:rPr>
                      <w:rFonts w:hint="default" w:ascii="Times New Roman" w:hAnsi="Times New Roman" w:eastAsia="宋体" w:cs="Times New Roman"/>
                      <w:b w:val="0"/>
                      <w:bCs w:val="0"/>
                      <w:color w:val="auto"/>
                      <w:spacing w:val="1"/>
                      <w:kern w:val="0"/>
                      <w:sz w:val="21"/>
                      <w:szCs w:val="21"/>
                      <w:u w:val="none"/>
                      <w:lang w:val="en-US" w:eastAsia="zh-CN" w:bidi="ar-SA"/>
                    </w:rPr>
                    <w:t>沩山镇</w:t>
                  </w:r>
                  <w:r>
                    <w:rPr>
                      <w:rFonts w:hint="eastAsia" w:cs="Times New Roman"/>
                      <w:b w:val="0"/>
                      <w:bCs w:val="0"/>
                      <w:color w:val="auto"/>
                      <w:spacing w:val="1"/>
                      <w:kern w:val="0"/>
                      <w:sz w:val="21"/>
                      <w:szCs w:val="21"/>
                      <w:u w:val="none"/>
                      <w:lang w:val="en-US" w:eastAsia="zh-CN" w:bidi="ar-SA"/>
                    </w:rPr>
                    <w:t>：</w:t>
                  </w:r>
                  <w:r>
                    <w:rPr>
                      <w:rFonts w:hint="default" w:ascii="Times New Roman" w:hAnsi="Times New Roman" w:eastAsia="宋体" w:cs="Times New Roman"/>
                      <w:b w:val="0"/>
                      <w:bCs w:val="0"/>
                      <w:color w:val="auto"/>
                      <w:spacing w:val="1"/>
                      <w:kern w:val="0"/>
                      <w:sz w:val="21"/>
                      <w:szCs w:val="21"/>
                      <w:u w:val="none"/>
                      <w:lang w:val="en-US" w:eastAsia="zh-CN" w:bidi="ar-SA"/>
                    </w:rPr>
                    <w:t>重点生态功能区</w:t>
                  </w:r>
                  <w:r>
                    <w:rPr>
                      <w:rFonts w:hint="eastAsia" w:cs="Times New Roman"/>
                      <w:b w:val="0"/>
                      <w:bCs w:val="0"/>
                      <w:color w:val="auto"/>
                      <w:spacing w:val="1"/>
                      <w:kern w:val="0"/>
                      <w:sz w:val="21"/>
                      <w:szCs w:val="21"/>
                      <w:u w:val="none"/>
                      <w:lang w:val="en-US" w:eastAsia="zh-CN" w:bidi="ar-SA"/>
                    </w:rPr>
                    <w:t>；</w:t>
                  </w:r>
                  <w:r>
                    <w:rPr>
                      <w:rFonts w:hint="default" w:ascii="Times New Roman" w:hAnsi="Times New Roman" w:eastAsia="宋体" w:cs="Times New Roman"/>
                      <w:b w:val="0"/>
                      <w:bCs w:val="0"/>
                      <w:color w:val="auto"/>
                      <w:spacing w:val="1"/>
                      <w:kern w:val="0"/>
                      <w:sz w:val="21"/>
                      <w:szCs w:val="21"/>
                      <w:u w:val="none"/>
                      <w:lang w:val="en-US" w:eastAsia="zh-CN" w:bidi="ar-SA"/>
                    </w:rPr>
                    <w:t>枫林镇/李畋镇</w:t>
                  </w:r>
                  <w:r>
                    <w:rPr>
                      <w:rFonts w:hint="eastAsia" w:cs="Times New Roman"/>
                      <w:b w:val="0"/>
                      <w:bCs w:val="0"/>
                      <w:color w:val="auto"/>
                      <w:spacing w:val="1"/>
                      <w:kern w:val="0"/>
                      <w:sz w:val="21"/>
                      <w:szCs w:val="21"/>
                      <w:u w:val="none"/>
                      <w:lang w:val="en-US" w:eastAsia="zh-CN" w:bidi="ar-SA"/>
                    </w:rPr>
                    <w:t>：</w:t>
                  </w:r>
                  <w:r>
                    <w:rPr>
                      <w:rFonts w:hint="default" w:ascii="Times New Roman" w:hAnsi="Times New Roman" w:eastAsia="宋体" w:cs="Times New Roman"/>
                      <w:b w:val="0"/>
                      <w:bCs w:val="0"/>
                      <w:color w:val="auto"/>
                      <w:spacing w:val="1"/>
                      <w:kern w:val="0"/>
                      <w:sz w:val="21"/>
                      <w:szCs w:val="21"/>
                      <w:u w:val="none"/>
                      <w:lang w:val="en-US" w:eastAsia="zh-CN" w:bidi="ar-SA"/>
                    </w:rPr>
                    <w:t>农产品主产区</w:t>
                  </w:r>
                </w:p>
              </w:tc>
            </w:tr>
            <w:tr w14:paraId="1014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9" w:type="pct"/>
                  <w:noWrap w:val="0"/>
                  <w:vAlign w:val="center"/>
                </w:tcPr>
                <w:p w14:paraId="45AB05C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spacing w:val="1"/>
                      <w:kern w:val="0"/>
                      <w:sz w:val="21"/>
                      <w:szCs w:val="21"/>
                      <w:u w:val="none"/>
                      <w:lang w:val="en-US" w:eastAsia="zh-CN" w:bidi="ar-SA"/>
                    </w:rPr>
                  </w:pPr>
                  <w:r>
                    <w:rPr>
                      <w:rFonts w:hint="eastAsia" w:ascii="Times New Roman" w:hAnsi="Times New Roman" w:eastAsia="宋体" w:cs="Times New Roman"/>
                      <w:b/>
                      <w:bCs/>
                      <w:color w:val="auto"/>
                      <w:spacing w:val="1"/>
                      <w:kern w:val="0"/>
                      <w:sz w:val="21"/>
                      <w:szCs w:val="21"/>
                      <w:u w:val="none"/>
                      <w:lang w:val="en-US" w:eastAsia="zh-CN" w:bidi="ar-SA"/>
                    </w:rPr>
                    <w:t>经济产业布局</w:t>
                  </w:r>
                </w:p>
              </w:tc>
              <w:tc>
                <w:tcPr>
                  <w:tcW w:w="4550" w:type="pct"/>
                  <w:gridSpan w:val="8"/>
                  <w:noWrap w:val="0"/>
                  <w:vAlign w:val="center"/>
                </w:tcPr>
                <w:p w14:paraId="0C7E1A10">
                  <w:pPr>
                    <w:keepNext w:val="0"/>
                    <w:keepLines w:val="0"/>
                    <w:widowControl w:val="0"/>
                    <w:suppressLineNumbers w:val="0"/>
                    <w:spacing w:before="0" w:beforeAutospacing="0" w:after="0" w:afterAutospacing="0"/>
                    <w:ind w:left="0" w:right="0" w:firstLine="424" w:firstLineChars="200"/>
                    <w:jc w:val="both"/>
                    <w:rPr>
                      <w:rFonts w:hint="default" w:ascii="Times New Roman" w:hAnsi="Times New Roman" w:eastAsia="宋体" w:cs="Times New Roman"/>
                      <w:b w:val="0"/>
                      <w:bCs w:val="0"/>
                      <w:color w:val="auto"/>
                      <w:spacing w:val="1"/>
                      <w:kern w:val="0"/>
                      <w:sz w:val="21"/>
                      <w:szCs w:val="21"/>
                      <w:u w:val="none"/>
                      <w:lang w:val="en-US" w:eastAsia="zh-CN" w:bidi="ar-SA"/>
                    </w:rPr>
                  </w:pPr>
                  <w:r>
                    <w:rPr>
                      <w:rFonts w:hint="default" w:ascii="Times New Roman" w:hAnsi="Times New Roman" w:eastAsia="宋体" w:cs="Times New Roman"/>
                      <w:b w:val="0"/>
                      <w:bCs w:val="0"/>
                      <w:color w:val="auto"/>
                      <w:spacing w:val="1"/>
                      <w:kern w:val="0"/>
                      <w:sz w:val="21"/>
                      <w:szCs w:val="21"/>
                      <w:u w:val="none"/>
                      <w:lang w:val="en-US" w:eastAsia="zh-CN" w:bidi="ar-SA"/>
                    </w:rPr>
                    <w:t>浦口镇：烟花鞭炮、电瓷、旅游、建筑用砂石类、机械加工、农业产业开发项目。</w:t>
                  </w:r>
                </w:p>
                <w:p w14:paraId="62EC1A22">
                  <w:pPr>
                    <w:keepNext w:val="0"/>
                    <w:keepLines w:val="0"/>
                    <w:widowControl w:val="0"/>
                    <w:suppressLineNumbers w:val="0"/>
                    <w:spacing w:before="0" w:beforeAutospacing="0" w:after="0" w:afterAutospacing="0"/>
                    <w:ind w:left="0" w:right="0" w:firstLine="424" w:firstLineChars="200"/>
                    <w:jc w:val="both"/>
                    <w:rPr>
                      <w:rFonts w:hint="default" w:ascii="Times New Roman" w:hAnsi="Times New Roman" w:eastAsia="宋体" w:cs="Times New Roman"/>
                      <w:b w:val="0"/>
                      <w:bCs w:val="0"/>
                      <w:color w:val="auto"/>
                      <w:spacing w:val="1"/>
                      <w:kern w:val="0"/>
                      <w:sz w:val="21"/>
                      <w:szCs w:val="21"/>
                      <w:u w:val="none"/>
                      <w:lang w:val="en-US" w:eastAsia="zh-CN" w:bidi="ar-SA"/>
                    </w:rPr>
                  </w:pPr>
                  <w:r>
                    <w:rPr>
                      <w:rFonts w:hint="default" w:ascii="Times New Roman" w:hAnsi="Times New Roman" w:eastAsia="宋体" w:cs="Times New Roman"/>
                      <w:b w:val="0"/>
                      <w:bCs w:val="0"/>
                      <w:color w:val="auto"/>
                      <w:spacing w:val="1"/>
                      <w:kern w:val="0"/>
                      <w:sz w:val="21"/>
                      <w:szCs w:val="21"/>
                      <w:u w:val="none"/>
                      <w:lang w:val="en-US" w:eastAsia="zh-CN" w:bidi="ar-SA"/>
                    </w:rPr>
                    <w:t>王仙镇：鞭炮烟花、陶瓷制造、机械加工、畜禽养殖、瓷泥矿、农业生态旅游项目。</w:t>
                  </w:r>
                </w:p>
                <w:p w14:paraId="71A01EA3">
                  <w:pPr>
                    <w:keepNext w:val="0"/>
                    <w:keepLines w:val="0"/>
                    <w:widowControl w:val="0"/>
                    <w:suppressLineNumbers w:val="0"/>
                    <w:spacing w:before="0" w:beforeAutospacing="0" w:after="0" w:afterAutospacing="0"/>
                    <w:ind w:left="0" w:right="0" w:firstLine="424" w:firstLineChars="200"/>
                    <w:jc w:val="both"/>
                    <w:rPr>
                      <w:rFonts w:hint="default" w:ascii="Times New Roman" w:hAnsi="Times New Roman" w:eastAsia="宋体" w:cs="Times New Roman"/>
                      <w:b w:val="0"/>
                      <w:bCs w:val="0"/>
                      <w:color w:val="auto"/>
                      <w:spacing w:val="1"/>
                      <w:kern w:val="0"/>
                      <w:sz w:val="21"/>
                      <w:szCs w:val="21"/>
                      <w:u w:val="none"/>
                      <w:lang w:val="en-US" w:eastAsia="zh-CN" w:bidi="ar-SA"/>
                    </w:rPr>
                  </w:pPr>
                  <w:r>
                    <w:rPr>
                      <w:rFonts w:hint="default" w:ascii="Times New Roman" w:hAnsi="Times New Roman" w:eastAsia="宋体" w:cs="Times New Roman"/>
                      <w:b w:val="0"/>
                      <w:bCs w:val="0"/>
                      <w:color w:val="auto"/>
                      <w:spacing w:val="1"/>
                      <w:kern w:val="0"/>
                      <w:sz w:val="21"/>
                      <w:szCs w:val="21"/>
                      <w:u w:val="none"/>
                      <w:lang w:val="en-US" w:eastAsia="zh-CN" w:bidi="ar-SA"/>
                    </w:rPr>
                    <w:t>板杉镇：陶瓷高端装备制造、轨道、电子信息等。</w:t>
                  </w:r>
                </w:p>
                <w:p w14:paraId="74D22331">
                  <w:pPr>
                    <w:keepNext w:val="0"/>
                    <w:keepLines w:val="0"/>
                    <w:widowControl w:val="0"/>
                    <w:suppressLineNumbers w:val="0"/>
                    <w:spacing w:before="0" w:beforeAutospacing="0" w:after="0" w:afterAutospacing="0"/>
                    <w:ind w:left="0" w:right="0" w:firstLine="424" w:firstLineChars="200"/>
                    <w:jc w:val="both"/>
                    <w:rPr>
                      <w:rFonts w:hint="default" w:ascii="Times New Roman" w:hAnsi="Times New Roman" w:eastAsia="宋体" w:cs="Times New Roman"/>
                      <w:b w:val="0"/>
                      <w:bCs w:val="0"/>
                      <w:color w:val="auto"/>
                      <w:spacing w:val="1"/>
                      <w:kern w:val="0"/>
                      <w:sz w:val="21"/>
                      <w:szCs w:val="21"/>
                      <w:u w:val="none"/>
                      <w:lang w:val="en-US" w:eastAsia="zh-CN" w:bidi="ar-SA"/>
                    </w:rPr>
                  </w:pPr>
                  <w:r>
                    <w:rPr>
                      <w:rFonts w:hint="default" w:ascii="Times New Roman" w:hAnsi="Times New Roman" w:eastAsia="宋体" w:cs="Times New Roman"/>
                      <w:b w:val="0"/>
                      <w:bCs w:val="0"/>
                      <w:color w:val="auto"/>
                      <w:spacing w:val="1"/>
                      <w:kern w:val="0"/>
                      <w:sz w:val="21"/>
                      <w:szCs w:val="21"/>
                      <w:u w:val="none"/>
                      <w:lang w:val="en-US" w:eastAsia="zh-CN" w:bidi="ar-SA"/>
                    </w:rPr>
                    <w:t>枫林镇：生态旅游、建筑用砂石、畜禽养殖类项目、水果和茶叶。</w:t>
                  </w:r>
                </w:p>
                <w:p w14:paraId="6EF62D6F">
                  <w:pPr>
                    <w:keepNext w:val="0"/>
                    <w:keepLines w:val="0"/>
                    <w:widowControl w:val="0"/>
                    <w:suppressLineNumbers w:val="0"/>
                    <w:spacing w:before="0" w:beforeAutospacing="0" w:after="0" w:afterAutospacing="0"/>
                    <w:ind w:left="0" w:right="0" w:firstLine="424" w:firstLineChars="200"/>
                    <w:jc w:val="both"/>
                    <w:rPr>
                      <w:rFonts w:hint="default" w:ascii="Times New Roman" w:hAnsi="Times New Roman" w:eastAsia="宋体" w:cs="Times New Roman"/>
                      <w:b w:val="0"/>
                      <w:bCs w:val="0"/>
                      <w:color w:val="auto"/>
                      <w:spacing w:val="1"/>
                      <w:kern w:val="0"/>
                      <w:sz w:val="21"/>
                      <w:szCs w:val="21"/>
                      <w:u w:val="none"/>
                      <w:lang w:val="en-US" w:eastAsia="zh-CN" w:bidi="ar-SA"/>
                    </w:rPr>
                  </w:pPr>
                  <w:r>
                    <w:rPr>
                      <w:rFonts w:hint="default" w:ascii="Times New Roman" w:hAnsi="Times New Roman" w:eastAsia="宋体" w:cs="Times New Roman"/>
                      <w:b w:val="0"/>
                      <w:bCs w:val="0"/>
                      <w:color w:val="auto"/>
                      <w:spacing w:val="1"/>
                      <w:kern w:val="0"/>
                      <w:sz w:val="21"/>
                      <w:szCs w:val="21"/>
                      <w:u w:val="none"/>
                      <w:lang w:val="en-US" w:eastAsia="zh-CN" w:bidi="ar-SA"/>
                    </w:rPr>
                    <w:t>李畋镇：陶瓷、花炮。</w:t>
                  </w:r>
                </w:p>
                <w:p w14:paraId="49DEC390">
                  <w:pPr>
                    <w:keepNext w:val="0"/>
                    <w:keepLines w:val="0"/>
                    <w:widowControl w:val="0"/>
                    <w:suppressLineNumbers w:val="0"/>
                    <w:spacing w:before="0" w:beforeAutospacing="0" w:after="0" w:afterAutospacing="0"/>
                    <w:ind w:left="0" w:right="0" w:firstLine="424" w:firstLineChars="200"/>
                    <w:jc w:val="both"/>
                    <w:rPr>
                      <w:rFonts w:hint="default" w:ascii="Times New Roman" w:hAnsi="Times New Roman" w:eastAsia="宋体" w:cs="Times New Roman"/>
                      <w:b w:val="0"/>
                      <w:bCs w:val="0"/>
                      <w:color w:val="auto"/>
                      <w:spacing w:val="1"/>
                      <w:kern w:val="0"/>
                      <w:sz w:val="21"/>
                      <w:szCs w:val="21"/>
                      <w:u w:val="none"/>
                      <w:lang w:val="en-US" w:eastAsia="zh-CN" w:bidi="ar-SA"/>
                    </w:rPr>
                  </w:pPr>
                  <w:r>
                    <w:rPr>
                      <w:rFonts w:hint="default" w:ascii="Times New Roman" w:hAnsi="Times New Roman" w:eastAsia="宋体" w:cs="Times New Roman"/>
                      <w:b w:val="0"/>
                      <w:bCs w:val="0"/>
                      <w:color w:val="auto"/>
                      <w:spacing w:val="1"/>
                      <w:kern w:val="0"/>
                      <w:sz w:val="21"/>
                      <w:szCs w:val="21"/>
                      <w:u w:val="none"/>
                      <w:lang w:val="en-US" w:eastAsia="zh-CN" w:bidi="ar-SA"/>
                    </w:rPr>
                    <w:t>沩山镇：生态旅游、陶瓷、建筑用砂石、畜禽养殖类项目。</w:t>
                  </w:r>
                </w:p>
              </w:tc>
            </w:tr>
            <w:tr w14:paraId="6E16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9" w:type="pct"/>
                  <w:noWrap w:val="0"/>
                  <w:vAlign w:val="center"/>
                </w:tcPr>
                <w:p w14:paraId="70553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宋体" w:cs="Times New Roman"/>
                      <w:b/>
                      <w:bCs/>
                      <w:color w:val="auto"/>
                      <w:spacing w:val="1"/>
                      <w:kern w:val="0"/>
                      <w:sz w:val="21"/>
                      <w:szCs w:val="21"/>
                      <w:u w:val="none"/>
                      <w:lang w:val="en-US" w:eastAsia="zh-CN" w:bidi="ar-SA"/>
                    </w:rPr>
                  </w:pPr>
                  <w:r>
                    <w:rPr>
                      <w:rFonts w:hint="eastAsia" w:ascii="Times New Roman" w:hAnsi="Times New Roman" w:eastAsia="宋体" w:cs="Times New Roman"/>
                      <w:b/>
                      <w:bCs/>
                      <w:color w:val="auto"/>
                      <w:spacing w:val="1"/>
                      <w:kern w:val="0"/>
                      <w:sz w:val="21"/>
                      <w:szCs w:val="21"/>
                      <w:u w:val="none"/>
                      <w:lang w:val="en-US" w:eastAsia="zh-CN" w:bidi="ar-SA"/>
                    </w:rPr>
                    <w:t>管控纬度</w:t>
                  </w:r>
                </w:p>
              </w:tc>
              <w:tc>
                <w:tcPr>
                  <w:tcW w:w="2973" w:type="pct"/>
                  <w:gridSpan w:val="5"/>
                  <w:noWrap w:val="0"/>
                  <w:vAlign w:val="center"/>
                </w:tcPr>
                <w:p w14:paraId="33D7A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宋体" w:cs="Times New Roman"/>
                      <w:b/>
                      <w:bCs/>
                      <w:color w:val="auto"/>
                      <w:spacing w:val="1"/>
                      <w:kern w:val="0"/>
                      <w:sz w:val="21"/>
                      <w:szCs w:val="21"/>
                      <w:u w:val="none"/>
                      <w:lang w:val="en-US" w:eastAsia="zh-CN" w:bidi="ar-SA"/>
                    </w:rPr>
                  </w:pPr>
                  <w:r>
                    <w:rPr>
                      <w:rFonts w:hint="eastAsia" w:ascii="Times New Roman" w:hAnsi="Times New Roman" w:eastAsia="宋体" w:cs="Times New Roman"/>
                      <w:b/>
                      <w:bCs/>
                      <w:color w:val="auto"/>
                      <w:spacing w:val="1"/>
                      <w:kern w:val="0"/>
                      <w:sz w:val="21"/>
                      <w:szCs w:val="21"/>
                      <w:u w:val="none"/>
                      <w:lang w:val="en-US" w:eastAsia="zh-CN" w:bidi="ar-SA"/>
                    </w:rPr>
                    <w:t>环境准入和管控要求</w:t>
                  </w:r>
                </w:p>
              </w:tc>
              <w:tc>
                <w:tcPr>
                  <w:tcW w:w="1141" w:type="pct"/>
                  <w:gridSpan w:val="2"/>
                  <w:noWrap w:val="0"/>
                  <w:vAlign w:val="center"/>
                </w:tcPr>
                <w:p w14:paraId="4EB2F9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pacing w:val="1"/>
                      <w:kern w:val="0"/>
                      <w:sz w:val="21"/>
                      <w:szCs w:val="21"/>
                      <w:u w:val="none"/>
                      <w:lang w:val="en-US" w:eastAsia="zh-CN" w:bidi="ar-SA"/>
                    </w:rPr>
                  </w:pPr>
                  <w:r>
                    <w:rPr>
                      <w:rFonts w:hint="default" w:ascii="Times New Roman" w:hAnsi="Times New Roman" w:eastAsia="宋体" w:cs="Times New Roman"/>
                      <w:b/>
                      <w:bCs/>
                      <w:color w:val="auto"/>
                      <w:spacing w:val="1"/>
                      <w:kern w:val="0"/>
                      <w:sz w:val="21"/>
                      <w:szCs w:val="21"/>
                      <w:highlight w:val="none"/>
                      <w:u w:val="none"/>
                      <w:lang w:val="en-US" w:eastAsia="zh-CN" w:bidi="ar-SA"/>
                    </w:rPr>
                    <w:t>本项目情况</w:t>
                  </w:r>
                </w:p>
              </w:tc>
              <w:tc>
                <w:tcPr>
                  <w:tcW w:w="435" w:type="pct"/>
                  <w:noWrap w:val="0"/>
                  <w:vAlign w:val="center"/>
                </w:tcPr>
                <w:p w14:paraId="14300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pacing w:val="1"/>
                      <w:kern w:val="0"/>
                      <w:sz w:val="21"/>
                      <w:szCs w:val="21"/>
                      <w:u w:val="none"/>
                      <w:lang w:val="en-US" w:eastAsia="zh-CN" w:bidi="ar-SA"/>
                    </w:rPr>
                  </w:pPr>
                  <w:r>
                    <w:rPr>
                      <w:rFonts w:hint="default" w:ascii="Times New Roman" w:hAnsi="Times New Roman" w:eastAsia="宋体" w:cs="Times New Roman"/>
                      <w:b/>
                      <w:bCs/>
                      <w:color w:val="auto"/>
                      <w:spacing w:val="1"/>
                      <w:kern w:val="0"/>
                      <w:sz w:val="21"/>
                      <w:szCs w:val="21"/>
                      <w:u w:val="none"/>
                      <w:lang w:val="en-US" w:eastAsia="zh-CN" w:bidi="ar-SA"/>
                    </w:rPr>
                    <w:t>相符性</w:t>
                  </w:r>
                </w:p>
              </w:tc>
            </w:tr>
            <w:tr w14:paraId="2D9E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9" w:type="pct"/>
                  <w:noWrap w:val="0"/>
                  <w:vAlign w:val="center"/>
                </w:tcPr>
                <w:p w14:paraId="09AF1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空间布局约束</w:t>
                  </w:r>
                </w:p>
              </w:tc>
              <w:tc>
                <w:tcPr>
                  <w:tcW w:w="2973" w:type="pct"/>
                  <w:gridSpan w:val="5"/>
                  <w:noWrap w:val="0"/>
                  <w:vAlign w:val="center"/>
                </w:tcPr>
                <w:p w14:paraId="4F8B3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default" w:ascii="Times New Roman" w:hAnsi="Times New Roman" w:eastAsia="宋体" w:cs="Times New Roman"/>
                      <w:color w:val="auto"/>
                      <w:spacing w:val="1"/>
                      <w:kern w:val="0"/>
                      <w:sz w:val="21"/>
                      <w:szCs w:val="21"/>
                      <w:u w:val="none"/>
                      <w:lang w:val="en-US" w:eastAsia="zh-CN" w:bidi="ar-SA"/>
                    </w:rPr>
                    <w:t>（1.1）渌江三刀石段饮用水水源保护区、望仙桥水库饮用水水源保护区、王仙镇自来水厂饮用水水源保护区、李畋镇潼塘地下水饮用水水源保护区、浦口镇雪峰山水库饮用水水源保护区、醴陵市枫林镇黄獭嘴集中供水工程饮用水水源保护区、醴陵市浦囗镇镇中心地下水型水源地保护区范围内土地的开发利用必须满足饮用水水源保护区相关要求。</w:t>
                  </w:r>
                </w:p>
                <w:p w14:paraId="156FE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default" w:ascii="Times New Roman" w:hAnsi="Times New Roman" w:eastAsia="宋体" w:cs="Times New Roman"/>
                      <w:color w:val="auto"/>
                      <w:spacing w:val="1"/>
                      <w:kern w:val="0"/>
                      <w:sz w:val="21"/>
                      <w:szCs w:val="21"/>
                      <w:u w:val="none"/>
                      <w:lang w:val="en-US" w:eastAsia="zh-CN" w:bidi="ar-SA"/>
                    </w:rPr>
                    <w:t>（1.2）上述饮用水水源保护区，板杉镇、枫林镇、李畋镇、浦口镇、王仙镇、沩山镇人民政府所在地的集镇建成区为畜禽养殖禁养区，禁养区内原有的畜禽规模养殖场（小区）、养殖户限期关闭或搬迁，搬迁的优先支持异地重建。其他区域新建畜禽养殖小区和养殖场选址需满足《醴陵市人民政府关于划定畜禽养殖禁养区的通告》、《株洲市畜禽养殖污染防治条例》等法律法规规章相关选址要求。</w:t>
                  </w:r>
                </w:p>
                <w:p w14:paraId="1BF65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default" w:ascii="Times New Roman" w:hAnsi="Times New Roman" w:eastAsia="宋体" w:cs="Times New Roman"/>
                      <w:color w:val="auto"/>
                      <w:spacing w:val="1"/>
                      <w:kern w:val="0"/>
                      <w:sz w:val="21"/>
                      <w:szCs w:val="21"/>
                      <w:u w:val="none"/>
                      <w:lang w:val="en-US" w:eastAsia="zh-CN" w:bidi="ar-SA"/>
                    </w:rPr>
                    <w:t>（1.3）其他渌水、雪峰山水库、焦坑水库、荷田水库属于水产养殖限养区，应满足《株洲市养殖水域滩涂规划》（2018-2030年）限养区相关规定。</w:t>
                  </w:r>
                </w:p>
                <w:p w14:paraId="246F2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default" w:ascii="Times New Roman" w:hAnsi="Times New Roman" w:eastAsia="宋体" w:cs="Times New Roman"/>
                      <w:color w:val="auto"/>
                      <w:spacing w:val="1"/>
                      <w:kern w:val="0"/>
                      <w:sz w:val="21"/>
                      <w:szCs w:val="21"/>
                      <w:u w:val="none"/>
                      <w:lang w:val="en-US" w:eastAsia="zh-CN" w:bidi="ar-SA"/>
                    </w:rPr>
                    <w:t>（1.4）浦口镇、王仙镇：属于大气弱扩散区，限制新建气型污染物排放量大项目。</w:t>
                  </w:r>
                </w:p>
                <w:p w14:paraId="0DAE8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default" w:ascii="Times New Roman" w:hAnsi="Times New Roman" w:eastAsia="宋体" w:cs="Times New Roman"/>
                      <w:color w:val="auto"/>
                      <w:spacing w:val="1"/>
                      <w:kern w:val="0"/>
                      <w:sz w:val="21"/>
                      <w:szCs w:val="21"/>
                      <w:u w:val="none"/>
                      <w:lang w:val="en-US" w:eastAsia="zh-CN" w:bidi="ar-SA"/>
                    </w:rPr>
                    <w:t>（1.5）沩山镇开发应符合《醴陵窑考古遗址公园规划》、《醴陵窑文物保护规划》，醴陵窑本体及周边严格限制污染文物保护单位及环境的设施。</w:t>
                  </w:r>
                </w:p>
              </w:tc>
              <w:tc>
                <w:tcPr>
                  <w:tcW w:w="1141" w:type="pct"/>
                  <w:gridSpan w:val="2"/>
                  <w:noWrap w:val="0"/>
                  <w:vAlign w:val="center"/>
                </w:tcPr>
                <w:p w14:paraId="32DA0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（1.1）本项目不涉及饮用水水源地保护区；</w:t>
                  </w:r>
                </w:p>
                <w:p w14:paraId="5FAB1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（1.2）本项目不属于畜禽养殖项目；</w:t>
                  </w:r>
                </w:p>
                <w:p w14:paraId="615CEAD2">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240" w:lineRule="auto"/>
                    <w:ind w:left="0" w:leftChars="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（1.3）不涉及；</w:t>
                  </w:r>
                </w:p>
                <w:p w14:paraId="2379EDFA">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240" w:lineRule="auto"/>
                    <w:ind w:left="0" w:leftChars="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（1.4）不涉及；</w:t>
                  </w:r>
                </w:p>
                <w:p w14:paraId="654C202B">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240" w:lineRule="auto"/>
                    <w:ind w:left="0" w:leftChars="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（1.5）不涉及。</w:t>
                  </w:r>
                </w:p>
                <w:p w14:paraId="41F87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p>
                <w:p w14:paraId="461250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p>
              </w:tc>
              <w:tc>
                <w:tcPr>
                  <w:tcW w:w="435" w:type="pct"/>
                  <w:noWrap w:val="0"/>
                  <w:vAlign w:val="center"/>
                </w:tcPr>
                <w:p w14:paraId="3157F3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pacing w:val="1"/>
                      <w:kern w:val="0"/>
                      <w:sz w:val="21"/>
                      <w:szCs w:val="21"/>
                      <w:u w:val="none"/>
                      <w:lang w:val="en-US" w:eastAsia="zh-CN" w:bidi="ar-SA"/>
                    </w:rPr>
                  </w:pPr>
                  <w:r>
                    <w:rPr>
                      <w:rFonts w:hint="default" w:ascii="Times New Roman" w:hAnsi="Times New Roman" w:eastAsia="宋体" w:cs="Times New Roman"/>
                      <w:color w:val="auto"/>
                      <w:spacing w:val="1"/>
                      <w:kern w:val="0"/>
                      <w:sz w:val="21"/>
                      <w:szCs w:val="21"/>
                      <w:u w:val="none"/>
                      <w:lang w:val="en-US" w:eastAsia="zh-CN" w:bidi="ar-SA"/>
                    </w:rPr>
                    <w:t>符合</w:t>
                  </w:r>
                </w:p>
              </w:tc>
            </w:tr>
            <w:tr w14:paraId="4AC2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9" w:type="pct"/>
                  <w:noWrap w:val="0"/>
                  <w:vAlign w:val="center"/>
                </w:tcPr>
                <w:p w14:paraId="7DB4E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污染物排放管控</w:t>
                  </w:r>
                </w:p>
              </w:tc>
              <w:tc>
                <w:tcPr>
                  <w:tcW w:w="2973" w:type="pct"/>
                  <w:gridSpan w:val="5"/>
                  <w:noWrap w:val="0"/>
                  <w:vAlign w:val="center"/>
                </w:tcPr>
                <w:p w14:paraId="2FF37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（2.1）加快醴陵市王仙镇店香河水环境综合整治工程</w:t>
                  </w:r>
                  <w:r>
                    <w:rPr>
                      <w:rFonts w:hint="eastAsia" w:cs="Times New Roman"/>
                      <w:color w:val="auto"/>
                      <w:spacing w:val="1"/>
                      <w:kern w:val="0"/>
                      <w:sz w:val="21"/>
                      <w:szCs w:val="21"/>
                      <w:u w:val="none"/>
                      <w:lang w:val="en-US" w:eastAsia="zh-CN" w:bidi="ar-SA"/>
                    </w:rPr>
                    <w:t>，</w:t>
                  </w:r>
                  <w:r>
                    <w:rPr>
                      <w:rFonts w:hint="eastAsia" w:ascii="Times New Roman" w:hAnsi="Times New Roman" w:eastAsia="宋体" w:cs="Times New Roman"/>
                      <w:color w:val="auto"/>
                      <w:spacing w:val="1"/>
                      <w:kern w:val="0"/>
                      <w:sz w:val="21"/>
                      <w:szCs w:val="21"/>
                      <w:u w:val="none"/>
                      <w:lang w:val="en-US" w:eastAsia="zh-CN" w:bidi="ar-SA"/>
                    </w:rPr>
                    <w:t>解决王仙镇店香河的黑臭水体问题。</w:t>
                  </w:r>
                </w:p>
                <w:p w14:paraId="2CCE7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（2.2）畜禽养殖项目严格执行《株洲市畜禽养殖污染防治条例》，新、改、扩建畜禽养殖企业均需配建规范化的粪便、废水处理设施，畜禽粪便实现无害化处理和综合利用。</w:t>
                  </w:r>
                </w:p>
                <w:p w14:paraId="5112E1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（2.3）鼓励建筑垃圾综合利用。建筑垃圾可以再利用的，应当直接利用；不能直接利用的，应当按照《醴陵市城市建筑垃圾管理规定》进行管理。</w:t>
                  </w:r>
                </w:p>
                <w:p w14:paraId="451A4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（2.4）餐饮企业应安装高效油烟净化设施，确保油烟达标排放。</w:t>
                  </w:r>
                </w:p>
              </w:tc>
              <w:tc>
                <w:tcPr>
                  <w:tcW w:w="1141" w:type="pct"/>
                  <w:gridSpan w:val="2"/>
                  <w:noWrap w:val="0"/>
                  <w:vAlign w:val="center"/>
                </w:tcPr>
                <w:p w14:paraId="5D288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（2.1）本项目生活污水、生产废水不外排，不涉及城镇生活污水集中收集；</w:t>
                  </w:r>
                </w:p>
                <w:p w14:paraId="1A2D1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（2.2）本项目不涉及畜禽养殖；</w:t>
                  </w:r>
                </w:p>
                <w:p w14:paraId="65F15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（2.3）本项目建设过程中产生的建筑垃圾按要求综合利用；</w:t>
                  </w:r>
                </w:p>
                <w:p w14:paraId="5563E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（2.4）本项目不属于餐饮企业。</w:t>
                  </w:r>
                </w:p>
              </w:tc>
              <w:tc>
                <w:tcPr>
                  <w:tcW w:w="435" w:type="pct"/>
                  <w:noWrap w:val="0"/>
                  <w:vAlign w:val="center"/>
                </w:tcPr>
                <w:p w14:paraId="7ABC5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符合</w:t>
                  </w:r>
                </w:p>
              </w:tc>
            </w:tr>
            <w:tr w14:paraId="270F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9" w:type="pct"/>
                  <w:noWrap w:val="0"/>
                  <w:vAlign w:val="center"/>
                </w:tcPr>
                <w:p w14:paraId="7749C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环境风险防控</w:t>
                  </w:r>
                </w:p>
              </w:tc>
              <w:tc>
                <w:tcPr>
                  <w:tcW w:w="2973" w:type="pct"/>
                  <w:gridSpan w:val="5"/>
                  <w:noWrap w:val="0"/>
                  <w:vAlign w:val="center"/>
                </w:tcPr>
                <w:p w14:paraId="2CA05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（3.1）按照《株洲市</w:t>
                  </w:r>
                  <w:r>
                    <w:rPr>
                      <w:rFonts w:hint="eastAsia" w:cs="Times New Roman"/>
                      <w:color w:val="auto"/>
                      <w:spacing w:val="1"/>
                      <w:kern w:val="0"/>
                      <w:sz w:val="21"/>
                      <w:szCs w:val="21"/>
                      <w:u w:val="none"/>
                      <w:lang w:val="en-US" w:eastAsia="zh-CN" w:bidi="ar-SA"/>
                    </w:rPr>
                    <w:t>“</w:t>
                  </w:r>
                  <w:r>
                    <w:rPr>
                      <w:rFonts w:hint="eastAsia" w:ascii="Times New Roman" w:hAnsi="Times New Roman" w:eastAsia="宋体" w:cs="Times New Roman"/>
                      <w:color w:val="auto"/>
                      <w:spacing w:val="1"/>
                      <w:kern w:val="0"/>
                      <w:sz w:val="21"/>
                      <w:szCs w:val="21"/>
                      <w:u w:val="none"/>
                      <w:lang w:val="en-US" w:eastAsia="zh-CN" w:bidi="ar-SA"/>
                    </w:rPr>
                    <w:t>十四五</w:t>
                  </w:r>
                  <w:r>
                    <w:rPr>
                      <w:rFonts w:hint="eastAsia" w:cs="Times New Roman"/>
                      <w:color w:val="auto"/>
                      <w:spacing w:val="1"/>
                      <w:kern w:val="0"/>
                      <w:sz w:val="21"/>
                      <w:szCs w:val="21"/>
                      <w:u w:val="none"/>
                      <w:lang w:val="en-US" w:eastAsia="zh-CN" w:bidi="ar-SA"/>
                    </w:rPr>
                    <w:t>”</w:t>
                  </w:r>
                  <w:r>
                    <w:rPr>
                      <w:rFonts w:hint="eastAsia" w:ascii="Times New Roman" w:hAnsi="Times New Roman" w:eastAsia="宋体" w:cs="Times New Roman"/>
                      <w:color w:val="auto"/>
                      <w:spacing w:val="1"/>
                      <w:kern w:val="0"/>
                      <w:sz w:val="21"/>
                      <w:szCs w:val="21"/>
                      <w:u w:val="none"/>
                      <w:lang w:val="en-US" w:eastAsia="zh-CN" w:bidi="ar-SA"/>
                    </w:rPr>
                    <w:t>生态环境保护规划》《醴陵市集中式饮用水水源地突发环境事件应急预案》《醴陵市突发环境事件应急预案》《醴陵市重污染天气应急预案》强化环境风险管控，完善环境风险防控体系。</w:t>
                  </w:r>
                </w:p>
              </w:tc>
              <w:tc>
                <w:tcPr>
                  <w:tcW w:w="1141" w:type="pct"/>
                  <w:gridSpan w:val="2"/>
                  <w:noWrap w:val="0"/>
                  <w:vAlign w:val="center"/>
                </w:tcPr>
                <w:p w14:paraId="145BB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（3.1）本项目严格执行</w:t>
                  </w:r>
                </w:p>
              </w:tc>
              <w:tc>
                <w:tcPr>
                  <w:tcW w:w="435" w:type="pct"/>
                  <w:noWrap w:val="0"/>
                  <w:vAlign w:val="center"/>
                </w:tcPr>
                <w:p w14:paraId="098FA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符合</w:t>
                  </w:r>
                </w:p>
              </w:tc>
            </w:tr>
            <w:tr w14:paraId="2D01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4" w:hRule="atLeast"/>
                <w:jc w:val="center"/>
              </w:trPr>
              <w:tc>
                <w:tcPr>
                  <w:tcW w:w="449" w:type="pct"/>
                  <w:noWrap w:val="0"/>
                  <w:vAlign w:val="center"/>
                </w:tcPr>
                <w:p w14:paraId="05C0C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资源开发效率要求</w:t>
                  </w:r>
                </w:p>
              </w:tc>
              <w:tc>
                <w:tcPr>
                  <w:tcW w:w="2973" w:type="pct"/>
                  <w:gridSpan w:val="5"/>
                  <w:noWrap w:val="0"/>
                  <w:vAlign w:val="center"/>
                </w:tcPr>
                <w:p w14:paraId="775B81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（4.1）能源</w:t>
                  </w:r>
                </w:p>
                <w:p w14:paraId="35C975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（4.1.1）积极引导生活用燃煤的居民改用液化石油气等清洁燃料。</w:t>
                  </w:r>
                </w:p>
                <w:p w14:paraId="6EFF63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（4.1.2）禁燃区（城市建成区和城市规划区天然气管网覆盖区域）内禁止使用高污染燃料。</w:t>
                  </w:r>
                </w:p>
                <w:p w14:paraId="5CD46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（4.1.3）控制化石能源消费总量，合理控制煤炭消费总量，提升煤炭清洁化利用率，形成以非化石能源为能源消费增量体的能源结构。积极利用太阳能、生物质能等新能源，进一步推进能源发展清洁转型。</w:t>
                  </w:r>
                </w:p>
                <w:p w14:paraId="71653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（4.2）水资源：醴陵市2020到2025年用水总量为5.24（亿立方米），醴陵市到2025年万元国内生产总值用水量比2020年下降22.1%，万元工业增长值用水量比2020年下降12.8%，农田灌溉水有效利用系数为0.5830。</w:t>
                  </w:r>
                </w:p>
                <w:p w14:paraId="45CEB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（4.3）土地资源</w:t>
                  </w:r>
                </w:p>
                <w:p w14:paraId="1CD18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板杉镇：到2035年耕地保护目标为31358.04公顷，永久基本农田保护面积为29331.95公顷，城镇开发边界规模为105.04公顷，村庄建设用地为950.24公顷。</w:t>
                  </w:r>
                </w:p>
                <w:p w14:paraId="3CB15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枫林镇：到2035年耕地保护目标为36574.87亩，永久基本农田保护面积为34789.17亩，生态保护红线面积为306.89公顷，城镇开发边界规模为75.72公顷，村庄建设用地为1107.43公顷。</w:t>
                  </w:r>
                </w:p>
                <w:p w14:paraId="1DACD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李畋镇：到2035年耕地保护目标为28033.37亩，永久基本农田保护面积为25576.79亩，城镇开发边界规模为166.83公顷，村庄建设用地为2183.88公顷。</w:t>
                  </w:r>
                </w:p>
                <w:p w14:paraId="67AB5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浦口镇：到2035年耕地保护目标为22887.91亩，永久基本农田保护面积为21264.63亩，城镇开发边界规模为345.74公顷，村庄建设用地为1253.68公顷。</w:t>
                  </w:r>
                </w:p>
                <w:p w14:paraId="3AFD1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王仙镇：到2035年耕地保护目标为12733.78亩，永久基本农田保护面积为11331.47亩，城镇开发边界规模为158.08公顷，村庄建设用地为824.87公顷。</w:t>
                  </w:r>
                </w:p>
                <w:p w14:paraId="30632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沩山镇：到2035年耕地保护目标为7919.07亩，永久基本农田保护面积为6886.62亩，生态保护红线面积为13.88公顷，城镇开发边界规模为47.74公顷，村庄建设用地为434.68公顷。</w:t>
                  </w:r>
                </w:p>
                <w:p w14:paraId="3BE5A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长庆街道：到2035年耕地保护目标为13120.8亩，永久基本农田保护面积为8914.02亩，无生态保护红线，城镇开发边界规模为425.8公顷，村庄建设用地为773.51公顷。</w:t>
                  </w:r>
                </w:p>
              </w:tc>
              <w:tc>
                <w:tcPr>
                  <w:tcW w:w="1141" w:type="pct"/>
                  <w:gridSpan w:val="2"/>
                  <w:noWrap w:val="0"/>
                  <w:vAlign w:val="center"/>
                </w:tcPr>
                <w:p w14:paraId="66195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（4.1）本项目消耗的能源主要为电能，不使用燃煤等高污染燃料；</w:t>
                  </w:r>
                </w:p>
                <w:p w14:paraId="5FEE4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（4.2）本项目用水主要为员工生活用水，无生产用水</w:t>
                  </w:r>
                  <w:r>
                    <w:rPr>
                      <w:rFonts w:hint="eastAsia" w:cs="Times New Roman"/>
                      <w:color w:val="auto"/>
                      <w:spacing w:val="1"/>
                      <w:kern w:val="0"/>
                      <w:sz w:val="21"/>
                      <w:szCs w:val="21"/>
                      <w:u w:val="none"/>
                      <w:lang w:val="en-US" w:eastAsia="zh-CN" w:bidi="ar-SA"/>
                    </w:rPr>
                    <w:t>，用水</w:t>
                  </w:r>
                  <w:r>
                    <w:rPr>
                      <w:rFonts w:hint="eastAsia" w:ascii="Times New Roman" w:hAnsi="Times New Roman" w:eastAsia="宋体" w:cs="Times New Roman"/>
                      <w:color w:val="auto"/>
                      <w:spacing w:val="1"/>
                      <w:kern w:val="0"/>
                      <w:sz w:val="21"/>
                      <w:szCs w:val="21"/>
                      <w:u w:val="none"/>
                      <w:lang w:val="en-US" w:eastAsia="zh-CN" w:bidi="ar-SA"/>
                    </w:rPr>
                    <w:t>消耗量较小；</w:t>
                  </w:r>
                </w:p>
                <w:p w14:paraId="226D0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default" w:ascii="Times New Roman" w:hAnsi="Times New Roman" w:eastAsia="宋体" w:cs="Times New Roman"/>
                      <w:color w:val="auto"/>
                      <w:spacing w:val="1"/>
                      <w:kern w:val="0"/>
                      <w:sz w:val="21"/>
                      <w:szCs w:val="21"/>
                      <w:u w:val="none"/>
                      <w:lang w:val="en-US" w:eastAsia="zh-CN" w:bidi="ar-SA"/>
                    </w:rPr>
                  </w:pPr>
                  <w:r>
                    <w:rPr>
                      <w:rFonts w:hint="eastAsia" w:ascii="Times New Roman" w:hAnsi="Times New Roman" w:eastAsia="宋体" w:cs="Times New Roman"/>
                      <w:color w:val="auto"/>
                      <w:spacing w:val="1"/>
                      <w:kern w:val="0"/>
                      <w:sz w:val="21"/>
                      <w:szCs w:val="21"/>
                      <w:u w:val="none"/>
                      <w:lang w:val="en-US" w:eastAsia="zh-CN" w:bidi="ar-SA"/>
                    </w:rPr>
                    <w:t>（4.3）本项目用地不涉及基本农田保护，</w:t>
                  </w:r>
                  <w:r>
                    <w:rPr>
                      <w:rFonts w:hint="eastAsia" w:ascii="Times New Roman" w:hAnsi="Times New Roman" w:eastAsia="宋体" w:cs="Times New Roman"/>
                      <w:color w:val="auto"/>
                      <w:spacing w:val="1"/>
                      <w:kern w:val="0"/>
                      <w:sz w:val="21"/>
                      <w:szCs w:val="21"/>
                      <w:highlight w:val="none"/>
                      <w:u w:val="none"/>
                      <w:lang w:val="en-US" w:eastAsia="zh-CN" w:bidi="ar-SA"/>
                    </w:rPr>
                    <w:t>项目已取得醴陵市浦口镇人民政府、醴陵市浦口镇浦口村村民委员会同意。</w:t>
                  </w:r>
                </w:p>
              </w:tc>
              <w:tc>
                <w:tcPr>
                  <w:tcW w:w="435" w:type="pct"/>
                  <w:noWrap w:val="0"/>
                  <w:vAlign w:val="center"/>
                </w:tcPr>
                <w:p w14:paraId="183D5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pacing w:val="1"/>
                      <w:kern w:val="0"/>
                      <w:sz w:val="21"/>
                      <w:szCs w:val="21"/>
                      <w:u w:val="none"/>
                      <w:lang w:val="en-US" w:eastAsia="zh-CN" w:bidi="ar-SA"/>
                    </w:rPr>
                  </w:pPr>
                  <w:r>
                    <w:rPr>
                      <w:rFonts w:hint="default" w:ascii="Times New Roman" w:hAnsi="Times New Roman" w:eastAsia="宋体" w:cs="Times New Roman"/>
                      <w:color w:val="auto"/>
                      <w:spacing w:val="1"/>
                      <w:kern w:val="0"/>
                      <w:sz w:val="21"/>
                      <w:szCs w:val="21"/>
                      <w:u w:val="none"/>
                      <w:lang w:val="en-US" w:eastAsia="zh-CN" w:bidi="ar-SA"/>
                    </w:rPr>
                    <w:t>符合</w:t>
                  </w:r>
                </w:p>
              </w:tc>
            </w:tr>
          </w:tbl>
          <w:p w14:paraId="195D4806">
            <w:pPr>
              <w:keepNext w:val="0"/>
              <w:keepLines w:val="0"/>
              <w:widowControl w:val="0"/>
              <w:suppressLineNumbers w:val="0"/>
              <w:spacing w:before="157" w:beforeLines="5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default" w:ascii="Times New Roman" w:hAnsi="宋体" w:eastAsia="宋体" w:cs="Times New Roman"/>
                <w:color w:val="auto"/>
                <w:kern w:val="2"/>
                <w:sz w:val="24"/>
                <w:szCs w:val="24"/>
                <w:u w:val="none"/>
                <w:lang w:val="en-US" w:eastAsia="zh-CN" w:bidi="ar-SA"/>
              </w:rPr>
              <w:t>由上表可知，本项目符合</w:t>
            </w:r>
            <w:r>
              <w:rPr>
                <w:rFonts w:hint="eastAsia" w:ascii="Times New Roman" w:hAnsi="宋体" w:eastAsia="宋体" w:cs="Times New Roman"/>
                <w:color w:val="auto"/>
                <w:kern w:val="2"/>
                <w:sz w:val="24"/>
                <w:szCs w:val="24"/>
                <w:u w:val="none"/>
                <w:lang w:val="en-US" w:eastAsia="zh-CN" w:bidi="ar-SA"/>
              </w:rPr>
              <w:t>《株洲市生态环境局关于发布株洲市生态环境分区管控更新成果（2023版）的通知》（株环发[2024]22号）管控要求。</w:t>
            </w:r>
          </w:p>
          <w:p w14:paraId="7168E48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firstLineChars="200"/>
              <w:jc w:val="both"/>
              <w:textAlignment w:val="auto"/>
              <w:rPr>
                <w:rFonts w:hint="eastAsia" w:ascii="Times New Roman" w:hAnsi="宋体" w:eastAsia="宋体" w:cs="Times New Roman"/>
                <w:color w:val="auto"/>
                <w:kern w:val="2"/>
                <w:sz w:val="24"/>
                <w:szCs w:val="24"/>
                <w:lang w:val="en-US" w:eastAsia="zh-CN" w:bidi="ar-SA"/>
              </w:rPr>
            </w:pPr>
            <w:r>
              <w:rPr>
                <w:rFonts w:hint="eastAsia" w:hAnsi="宋体" w:cs="Times New Roman"/>
                <w:b/>
                <w:bCs/>
                <w:color w:val="auto"/>
                <w:kern w:val="2"/>
                <w:sz w:val="24"/>
                <w:szCs w:val="24"/>
                <w:lang w:val="en-US" w:eastAsia="zh-CN" w:bidi="ar-SA"/>
              </w:rPr>
              <w:t>4</w:t>
            </w:r>
            <w:r>
              <w:rPr>
                <w:rFonts w:hint="eastAsia" w:ascii="Times New Roman" w:hAnsi="宋体" w:eastAsia="宋体" w:cs="Times New Roman"/>
                <w:b/>
                <w:bCs/>
                <w:color w:val="auto"/>
                <w:kern w:val="2"/>
                <w:sz w:val="24"/>
                <w:szCs w:val="24"/>
                <w:lang w:val="en-US" w:eastAsia="zh-CN" w:bidi="ar-SA"/>
              </w:rPr>
              <w:t>、与《湖南省长江经济带发展负面清单实施细则》（试行，2022年版）相符性分析</w:t>
            </w:r>
          </w:p>
          <w:p w14:paraId="2C42CA6C">
            <w:pPr>
              <w:keepNext w:val="0"/>
              <w:keepLines w:val="0"/>
              <w:widowControl/>
              <w:suppressLineNumbers w:val="0"/>
              <w:snapToGrid w:val="0"/>
              <w:spacing w:before="0" w:beforeAutospacing="0" w:after="0" w:afterAutospacing="0" w:line="240" w:lineRule="auto"/>
              <w:ind w:left="0" w:right="0"/>
              <w:jc w:val="center"/>
              <w:rPr>
                <w:rFonts w:hint="eastAsia" w:ascii="Times New Roman" w:hAnsi="Times New Roman" w:eastAsia="宋体" w:cs="Times New Roman"/>
                <w:b/>
                <w:bCs/>
                <w:kern w:val="0"/>
                <w:sz w:val="21"/>
                <w:szCs w:val="21"/>
                <w:lang w:val="en-US" w:eastAsia="zh-CN" w:bidi="ar-SA"/>
              </w:rPr>
            </w:pPr>
            <w:r>
              <w:rPr>
                <w:rFonts w:hint="eastAsia" w:ascii="Times New Roman" w:hAnsi="Times New Roman" w:eastAsia="宋体" w:cs="Times New Roman"/>
                <w:b/>
                <w:bCs/>
                <w:kern w:val="0"/>
                <w:sz w:val="21"/>
                <w:szCs w:val="21"/>
                <w:lang w:val="en-US" w:eastAsia="zh-CN" w:bidi="ar-SA"/>
              </w:rPr>
              <w:t>表1-</w:t>
            </w:r>
            <w:r>
              <w:rPr>
                <w:rFonts w:hint="eastAsia" w:cs="Times New Roman"/>
                <w:b/>
                <w:bCs/>
                <w:kern w:val="0"/>
                <w:sz w:val="21"/>
                <w:szCs w:val="21"/>
                <w:lang w:val="en-US" w:eastAsia="zh-CN" w:bidi="ar-SA"/>
              </w:rPr>
              <w:t>2</w:t>
            </w:r>
            <w:r>
              <w:rPr>
                <w:rFonts w:hint="eastAsia" w:ascii="Times New Roman" w:hAnsi="Times New Roman" w:eastAsia="宋体" w:cs="Times New Roman"/>
                <w:b/>
                <w:bCs/>
                <w:kern w:val="0"/>
                <w:sz w:val="21"/>
                <w:szCs w:val="21"/>
                <w:lang w:val="en-US" w:eastAsia="zh-CN" w:bidi="ar-SA"/>
              </w:rPr>
              <w:t xml:space="preserve">  项目与《湖南省长江经济带发展负面清单实施细则（试行，2022年版）》</w:t>
            </w:r>
          </w:p>
          <w:p w14:paraId="34166E8E">
            <w:pPr>
              <w:keepNext w:val="0"/>
              <w:keepLines w:val="0"/>
              <w:widowControl/>
              <w:suppressLineNumbers w:val="0"/>
              <w:snapToGrid w:val="0"/>
              <w:spacing w:before="0" w:beforeAutospacing="0" w:after="0" w:afterAutospacing="0" w:line="240" w:lineRule="auto"/>
              <w:ind w:left="0" w:right="0"/>
              <w:jc w:val="center"/>
              <w:rPr>
                <w:rFonts w:hint="eastAsia" w:ascii="Times New Roman" w:hAnsi="Times New Roman" w:eastAsia="宋体" w:cs="Times New Roman"/>
                <w:b/>
                <w:bCs/>
                <w:kern w:val="0"/>
                <w:sz w:val="21"/>
                <w:szCs w:val="21"/>
                <w:lang w:val="en-US" w:eastAsia="zh-CN" w:bidi="ar-SA"/>
              </w:rPr>
            </w:pPr>
            <w:r>
              <w:rPr>
                <w:rFonts w:hint="eastAsia" w:ascii="Times New Roman" w:hAnsi="Times New Roman" w:eastAsia="宋体" w:cs="Times New Roman"/>
                <w:b/>
                <w:bCs/>
                <w:kern w:val="0"/>
                <w:sz w:val="21"/>
                <w:szCs w:val="21"/>
                <w:lang w:val="en-US" w:eastAsia="zh-CN" w:bidi="ar-SA"/>
              </w:rPr>
              <w:t>符合性分析</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509"/>
              <w:gridCol w:w="6037"/>
              <w:gridCol w:w="1435"/>
            </w:tblGrid>
            <w:tr w14:paraId="11AD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19" w:type="pct"/>
                  <w:noWrap w:val="0"/>
                  <w:vAlign w:val="center"/>
                </w:tcPr>
                <w:p w14:paraId="7C20559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vertAlign w:val="baseline"/>
                      <w:lang w:val="en-US" w:eastAsia="zh-CN"/>
                    </w:rPr>
                  </w:pPr>
                  <w:r>
                    <w:rPr>
                      <w:rFonts w:hint="eastAsia" w:ascii="Times New Roman" w:hAnsi="Times New Roman" w:eastAsia="宋体" w:cs="Times New Roman"/>
                      <w:b/>
                      <w:bCs/>
                      <w:kern w:val="0"/>
                      <w:sz w:val="21"/>
                      <w:szCs w:val="21"/>
                      <w:vertAlign w:val="baseline"/>
                      <w:lang w:val="en-US" w:eastAsia="zh-CN"/>
                    </w:rPr>
                    <w:t>序号</w:t>
                  </w:r>
                </w:p>
              </w:tc>
              <w:tc>
                <w:tcPr>
                  <w:tcW w:w="3781" w:type="pct"/>
                  <w:noWrap w:val="0"/>
                  <w:vAlign w:val="center"/>
                </w:tcPr>
                <w:p w14:paraId="16746CB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vertAlign w:val="baseline"/>
                      <w:lang w:val="en-US" w:eastAsia="zh-CN"/>
                    </w:rPr>
                  </w:pPr>
                  <w:r>
                    <w:rPr>
                      <w:rFonts w:hint="eastAsia" w:ascii="Times New Roman" w:hAnsi="Times New Roman" w:eastAsia="宋体" w:cs="Times New Roman"/>
                      <w:b/>
                      <w:bCs/>
                      <w:kern w:val="0"/>
                      <w:sz w:val="21"/>
                      <w:szCs w:val="21"/>
                      <w:vertAlign w:val="baseline"/>
                      <w:lang w:val="en-US" w:eastAsia="zh-CN"/>
                    </w:rPr>
                    <w:t>内容</w:t>
                  </w:r>
                </w:p>
              </w:tc>
              <w:tc>
                <w:tcPr>
                  <w:tcW w:w="899" w:type="pct"/>
                  <w:noWrap w:val="0"/>
                  <w:vAlign w:val="center"/>
                </w:tcPr>
                <w:p w14:paraId="3169838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vertAlign w:val="baseline"/>
                      <w:lang w:val="en-US" w:eastAsia="zh-CN"/>
                    </w:rPr>
                  </w:pPr>
                  <w:r>
                    <w:rPr>
                      <w:rFonts w:hint="eastAsia" w:ascii="Times New Roman" w:hAnsi="Times New Roman" w:eastAsia="宋体" w:cs="Times New Roman"/>
                      <w:b/>
                      <w:bCs/>
                      <w:kern w:val="0"/>
                      <w:sz w:val="21"/>
                      <w:szCs w:val="21"/>
                      <w:vertAlign w:val="baseline"/>
                      <w:lang w:val="en-US" w:eastAsia="zh-CN"/>
                    </w:rPr>
                    <w:t>相符性分析</w:t>
                  </w:r>
                </w:p>
              </w:tc>
            </w:tr>
            <w:tr w14:paraId="4021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54C608F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1</w:t>
                  </w:r>
                </w:p>
              </w:tc>
              <w:tc>
                <w:tcPr>
                  <w:tcW w:w="3781" w:type="pct"/>
                  <w:noWrap w:val="0"/>
                  <w:vAlign w:val="center"/>
                </w:tcPr>
                <w:p w14:paraId="31465EE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禁止建设不符合全国和省级港口布局规划以及港口总体规划的码头项目。对不符合港口总体规划的新建、改建和扩建的码头工程 (含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 (2020-2035年)》的过长江通道项目</w:t>
                  </w:r>
                </w:p>
              </w:tc>
              <w:tc>
                <w:tcPr>
                  <w:tcW w:w="899" w:type="pct"/>
                  <w:noWrap w:val="0"/>
                  <w:vAlign w:val="center"/>
                </w:tcPr>
                <w:p w14:paraId="5D056F7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不属于码头及过长江通道项目</w:t>
                  </w:r>
                </w:p>
              </w:tc>
            </w:tr>
            <w:tr w14:paraId="2CCE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3B2123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2</w:t>
                  </w:r>
                </w:p>
              </w:tc>
              <w:tc>
                <w:tcPr>
                  <w:tcW w:w="3781" w:type="pct"/>
                  <w:noWrap w:val="0"/>
                  <w:vAlign w:val="center"/>
                </w:tcPr>
                <w:p w14:paraId="16AECA8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禁止在自然保护区核心区、缓冲区的岸线和河段范围内投资建设以下旅游和生产经营项目</w:t>
                  </w:r>
                  <w:r>
                    <w:rPr>
                      <w:rFonts w:hint="eastAsia" w:cs="Times New Roman"/>
                      <w:kern w:val="0"/>
                      <w:sz w:val="21"/>
                      <w:szCs w:val="21"/>
                      <w:vertAlign w:val="baseline"/>
                      <w:lang w:val="en-US" w:eastAsia="zh-CN"/>
                    </w:rPr>
                    <w:t>：</w:t>
                  </w:r>
                </w:p>
                <w:p w14:paraId="44F95E5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(一) 高尔夫球场开发、房地产开发、索道建设、会所建设等项目</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(二)光伏发电、风力发电、火力发电建设项目</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(三)社会资金进行商业性探矿勘查，以及不属于国家紧缺矿种资源的基础地质调查和矿产远景调查等公益性工作的设施建设</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(四)野生动物驯养繁殖、展览基地建设项目</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(五) 污染环境、破坏自然资源或自然景观的建设设施</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(六)对自然保护区主要保护对象产生重大影响、改变自然生态系统完整性、原真性、破坏自然景观的设施</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(七)其他不符合自然保护区主体功能定位和国家禁止的</w:t>
                  </w:r>
                  <w:r>
                    <w:rPr>
                      <w:rFonts w:hint="eastAsia" w:ascii="Times New Roman" w:hAnsi="Times New Roman" w:eastAsia="宋体" w:cs="Times New Roman"/>
                      <w:kern w:val="0"/>
                      <w:sz w:val="21"/>
                      <w:szCs w:val="21"/>
                      <w:vertAlign w:val="baseline"/>
                      <w:lang w:val="en-US" w:eastAsia="zh-CN"/>
                    </w:rPr>
                    <w:t>设施</w:t>
                  </w:r>
                </w:p>
              </w:tc>
              <w:tc>
                <w:tcPr>
                  <w:tcW w:w="899" w:type="pct"/>
                  <w:noWrap w:val="0"/>
                  <w:vAlign w:val="center"/>
                </w:tcPr>
                <w:p w14:paraId="2C2A7B0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不涉及自然保护区</w:t>
                  </w:r>
                </w:p>
              </w:tc>
            </w:tr>
            <w:tr w14:paraId="7A90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7461292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3</w:t>
                  </w:r>
                </w:p>
              </w:tc>
              <w:tc>
                <w:tcPr>
                  <w:tcW w:w="3781" w:type="pct"/>
                  <w:noWrap w:val="0"/>
                  <w:vAlign w:val="center"/>
                </w:tcPr>
                <w:p w14:paraId="3B3A1420">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eastAsia" w:ascii="宋体" w:hAnsi="宋体" w:eastAsia="宋体" w:cs="宋体"/>
                      <w:color w:val="000000"/>
                      <w:kern w:val="0"/>
                      <w:sz w:val="21"/>
                      <w:szCs w:val="21"/>
                      <w:lang w:val="en-US" w:eastAsia="zh-CN" w:bidi="ar"/>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899" w:type="pct"/>
                  <w:noWrap w:val="0"/>
                  <w:vAlign w:val="center"/>
                </w:tcPr>
                <w:p w14:paraId="633A319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w:t>
                  </w:r>
                  <w:r>
                    <w:rPr>
                      <w:rFonts w:hint="eastAsia" w:ascii="宋体" w:hAnsi="宋体" w:eastAsia="宋体" w:cs="宋体"/>
                      <w:color w:val="000000"/>
                      <w:kern w:val="0"/>
                      <w:sz w:val="21"/>
                      <w:szCs w:val="21"/>
                      <w:lang w:val="en-US" w:eastAsia="zh-CN" w:bidi="ar"/>
                    </w:rPr>
                    <w:t>机场、铁路、公路、水利、航运、围堰等设施</w:t>
                  </w:r>
                </w:p>
              </w:tc>
            </w:tr>
            <w:tr w14:paraId="09E6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17733BA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4</w:t>
                  </w:r>
                </w:p>
              </w:tc>
              <w:tc>
                <w:tcPr>
                  <w:tcW w:w="3781" w:type="pct"/>
                  <w:noWrap w:val="0"/>
                  <w:vAlign w:val="center"/>
                </w:tcPr>
                <w:p w14:paraId="235EB75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禁止违反风景名胜区规划，在风景名胜区内设立各类开发区和在核心景区内建设宾馆、招待所、培训中心、疗养院以及与风景名胜资源保护无关的其他建筑物</w:t>
                  </w:r>
                  <w:r>
                    <w:rPr>
                      <w:rFonts w:hint="eastAsia"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已经建设的应当按照风景名胜区规划，逐步迁出</w:t>
                  </w:r>
                </w:p>
              </w:tc>
              <w:tc>
                <w:tcPr>
                  <w:tcW w:w="899" w:type="pct"/>
                  <w:noWrap w:val="0"/>
                  <w:vAlign w:val="center"/>
                </w:tcPr>
                <w:p w14:paraId="01F0786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不涉及风景名胜区</w:t>
                  </w:r>
                </w:p>
              </w:tc>
            </w:tr>
            <w:tr w14:paraId="55AC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4100E90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5</w:t>
                  </w:r>
                </w:p>
              </w:tc>
              <w:tc>
                <w:tcPr>
                  <w:tcW w:w="3781" w:type="pct"/>
                  <w:noWrap w:val="0"/>
                  <w:vAlign w:val="center"/>
                </w:tcPr>
                <w:p w14:paraId="22B16C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饮用水水源一级保护区内禁止新建、改建、扩建与供水设施和保护水源无关的建设项目，以及网箱养殖、畜禽养殖、旅游等可能污染饮用水水体的投资建设项目</w:t>
                  </w:r>
                  <w:r>
                    <w:rPr>
                      <w:rFonts w:hint="eastAsia"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禁止向水域排放污水，已设置的排污口必须拆除</w:t>
                  </w:r>
                  <w:r>
                    <w:rPr>
                      <w:rFonts w:hint="eastAsia"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不得设置与供水需要无关的码头，禁止停靠船舶</w:t>
                  </w:r>
                  <w:r>
                    <w:rPr>
                      <w:rFonts w:hint="eastAsia"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禁止堆置和存放工业废渣、城市垃圾、粪便和其它废弃物</w:t>
                  </w:r>
                  <w:r>
                    <w:rPr>
                      <w:rFonts w:hint="eastAsia"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禁止设置油库</w:t>
                  </w:r>
                  <w:r>
                    <w:rPr>
                      <w:rFonts w:hint="eastAsia"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禁止使用含磷洗涤用品。</w:t>
                  </w:r>
                </w:p>
              </w:tc>
              <w:tc>
                <w:tcPr>
                  <w:tcW w:w="899" w:type="pct"/>
                  <w:noWrap w:val="0"/>
                  <w:vAlign w:val="center"/>
                </w:tcPr>
                <w:p w14:paraId="489B5E2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不涉及饮用水水源一级保护区</w:t>
                  </w:r>
                </w:p>
              </w:tc>
            </w:tr>
            <w:tr w14:paraId="3146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7741A64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6</w:t>
                  </w:r>
                </w:p>
              </w:tc>
              <w:tc>
                <w:tcPr>
                  <w:tcW w:w="3781" w:type="pct"/>
                  <w:noWrap w:val="0"/>
                  <w:vAlign w:val="center"/>
                </w:tcPr>
                <w:p w14:paraId="4184C51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饮用水水源二级保护区内禁止新建、改建、扩建向水体排放污染物的投资建设项目。原有排污口依法拆除或关闭。禁止设立装卸垃圾、粪便、油类和有毒物品的码头</w:t>
                  </w:r>
                </w:p>
              </w:tc>
              <w:tc>
                <w:tcPr>
                  <w:tcW w:w="899" w:type="pct"/>
                  <w:noWrap w:val="0"/>
                  <w:vAlign w:val="center"/>
                </w:tcPr>
                <w:p w14:paraId="20BF539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不涉及饮用水水源二级保护区</w:t>
                  </w:r>
                </w:p>
              </w:tc>
            </w:tr>
            <w:tr w14:paraId="6300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1BD83A5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7</w:t>
                  </w:r>
                </w:p>
              </w:tc>
              <w:tc>
                <w:tcPr>
                  <w:tcW w:w="3781" w:type="pct"/>
                  <w:noWrap w:val="0"/>
                  <w:vAlign w:val="center"/>
                </w:tcPr>
                <w:p w14:paraId="02BDE44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禁止在水产种质资源保护区的岸线和河段范围内新建排污口、实施非法围垦河道和围湖造田造地等投资建设项</w:t>
                  </w:r>
                </w:p>
              </w:tc>
              <w:tc>
                <w:tcPr>
                  <w:tcW w:w="899" w:type="pct"/>
                  <w:noWrap w:val="0"/>
                  <w:vAlign w:val="center"/>
                </w:tcPr>
                <w:p w14:paraId="671F777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w:t>
                  </w:r>
                  <w:r>
                    <w:rPr>
                      <w:rFonts w:hint="default" w:ascii="Times New Roman" w:hAnsi="Times New Roman" w:eastAsia="宋体" w:cs="Times New Roman"/>
                      <w:kern w:val="0"/>
                      <w:sz w:val="21"/>
                      <w:szCs w:val="21"/>
                      <w:vertAlign w:val="baseline"/>
                      <w:lang w:val="en-US" w:eastAsia="zh-CN"/>
                    </w:rPr>
                    <w:t>水产种质资源</w:t>
                  </w:r>
                  <w:r>
                    <w:rPr>
                      <w:rFonts w:hint="eastAsia" w:ascii="Times New Roman" w:hAnsi="Times New Roman" w:eastAsia="宋体" w:cs="Times New Roman"/>
                      <w:kern w:val="0"/>
                      <w:sz w:val="21"/>
                      <w:szCs w:val="21"/>
                      <w:vertAlign w:val="baseline"/>
                      <w:lang w:val="en-US" w:eastAsia="zh-CN"/>
                    </w:rPr>
                    <w:t>保护区</w:t>
                  </w:r>
                </w:p>
              </w:tc>
            </w:tr>
            <w:tr w14:paraId="47FB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178D81A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8</w:t>
                  </w:r>
                </w:p>
              </w:tc>
              <w:tc>
                <w:tcPr>
                  <w:tcW w:w="3781" w:type="pct"/>
                  <w:noWrap w:val="0"/>
                  <w:vAlign w:val="center"/>
                </w:tcPr>
                <w:p w14:paraId="657CD96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除《中华人民共和国防洪法》规定的紧急防汛期采取的紧急措施外，禁止在国家湿地公园的岸线和河段范围内空沙、采矿，以及以下不符合主体功能定位的行为和活动</w:t>
                  </w:r>
                  <w:r>
                    <w:rPr>
                      <w:rFonts w:hint="eastAsia"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(一)开(围)垦、填埋或者排干湿地</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(二)截断湿地水源</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(三) 倾倒有毒有害物质、废弃物、垃圾</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(四)从事房地产、度假村、高尔夫球场、风力发电、光伏发电等任何不符合主体功能定位的建设项目和开发活动</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(五)破坏野生动物栖息地和迁徙通道、鱼类游通道滥采滥捕野生动植物</w:t>
                  </w:r>
                  <w:r>
                    <w:rPr>
                      <w:rFonts w:hint="eastAsia" w:ascii="Times New Roman" w:hAnsi="Times New Roman" w:eastAsia="宋体" w:cs="Times New Roman"/>
                      <w:kern w:val="0"/>
                      <w:sz w:val="21"/>
                      <w:szCs w:val="21"/>
                      <w:vertAlign w:val="baseline"/>
                      <w:lang w:val="en-US" w:eastAsia="zh-CN"/>
                    </w:rPr>
                    <w:t>；</w:t>
                  </w:r>
                </w:p>
                <w:p w14:paraId="1BC4D13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(六)引入外来物种</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(七) 擅自放牧、捕捞、取土、取水、排污、放生</w:t>
                  </w:r>
                  <w:r>
                    <w:rPr>
                      <w:rFonts w:hint="eastAsia" w:ascii="Times New Roman" w:hAnsi="Times New Roman" w:eastAsia="宋体"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(八) 其他破坏湿地及其生态功能的活动</w:t>
                  </w:r>
                </w:p>
              </w:tc>
              <w:tc>
                <w:tcPr>
                  <w:tcW w:w="899" w:type="pct"/>
                  <w:noWrap w:val="0"/>
                  <w:vAlign w:val="center"/>
                </w:tcPr>
                <w:p w14:paraId="60CE8A9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不涉及国家湿地公园</w:t>
                  </w:r>
                </w:p>
              </w:tc>
            </w:tr>
            <w:tr w14:paraId="2B5F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13D2722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9</w:t>
                  </w:r>
                </w:p>
              </w:tc>
              <w:tc>
                <w:tcPr>
                  <w:tcW w:w="3781" w:type="pct"/>
                  <w:noWrap w:val="0"/>
                  <w:vAlign w:val="center"/>
                </w:tcPr>
                <w:p w14:paraId="40E209C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899" w:type="pct"/>
                  <w:noWrap w:val="0"/>
                  <w:vAlign w:val="center"/>
                </w:tcPr>
                <w:p w14:paraId="01A4FEB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不涉及河湖岸线</w:t>
                  </w:r>
                </w:p>
              </w:tc>
            </w:tr>
            <w:tr w14:paraId="7796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2F52EA3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10</w:t>
                  </w:r>
                </w:p>
              </w:tc>
              <w:tc>
                <w:tcPr>
                  <w:tcW w:w="3781" w:type="pct"/>
                  <w:noWrap w:val="0"/>
                  <w:vAlign w:val="center"/>
                </w:tcPr>
                <w:p w14:paraId="51DE6D1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禁止在《全国重要江河湖泊水功能区划》划定的河段及湖泊保护区、保留区内投资建设不利于水资源及自然生态保护的项目</w:t>
                  </w:r>
                </w:p>
              </w:tc>
              <w:tc>
                <w:tcPr>
                  <w:tcW w:w="899" w:type="pct"/>
                  <w:noWrap w:val="0"/>
                  <w:vAlign w:val="center"/>
                </w:tcPr>
                <w:p w14:paraId="0D32F70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不涉及左侧区域</w:t>
                  </w:r>
                </w:p>
              </w:tc>
            </w:tr>
            <w:tr w14:paraId="0C9D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3559AAD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11</w:t>
                  </w:r>
                </w:p>
              </w:tc>
              <w:tc>
                <w:tcPr>
                  <w:tcW w:w="3781" w:type="pct"/>
                  <w:noWrap w:val="0"/>
                  <w:vAlign w:val="center"/>
                </w:tcPr>
                <w:p w14:paraId="6C1445F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禁止未经许可在长江干支流及湖泊新设、改设或扩大排污口。</w:t>
                  </w:r>
                </w:p>
              </w:tc>
              <w:tc>
                <w:tcPr>
                  <w:tcW w:w="899" w:type="pct"/>
                  <w:noWrap w:val="0"/>
                  <w:vAlign w:val="center"/>
                </w:tcPr>
                <w:p w14:paraId="5CC8E7E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本项目无排污口</w:t>
                  </w:r>
                </w:p>
              </w:tc>
            </w:tr>
            <w:tr w14:paraId="4908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1ABAC3B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12</w:t>
                  </w:r>
                </w:p>
              </w:tc>
              <w:tc>
                <w:tcPr>
                  <w:tcW w:w="3781" w:type="pct"/>
                  <w:noWrap w:val="0"/>
                  <w:vAlign w:val="center"/>
                </w:tcPr>
                <w:p w14:paraId="3762248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禁止在洞庭湖、湘江、资江、沅江、遭水干流和45个水生生物保护区开展生产性捕捞。在相关自然保护区域和禁猎(渔)区、禁猎(渔) 期内，禁止猎捕以及其他妨碍野生动物生息繁衍的活动，但法律法规另有规定的除外。</w:t>
                  </w:r>
                </w:p>
              </w:tc>
              <w:tc>
                <w:tcPr>
                  <w:tcW w:w="899" w:type="pct"/>
                  <w:noWrap w:val="0"/>
                  <w:vAlign w:val="center"/>
                </w:tcPr>
                <w:p w14:paraId="4DDD804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不涉及捕捞</w:t>
                  </w:r>
                </w:p>
              </w:tc>
            </w:tr>
            <w:tr w14:paraId="51F9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24679B2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13</w:t>
                  </w:r>
                </w:p>
              </w:tc>
              <w:tc>
                <w:tcPr>
                  <w:tcW w:w="3781" w:type="pct"/>
                  <w:noWrap w:val="0"/>
                  <w:vAlign w:val="center"/>
                </w:tcPr>
                <w:p w14:paraId="44042F6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禁止在长江湖南段和洞庭湖、湘江、资江、沅江、漕水干流岸线一公里范围内新建、扩建化工园区和化工项目。禁止在长江湖南段岸线三公里范围内和湘江、资江、沅江</w:t>
                  </w:r>
                  <w:r>
                    <w:rPr>
                      <w:rFonts w:hint="eastAsia" w:ascii="Times New Roman" w:hAnsi="Times New Roman" w:eastAsia="宋体" w:cs="Times New Roman"/>
                      <w:kern w:val="0"/>
                      <w:sz w:val="21"/>
                      <w:szCs w:val="21"/>
                      <w:vertAlign w:val="baseline"/>
                      <w:lang w:val="en-US" w:eastAsia="zh-CN"/>
                    </w:rPr>
                    <w:t>、澧水</w:t>
                  </w:r>
                  <w:r>
                    <w:rPr>
                      <w:rFonts w:hint="default" w:ascii="Times New Roman" w:hAnsi="Times New Roman" w:eastAsia="宋体" w:cs="Times New Roman"/>
                      <w:kern w:val="0"/>
                      <w:sz w:val="21"/>
                      <w:szCs w:val="21"/>
                      <w:vertAlign w:val="baseline"/>
                      <w:lang w:val="en-US" w:eastAsia="zh-CN"/>
                    </w:rPr>
                    <w:t>岸线一公里范围内新建、改建、扩建尾矿库、冶炼渣库和磷石膏库，以提升安全、生态环境保护水平为目的的改建除外。</w:t>
                  </w:r>
                </w:p>
              </w:tc>
              <w:tc>
                <w:tcPr>
                  <w:tcW w:w="899" w:type="pct"/>
                  <w:noWrap w:val="0"/>
                  <w:vAlign w:val="center"/>
                </w:tcPr>
                <w:p w14:paraId="2A547707">
                  <w:pPr>
                    <w:keepNext w:val="0"/>
                    <w:keepLines w:val="0"/>
                    <w:pageBreakBefore w:val="0"/>
                    <w:widowControl w:val="0"/>
                    <w:numPr>
                      <w:ilvl w:val="0"/>
                      <w:numId w:val="0"/>
                    </w:numPr>
                    <w:suppressLineNumbers w:val="0"/>
                    <w:tabs>
                      <w:tab w:val="left" w:pos="288"/>
                    </w:tabs>
                    <w:kinsoku/>
                    <w:wordWrap/>
                    <w:overflowPunct/>
                    <w:topLinePunct w:val="0"/>
                    <w:autoSpaceDE w:val="0"/>
                    <w:autoSpaceDN w:val="0"/>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不属于</w:t>
                  </w:r>
                  <w:r>
                    <w:rPr>
                      <w:rFonts w:hint="default" w:ascii="Times New Roman" w:hAnsi="Times New Roman" w:eastAsia="宋体" w:cs="Times New Roman"/>
                      <w:kern w:val="0"/>
                      <w:sz w:val="21"/>
                      <w:szCs w:val="21"/>
                      <w:vertAlign w:val="baseline"/>
                      <w:lang w:val="en-US" w:eastAsia="zh-CN"/>
                    </w:rPr>
                    <w:t>尾矿库、冶炼渣库和磷石膏库</w:t>
                  </w:r>
                </w:p>
              </w:tc>
            </w:tr>
            <w:tr w14:paraId="73FE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3909E8C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14</w:t>
                  </w:r>
                </w:p>
              </w:tc>
              <w:tc>
                <w:tcPr>
                  <w:tcW w:w="3781" w:type="pct"/>
                  <w:noWrap w:val="0"/>
                  <w:vAlign w:val="center"/>
                </w:tcPr>
                <w:p w14:paraId="0E47A57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禁止在合规园区外新建、扩建钢铁、石化、化工、焦化、建材、有色、制浆造纸等高污染项目。高污染项目严格按照生态环境部《环境保护综合名录(2021 年版)》有关要求执行。</w:t>
                  </w:r>
                </w:p>
              </w:tc>
              <w:tc>
                <w:tcPr>
                  <w:tcW w:w="899" w:type="pct"/>
                  <w:noWrap w:val="0"/>
                  <w:vAlign w:val="center"/>
                </w:tcPr>
                <w:p w14:paraId="0CDA00E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不属于高污染项目</w:t>
                  </w:r>
                </w:p>
              </w:tc>
            </w:tr>
            <w:tr w14:paraId="45D9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3C0217C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15</w:t>
                  </w:r>
                </w:p>
              </w:tc>
              <w:tc>
                <w:tcPr>
                  <w:tcW w:w="3781" w:type="pct"/>
                  <w:noWrap w:val="0"/>
                  <w:vAlign w:val="center"/>
                </w:tcPr>
                <w:p w14:paraId="272D3A0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禁止新建、扩建不符合国家石化、现代煤化工等产业布局规划的项目。未通过认定的化工园区，不得新建、改扩建化工项目 (安全、环保、节能和智能化改造项目除外 )</w:t>
                  </w:r>
                </w:p>
              </w:tc>
              <w:tc>
                <w:tcPr>
                  <w:tcW w:w="899" w:type="pct"/>
                  <w:noWrap w:val="0"/>
                  <w:vAlign w:val="center"/>
                </w:tcPr>
                <w:p w14:paraId="38F473D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不涉及</w:t>
                  </w:r>
                  <w:r>
                    <w:rPr>
                      <w:rFonts w:hint="default" w:ascii="Times New Roman" w:hAnsi="Times New Roman" w:eastAsia="宋体" w:cs="Times New Roman"/>
                      <w:kern w:val="0"/>
                      <w:sz w:val="21"/>
                      <w:szCs w:val="21"/>
                      <w:vertAlign w:val="baseline"/>
                      <w:lang w:val="en-US" w:eastAsia="zh-CN"/>
                    </w:rPr>
                    <w:t>石化、现代煤化工等</w:t>
                  </w:r>
                </w:p>
              </w:tc>
            </w:tr>
            <w:tr w14:paraId="6707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9" w:type="pct"/>
                  <w:noWrap w:val="0"/>
                  <w:vAlign w:val="center"/>
                </w:tcPr>
                <w:p w14:paraId="04F7433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16</w:t>
                  </w:r>
                </w:p>
              </w:tc>
              <w:tc>
                <w:tcPr>
                  <w:tcW w:w="3781" w:type="pct"/>
                  <w:noWrap w:val="0"/>
                  <w:vAlign w:val="center"/>
                </w:tcPr>
                <w:p w14:paraId="5C409BD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禁止新建、扩建法律法规和相关政策明令禁止的落后产能项目</w:t>
                  </w:r>
                  <w:r>
                    <w:rPr>
                      <w:rFonts w:hint="eastAsia" w:cs="Times New Roman"/>
                      <w:kern w:val="0"/>
                      <w:sz w:val="21"/>
                      <w:szCs w:val="21"/>
                      <w:vertAlign w:val="baseline"/>
                      <w:lang w:val="en-US" w:eastAsia="zh-CN"/>
                    </w:rPr>
                    <w:t>：</w:t>
                  </w:r>
                  <w:r>
                    <w:rPr>
                      <w:rFonts w:hint="default" w:ascii="Times New Roman" w:hAnsi="Times New Roman" w:eastAsia="宋体" w:cs="Times New Roman"/>
                      <w:kern w:val="0"/>
                      <w:sz w:val="21"/>
                      <w:szCs w:val="21"/>
                      <w:vertAlign w:val="baseline"/>
                      <w:lang w:val="en-US" w:eastAsia="zh-CN"/>
                    </w:rPr>
                    <w:t>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899" w:type="pct"/>
                  <w:noWrap w:val="0"/>
                  <w:vAlign w:val="center"/>
                </w:tcPr>
                <w:p w14:paraId="13F8F8F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符合国家产业政策，不属于高耗能及高排放项目</w:t>
                  </w:r>
                </w:p>
              </w:tc>
            </w:tr>
          </w:tbl>
          <w:p w14:paraId="08F05792">
            <w:pPr>
              <w:keepNext w:val="0"/>
              <w:keepLines w:val="0"/>
              <w:widowControl w:val="0"/>
              <w:suppressLineNumbers w:val="0"/>
              <w:spacing w:before="157" w:beforeLines="5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 xml:space="preserve">综上分析，项目与《湖南省长江经济带发展负面清单实施细则(试行，2022年版)》相符。 </w:t>
            </w:r>
          </w:p>
          <w:p w14:paraId="3B74A2BC">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val="0"/>
                <w:bCs w:val="0"/>
                <w:color w:val="auto"/>
                <w:sz w:val="24"/>
                <w:u w:val="none"/>
              </w:rPr>
            </w:pPr>
            <w:r>
              <w:rPr>
                <w:rFonts w:hint="eastAsia" w:hAnsi="宋体" w:cs="Times New Roman"/>
                <w:b/>
                <w:bCs/>
                <w:color w:val="auto"/>
                <w:kern w:val="2"/>
                <w:sz w:val="24"/>
                <w:szCs w:val="24"/>
                <w:u w:val="none"/>
                <w:lang w:val="en-US" w:eastAsia="zh-CN" w:bidi="ar-SA"/>
              </w:rPr>
              <w:t>5</w:t>
            </w:r>
            <w:r>
              <w:rPr>
                <w:rFonts w:hint="eastAsia" w:ascii="Times New Roman" w:hAnsi="宋体" w:eastAsia="宋体" w:cs="Times New Roman"/>
                <w:b/>
                <w:bCs/>
                <w:color w:val="auto"/>
                <w:kern w:val="2"/>
                <w:sz w:val="24"/>
                <w:szCs w:val="24"/>
                <w:u w:val="none"/>
                <w:lang w:val="en-US" w:eastAsia="zh-CN" w:bidi="ar-SA"/>
              </w:rPr>
              <w:t>、与《湖南省湘江保护条例》</w:t>
            </w:r>
            <w:r>
              <w:rPr>
                <w:rFonts w:hint="default" w:ascii="Times New Roman" w:hAnsi="Times New Roman" w:cs="Times New Roman"/>
                <w:b/>
                <w:bCs/>
                <w:color w:val="auto"/>
                <w:kern w:val="2"/>
                <w:sz w:val="24"/>
                <w:szCs w:val="24"/>
                <w:u w:val="none"/>
                <w:lang w:val="en-US" w:eastAsia="zh-CN" w:bidi="ar-SA"/>
              </w:rPr>
              <w:t>（2023年修订）</w:t>
            </w:r>
            <w:r>
              <w:rPr>
                <w:rFonts w:hint="default" w:ascii="Times New Roman" w:hAnsi="Times New Roman" w:eastAsia="宋体" w:cs="Times New Roman"/>
                <w:b/>
                <w:bCs/>
                <w:color w:val="auto"/>
                <w:kern w:val="2"/>
                <w:sz w:val="24"/>
                <w:szCs w:val="24"/>
                <w:u w:val="none"/>
                <w:lang w:val="en-US" w:eastAsia="zh-CN" w:bidi="ar-SA"/>
              </w:rPr>
              <w:t>相符性分析</w:t>
            </w:r>
          </w:p>
          <w:p w14:paraId="562C3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000000"/>
                <w:kern w:val="0"/>
                <w:sz w:val="24"/>
                <w:szCs w:val="24"/>
                <w:u w:val="none"/>
                <w:lang w:val="en-US" w:eastAsia="zh-CN" w:bidi="ar"/>
              </w:rPr>
            </w:pPr>
            <w:r>
              <w:rPr>
                <w:rFonts w:hint="default" w:ascii="Times New Roman" w:hAnsi="Times New Roman" w:eastAsia="宋体" w:cs="Times New Roman"/>
                <w:b w:val="0"/>
                <w:bCs w:val="0"/>
                <w:color w:val="000000"/>
                <w:kern w:val="0"/>
                <w:sz w:val="24"/>
                <w:szCs w:val="24"/>
                <w:u w:val="none"/>
                <w:lang w:val="en-US" w:eastAsia="zh-CN" w:bidi="ar"/>
              </w:rPr>
              <w:t>本项目与《湖南省湘江保护条例》</w:t>
            </w:r>
            <w:r>
              <w:rPr>
                <w:rFonts w:hint="default" w:ascii="Times New Roman" w:hAnsi="Times New Roman" w:cs="Times New Roman"/>
                <w:b w:val="0"/>
                <w:bCs w:val="0"/>
                <w:color w:val="000000"/>
                <w:kern w:val="0"/>
                <w:sz w:val="24"/>
                <w:szCs w:val="24"/>
                <w:u w:val="none"/>
                <w:lang w:val="en-US" w:eastAsia="zh-CN" w:bidi="ar"/>
              </w:rPr>
              <w:t>(</w:t>
            </w:r>
            <w:r>
              <w:rPr>
                <w:rFonts w:hint="default" w:ascii="Times New Roman" w:hAnsi="Times New Roman" w:eastAsia="宋体" w:cs="Times New Roman"/>
                <w:b w:val="0"/>
                <w:bCs w:val="0"/>
                <w:color w:val="000000"/>
                <w:kern w:val="0"/>
                <w:sz w:val="24"/>
                <w:szCs w:val="24"/>
                <w:u w:val="none"/>
                <w:lang w:val="en-US" w:eastAsia="zh-CN" w:bidi="ar"/>
              </w:rPr>
              <w:t>2023年修订</w:t>
            </w:r>
            <w:r>
              <w:rPr>
                <w:rFonts w:hint="default" w:ascii="Times New Roman" w:hAnsi="Times New Roman" w:cs="Times New Roman"/>
                <w:b w:val="0"/>
                <w:bCs w:val="0"/>
                <w:color w:val="000000"/>
                <w:kern w:val="0"/>
                <w:sz w:val="24"/>
                <w:szCs w:val="24"/>
                <w:u w:val="none"/>
                <w:lang w:val="en-US" w:eastAsia="zh-CN" w:bidi="ar"/>
              </w:rPr>
              <w:t>)</w:t>
            </w:r>
            <w:r>
              <w:rPr>
                <w:rFonts w:hint="default" w:ascii="Times New Roman" w:hAnsi="Times New Roman" w:eastAsia="宋体" w:cs="Times New Roman"/>
                <w:b w:val="0"/>
                <w:bCs w:val="0"/>
                <w:color w:val="000000"/>
                <w:kern w:val="0"/>
                <w:sz w:val="24"/>
                <w:szCs w:val="24"/>
                <w:u w:val="none"/>
                <w:lang w:val="en-US" w:eastAsia="zh-CN" w:bidi="ar"/>
              </w:rPr>
              <w:t>相关条款相符性分析如下：</w:t>
            </w:r>
          </w:p>
          <w:p w14:paraId="50B2E13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u w:val="none"/>
              </w:rPr>
            </w:pPr>
            <w:r>
              <w:rPr>
                <w:rFonts w:hint="default" w:ascii="Times New Roman" w:hAnsi="Times New Roman" w:eastAsia="宋体" w:cs="Times New Roman"/>
                <w:b/>
                <w:bCs/>
                <w:color w:val="000000"/>
                <w:kern w:val="0"/>
                <w:sz w:val="21"/>
                <w:szCs w:val="21"/>
                <w:u w:val="none"/>
                <w:lang w:val="en-US" w:eastAsia="zh-CN" w:bidi="ar"/>
              </w:rPr>
              <w:t>表1-</w:t>
            </w:r>
            <w:r>
              <w:rPr>
                <w:rFonts w:hint="eastAsia" w:cs="Times New Roman"/>
                <w:b/>
                <w:bCs/>
                <w:color w:val="000000"/>
                <w:kern w:val="0"/>
                <w:sz w:val="21"/>
                <w:szCs w:val="21"/>
                <w:u w:val="none"/>
                <w:lang w:val="en-US" w:eastAsia="zh-CN" w:bidi="ar"/>
              </w:rPr>
              <w:t>3</w:t>
            </w:r>
            <w:r>
              <w:rPr>
                <w:rFonts w:hint="default" w:ascii="Times New Roman" w:hAnsi="Times New Roman" w:eastAsia="宋体" w:cs="Times New Roman"/>
                <w:b/>
                <w:bCs/>
                <w:color w:val="000000"/>
                <w:kern w:val="0"/>
                <w:sz w:val="21"/>
                <w:szCs w:val="21"/>
                <w:u w:val="none"/>
                <w:lang w:val="en-US" w:eastAsia="zh-CN" w:bidi="ar"/>
              </w:rPr>
              <w:t xml:space="preserve"> 项目与《湖南省湘江保护条例》（2023年修订）相</w:t>
            </w:r>
            <w:r>
              <w:rPr>
                <w:rFonts w:hint="eastAsia" w:ascii="宋体" w:hAnsi="宋体" w:eastAsia="宋体" w:cs="宋体"/>
                <w:b/>
                <w:bCs/>
                <w:color w:val="000000"/>
                <w:kern w:val="0"/>
                <w:sz w:val="21"/>
                <w:szCs w:val="21"/>
                <w:u w:val="none"/>
                <w:lang w:val="en-US" w:eastAsia="zh-CN" w:bidi="ar"/>
              </w:rPr>
              <w:t>符性分析</w:t>
            </w:r>
          </w:p>
          <w:tbl>
            <w:tblPr>
              <w:tblStyle w:val="2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589"/>
              <w:gridCol w:w="5631"/>
              <w:gridCol w:w="1764"/>
            </w:tblGrid>
            <w:tr w14:paraId="1A6E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369" w:type="pct"/>
                  <w:noWrap w:val="0"/>
                  <w:vAlign w:val="center"/>
                </w:tcPr>
                <w:p w14:paraId="4A7254F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u w:val="none"/>
                      <w:vertAlign w:val="baseline"/>
                      <w:lang w:val="en-US" w:eastAsia="zh-CN"/>
                    </w:rPr>
                  </w:pPr>
                  <w:r>
                    <w:rPr>
                      <w:rFonts w:hint="eastAsia" w:ascii="Times New Roman" w:hAnsi="Times New Roman" w:eastAsia="宋体" w:cs="Times New Roman"/>
                      <w:b/>
                      <w:bCs/>
                      <w:kern w:val="0"/>
                      <w:sz w:val="21"/>
                      <w:szCs w:val="21"/>
                      <w:u w:val="none"/>
                      <w:vertAlign w:val="baseline"/>
                      <w:lang w:val="en-US" w:eastAsia="zh-CN"/>
                    </w:rPr>
                    <w:t>序号</w:t>
                  </w:r>
                </w:p>
              </w:tc>
              <w:tc>
                <w:tcPr>
                  <w:tcW w:w="3525" w:type="pct"/>
                  <w:noWrap w:val="0"/>
                  <w:vAlign w:val="center"/>
                </w:tcPr>
                <w:p w14:paraId="6808862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u w:val="none"/>
                      <w:vertAlign w:val="baseline"/>
                      <w:lang w:val="en-US" w:eastAsia="zh-CN"/>
                    </w:rPr>
                  </w:pPr>
                  <w:r>
                    <w:rPr>
                      <w:rFonts w:hint="eastAsia" w:ascii="Times New Roman" w:hAnsi="Times New Roman" w:eastAsia="宋体" w:cs="Times New Roman"/>
                      <w:b/>
                      <w:bCs/>
                      <w:kern w:val="0"/>
                      <w:sz w:val="21"/>
                      <w:szCs w:val="21"/>
                      <w:u w:val="none"/>
                      <w:vertAlign w:val="baseline"/>
                      <w:lang w:val="en-US" w:eastAsia="zh-CN"/>
                    </w:rPr>
                    <w:t>内容</w:t>
                  </w:r>
                </w:p>
              </w:tc>
              <w:tc>
                <w:tcPr>
                  <w:tcW w:w="1104" w:type="pct"/>
                  <w:noWrap w:val="0"/>
                  <w:vAlign w:val="center"/>
                </w:tcPr>
                <w:p w14:paraId="20ECE82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u w:val="none"/>
                      <w:vertAlign w:val="baseline"/>
                      <w:lang w:val="en-US" w:eastAsia="zh-CN"/>
                    </w:rPr>
                  </w:pPr>
                  <w:r>
                    <w:rPr>
                      <w:rFonts w:hint="eastAsia" w:ascii="Times New Roman" w:hAnsi="Times New Roman" w:eastAsia="宋体" w:cs="Times New Roman"/>
                      <w:b/>
                      <w:bCs/>
                      <w:kern w:val="0"/>
                      <w:sz w:val="21"/>
                      <w:szCs w:val="21"/>
                      <w:u w:val="none"/>
                      <w:vertAlign w:val="baseline"/>
                      <w:lang w:val="en-US" w:eastAsia="zh-CN"/>
                    </w:rPr>
                    <w:t>相符性</w:t>
                  </w:r>
                </w:p>
              </w:tc>
            </w:tr>
            <w:tr w14:paraId="03C9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369" w:type="pct"/>
                  <w:noWrap w:val="0"/>
                  <w:vAlign w:val="center"/>
                </w:tcPr>
                <w:p w14:paraId="035B022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1</w:t>
                  </w:r>
                </w:p>
              </w:tc>
              <w:tc>
                <w:tcPr>
                  <w:tcW w:w="3525" w:type="pct"/>
                  <w:noWrap w:val="0"/>
                  <w:vAlign w:val="center"/>
                </w:tcPr>
                <w:p w14:paraId="0811796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第二十五条 禁止在湘江流域饮用水水源一级保护区内设置排污口（渠），禁止新建、改建、扩建与供水设施和保护水源无关的建设项目；已经设置排污口（渠）、建成与供水设施和保护水源无关的建设项目，县级以上人民政府应当在省人民政府规定期限内组织拆除或者关闭。禁止在湘江流域饮用水水源一级保护区内从事网箱养殖、旅游、游泳、垂钓或者其他可能污染饮用水水体的活动。</w:t>
                  </w:r>
                </w:p>
              </w:tc>
              <w:tc>
                <w:tcPr>
                  <w:tcW w:w="1104" w:type="pct"/>
                  <w:noWrap w:val="0"/>
                  <w:vAlign w:val="center"/>
                </w:tcPr>
                <w:p w14:paraId="61162F1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w:t>
                  </w:r>
                </w:p>
              </w:tc>
            </w:tr>
            <w:tr w14:paraId="062E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369" w:type="pct"/>
                  <w:noWrap w:val="0"/>
                  <w:vAlign w:val="center"/>
                </w:tcPr>
                <w:p w14:paraId="6D7355E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2</w:t>
                  </w:r>
                </w:p>
              </w:tc>
              <w:tc>
                <w:tcPr>
                  <w:tcW w:w="3525" w:type="pct"/>
                  <w:noWrap w:val="0"/>
                  <w:vAlign w:val="center"/>
                </w:tcPr>
                <w:p w14:paraId="4EA4981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第二十六条 禁止在湘江流域饮用水水源二级保护区内设置排污口（渠），禁止新建、改建、扩建排放污染物的建设项目；已经设置排污口（渠）、建成排放污染物的建设项目，县级以上人民政府应当在省人民政府规定期限内组织拆除或者关闭。</w:t>
                  </w:r>
                </w:p>
              </w:tc>
              <w:tc>
                <w:tcPr>
                  <w:tcW w:w="1104" w:type="pct"/>
                  <w:noWrap w:val="0"/>
                  <w:vAlign w:val="center"/>
                </w:tcPr>
                <w:p w14:paraId="4FB316A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不涉及</w:t>
                  </w:r>
                </w:p>
              </w:tc>
            </w:tr>
            <w:tr w14:paraId="6D16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369" w:type="pct"/>
                  <w:noWrap w:val="0"/>
                  <w:vAlign w:val="center"/>
                </w:tcPr>
                <w:p w14:paraId="0B08C61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3</w:t>
                  </w:r>
                </w:p>
              </w:tc>
              <w:tc>
                <w:tcPr>
                  <w:tcW w:w="3525" w:type="pct"/>
                  <w:noWrap w:val="0"/>
                  <w:vAlign w:val="center"/>
                </w:tcPr>
                <w:p w14:paraId="18D32C3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第三十三条 禁止向水体排放、倾倒工业废渣、城镇垃圾和其他废弃物。禁止将含有汞、镉、砷、铬、铅、氰化物、黄磷等的可溶性剧毒废渣向水体排放、倾倒。</w:t>
                  </w:r>
                </w:p>
              </w:tc>
              <w:tc>
                <w:tcPr>
                  <w:tcW w:w="1104" w:type="pct"/>
                  <w:noWrap w:val="0"/>
                  <w:vAlign w:val="center"/>
                </w:tcPr>
                <w:p w14:paraId="280C00D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本项目固废均委托处置，不排放</w:t>
                  </w:r>
                </w:p>
              </w:tc>
            </w:tr>
            <w:tr w14:paraId="0CC9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369" w:type="pct"/>
                  <w:noWrap w:val="0"/>
                  <w:vAlign w:val="center"/>
                </w:tcPr>
                <w:p w14:paraId="13CD86A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vertAlign w:val="baseline"/>
                      <w:lang w:val="en-US" w:eastAsia="zh-CN"/>
                    </w:rPr>
                  </w:pPr>
                  <w:r>
                    <w:rPr>
                      <w:rFonts w:hint="eastAsia" w:ascii="Times New Roman" w:hAnsi="Times New Roman" w:eastAsia="宋体" w:cs="Times New Roman"/>
                      <w:kern w:val="0"/>
                      <w:sz w:val="21"/>
                      <w:szCs w:val="21"/>
                      <w:u w:val="none"/>
                      <w:vertAlign w:val="baseline"/>
                      <w:lang w:val="en-US" w:eastAsia="zh-CN"/>
                    </w:rPr>
                    <w:t>4</w:t>
                  </w:r>
                </w:p>
              </w:tc>
              <w:tc>
                <w:tcPr>
                  <w:tcW w:w="3525" w:type="pct"/>
                  <w:noWrap w:val="0"/>
                  <w:vAlign w:val="center"/>
                </w:tcPr>
                <w:p w14:paraId="303D1CE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第四十九条 省人民政府应当组织发展和改革、工业和信息化、生态环境、有色金属工业等部门，编制湘江流域产业发展规划。</w:t>
                  </w:r>
                </w:p>
                <w:p w14:paraId="31028EE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禁止在湘江干流岸线一公里范围内新建、扩建化工园区和化工项目。</w:t>
                  </w:r>
                </w:p>
                <w:p w14:paraId="6B39E7D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u w:val="none"/>
                      <w:vertAlign w:val="baseline"/>
                      <w:lang w:val="en-US" w:eastAsia="zh-CN"/>
                    </w:rPr>
                  </w:pPr>
                  <w:r>
                    <w:rPr>
                      <w:rFonts w:hint="default" w:ascii="Times New Roman" w:hAnsi="Times New Roman" w:eastAsia="宋体" w:cs="Times New Roman"/>
                      <w:kern w:val="0"/>
                      <w:sz w:val="21"/>
                      <w:szCs w:val="21"/>
                      <w:u w:val="none"/>
                      <w:vertAlign w:val="baseline"/>
                      <w:lang w:val="en-US" w:eastAsia="zh-CN"/>
                    </w:rPr>
                    <w:t>禁止在湘江干流岸线一公里范围内新建、改建、扩建尾矿库；但是以提升安全、生态环境保护水平为目的的改建除外。</w:t>
                  </w:r>
                </w:p>
                <w:p w14:paraId="78885C2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eastAsia="宋体" w:cs="Times New Roman"/>
                      <w:kern w:val="0"/>
                      <w:sz w:val="21"/>
                      <w:szCs w:val="21"/>
                      <w:u w:val="none"/>
                      <w:vertAlign w:val="baseline"/>
                      <w:lang w:val="en-US" w:eastAsia="zh-CN" w:bidi="ar-SA"/>
                    </w:rPr>
                  </w:pPr>
                  <w:r>
                    <w:rPr>
                      <w:rFonts w:hint="default" w:ascii="Times New Roman" w:hAnsi="Times New Roman" w:eastAsia="宋体" w:cs="Times New Roman"/>
                      <w:kern w:val="0"/>
                      <w:sz w:val="21"/>
                      <w:szCs w:val="21"/>
                      <w:u w:val="none"/>
                      <w:vertAlign w:val="baseline"/>
                      <w:lang w:val="en-US" w:eastAsia="zh-CN"/>
                    </w:rPr>
                    <w:t>湘江流域县级以上人民政府应当严格执行湘江流域产业发展规划，逐步淘汰不符合规划的产业项目。</w:t>
                  </w:r>
                </w:p>
              </w:tc>
              <w:tc>
                <w:tcPr>
                  <w:tcW w:w="1104" w:type="pct"/>
                  <w:noWrap w:val="0"/>
                  <w:vAlign w:val="center"/>
                </w:tcPr>
                <w:p w14:paraId="67F20E0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eastAsia="宋体" w:cs="Times New Roman"/>
                      <w:kern w:val="0"/>
                      <w:sz w:val="21"/>
                      <w:szCs w:val="21"/>
                      <w:u w:val="none"/>
                      <w:vertAlign w:val="baseline"/>
                      <w:lang w:val="en-US" w:eastAsia="zh-CN" w:bidi="ar-SA"/>
                    </w:rPr>
                  </w:pPr>
                  <w:r>
                    <w:rPr>
                      <w:rFonts w:hint="eastAsia" w:ascii="Times New Roman" w:hAnsi="Times New Roman" w:eastAsia="宋体" w:cs="Times New Roman"/>
                      <w:kern w:val="0"/>
                      <w:sz w:val="21"/>
                      <w:szCs w:val="21"/>
                      <w:u w:val="none"/>
                      <w:vertAlign w:val="baseline"/>
                      <w:lang w:val="en-US" w:eastAsia="zh-CN"/>
                    </w:rPr>
                    <w:t>本项目与湘江干流距离约</w:t>
                  </w:r>
                  <w:r>
                    <w:rPr>
                      <w:rFonts w:hint="eastAsia" w:cs="Times New Roman"/>
                      <w:kern w:val="0"/>
                      <w:sz w:val="21"/>
                      <w:szCs w:val="21"/>
                      <w:u w:val="none"/>
                      <w:vertAlign w:val="baseline"/>
                      <w:lang w:val="en-US" w:eastAsia="zh-CN"/>
                    </w:rPr>
                    <w:t>48</w:t>
                  </w:r>
                  <w:r>
                    <w:rPr>
                      <w:rFonts w:hint="eastAsia" w:ascii="Times New Roman" w:hAnsi="Times New Roman" w:eastAsia="宋体" w:cs="Times New Roman"/>
                      <w:kern w:val="0"/>
                      <w:sz w:val="21"/>
                      <w:szCs w:val="21"/>
                      <w:u w:val="none"/>
                      <w:vertAlign w:val="baseline"/>
                      <w:lang w:val="en-US" w:eastAsia="zh-CN"/>
                    </w:rPr>
                    <w:t>公里，不涉及重金属废水排放</w:t>
                  </w:r>
                </w:p>
              </w:tc>
            </w:tr>
          </w:tbl>
          <w:p w14:paraId="0922A41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jc w:val="both"/>
              <w:textAlignment w:val="auto"/>
              <w:rPr>
                <w:rFonts w:hint="eastAsia" w:ascii="宋体" w:hAnsi="宋体" w:eastAsia="宋体" w:cs="宋体"/>
                <w:b w:val="0"/>
                <w:bCs w:val="0"/>
                <w:color w:val="000000"/>
                <w:kern w:val="0"/>
                <w:sz w:val="24"/>
                <w:szCs w:val="24"/>
                <w:u w:val="none"/>
                <w:lang w:val="en-US" w:eastAsia="zh-CN" w:bidi="ar"/>
              </w:rPr>
            </w:pPr>
            <w:r>
              <w:rPr>
                <w:rFonts w:hint="eastAsia" w:ascii="Times New Roman" w:hAnsi="Times New Roman" w:eastAsia="宋体" w:cs="Times New Roman"/>
                <w:kern w:val="0"/>
                <w:sz w:val="24"/>
                <w:szCs w:val="24"/>
                <w:u w:val="none"/>
                <w:lang w:val="en-US" w:eastAsia="zh-CN"/>
              </w:rPr>
              <w:t>综上所述，本项目与</w:t>
            </w:r>
            <w:r>
              <w:rPr>
                <w:rFonts w:hint="eastAsia" w:ascii="宋体" w:hAnsi="宋体" w:eastAsia="宋体" w:cs="宋体"/>
                <w:b w:val="0"/>
                <w:bCs w:val="0"/>
                <w:color w:val="000000"/>
                <w:kern w:val="0"/>
                <w:sz w:val="24"/>
                <w:szCs w:val="24"/>
                <w:u w:val="none"/>
                <w:lang w:val="en-US" w:eastAsia="zh-CN" w:bidi="ar"/>
              </w:rPr>
              <w:t>《湖南省湘江保护条例》相符。</w:t>
            </w:r>
          </w:p>
          <w:p w14:paraId="767F69D9">
            <w:pPr>
              <w:keepNext w:val="0"/>
              <w:keepLines w:val="0"/>
              <w:numPr>
                <w:ilvl w:val="0"/>
                <w:numId w:val="0"/>
              </w:numPr>
              <w:suppressLineNumbers w:val="0"/>
              <w:wordWrap/>
              <w:autoSpaceDE w:val="0"/>
              <w:autoSpaceDN w:val="0"/>
              <w:adjustRightInd w:val="0"/>
              <w:snapToGrid w:val="0"/>
              <w:spacing w:before="0" w:beforeLines="0" w:beforeAutospacing="0" w:after="0" w:afterAutospacing="0" w:line="360" w:lineRule="auto"/>
              <w:ind w:left="0" w:right="0" w:firstLine="482" w:firstLineChars="200"/>
              <w:rPr>
                <w:rFonts w:hint="eastAsia" w:ascii="Times New Roman" w:hAnsi="Times New Roman" w:eastAsia="宋体" w:cs="Times New Roman"/>
                <w:b/>
                <w:bCs/>
                <w:kern w:val="0"/>
                <w:sz w:val="24"/>
                <w:u w:val="none"/>
              </w:rPr>
            </w:pPr>
            <w:r>
              <w:rPr>
                <w:rFonts w:hint="eastAsia" w:ascii="Times New Roman" w:hAnsi="Times New Roman" w:eastAsia="宋体" w:cs="Times New Roman"/>
                <w:b/>
                <w:bCs/>
                <w:kern w:val="0"/>
                <w:sz w:val="24"/>
                <w:u w:val="none"/>
                <w:lang w:val="en-US" w:eastAsia="zh-CN"/>
              </w:rPr>
              <w:t>6、与《湖南省环境保护条例》（2024年11月29日发文）相符性分析</w:t>
            </w:r>
            <w:r>
              <w:rPr>
                <w:rFonts w:hint="eastAsia" w:ascii="Times New Roman" w:hAnsi="Times New Roman" w:eastAsia="宋体" w:cs="Times New Roman"/>
                <w:b/>
                <w:bCs/>
                <w:kern w:val="0"/>
                <w:sz w:val="24"/>
                <w:u w:val="none"/>
              </w:rPr>
              <w:t>：</w:t>
            </w:r>
          </w:p>
          <w:p w14:paraId="650431ED">
            <w:pPr>
              <w:keepNext w:val="0"/>
              <w:keepLines w:val="0"/>
              <w:widowControl w:val="0"/>
              <w:suppressLineNumbers w:val="0"/>
              <w:snapToGrid w:val="0"/>
              <w:spacing w:before="0" w:beforeLines="0" w:beforeAutospacing="0" w:after="0" w:afterAutospacing="0" w:line="360" w:lineRule="auto"/>
              <w:ind w:left="0" w:right="0" w:firstLine="482"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b/>
                <w:bCs/>
                <w:color w:val="auto"/>
                <w:kern w:val="2"/>
                <w:sz w:val="24"/>
                <w:szCs w:val="24"/>
                <w:u w:val="none"/>
                <w:lang w:val="en-US" w:eastAsia="zh-CN" w:bidi="ar-SA"/>
              </w:rPr>
              <w:t>第三十二条</w:t>
            </w:r>
            <w:r>
              <w:rPr>
                <w:rFonts w:hint="eastAsia" w:ascii="Times New Roman" w:hAnsi="宋体" w:eastAsia="宋体" w:cs="Times New Roman"/>
                <w:color w:val="auto"/>
                <w:kern w:val="2"/>
                <w:sz w:val="24"/>
                <w:szCs w:val="24"/>
                <w:u w:val="none"/>
                <w:lang w:val="en-US" w:eastAsia="zh-CN" w:bidi="ar-SA"/>
              </w:rPr>
              <w:t>：企业事业单位和其他生产经营者有下列情形之一，造成或者可能造成严重污染的，生态环境主管部门和其他负有环境保护监督管理职责的部门可以依法查封、扣押造成污染物排放的设施设备或者扣押运输污染物的交通工具：</w:t>
            </w:r>
          </w:p>
          <w:p w14:paraId="49D9BC47">
            <w:pPr>
              <w:keepNext w:val="0"/>
              <w:keepLines w:val="0"/>
              <w:widowControl w:val="0"/>
              <w:suppressLineNumbers w:val="0"/>
              <w:snapToGrid w:val="0"/>
              <w:spacing w:before="0" w:beforeLines="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（一）违法排放、倾倒或者处置危险废物、放射性废物、含传染病病原体的废物、含重金属的污染物、持久性有机污染物等有毒物质或者其他有害物质的；</w:t>
            </w:r>
          </w:p>
          <w:p w14:paraId="0B39BE4D">
            <w:pPr>
              <w:keepNext w:val="0"/>
              <w:keepLines w:val="0"/>
              <w:widowControl w:val="0"/>
              <w:suppressLineNumbers w:val="0"/>
              <w:snapToGrid w:val="0"/>
              <w:spacing w:before="0" w:beforeLines="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（二）在饮用水水源一级保护区或者自然保护区核心区排放、倾倒、处置污染物的；</w:t>
            </w:r>
          </w:p>
          <w:p w14:paraId="52D9302D">
            <w:pPr>
              <w:keepNext w:val="0"/>
              <w:keepLines w:val="0"/>
              <w:widowControl w:val="0"/>
              <w:suppressLineNumbers w:val="0"/>
              <w:snapToGrid w:val="0"/>
              <w:spacing w:before="0" w:beforeLines="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（三）通过暗管、渗井、渗坑、灌注等方式排污或者篡改、伪造监测数据，或者不正常运行防治污染设施等逃避监管的方式违法排放污染物的；</w:t>
            </w:r>
          </w:p>
          <w:p w14:paraId="0CB8F42E">
            <w:pPr>
              <w:keepNext w:val="0"/>
              <w:keepLines w:val="0"/>
              <w:widowControl w:val="0"/>
              <w:suppressLineNumbers w:val="0"/>
              <w:snapToGrid w:val="0"/>
              <w:spacing w:before="0" w:beforeLines="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（四）违法排放、倾倒化工、印染、电镀、造纸、制革、冶炼等工业固体废物以及污水处理厂污泥的；</w:t>
            </w:r>
          </w:p>
          <w:p w14:paraId="24E05A45">
            <w:pPr>
              <w:keepNext w:val="0"/>
              <w:keepLines w:val="0"/>
              <w:widowControl w:val="0"/>
              <w:suppressLineNumbers w:val="0"/>
              <w:snapToGrid w:val="0"/>
              <w:spacing w:before="0" w:beforeLines="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（五）发生较大以上突发环境事件的；</w:t>
            </w:r>
          </w:p>
          <w:p w14:paraId="1E945850">
            <w:pPr>
              <w:keepNext w:val="0"/>
              <w:keepLines w:val="0"/>
              <w:widowControl w:val="0"/>
              <w:suppressLineNumbers w:val="0"/>
              <w:snapToGrid w:val="0"/>
              <w:spacing w:before="0" w:beforeLines="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（六）法律法规规定的可以查封、扣押的其他情形。</w:t>
            </w:r>
          </w:p>
          <w:p w14:paraId="1078281B">
            <w:pPr>
              <w:keepNext w:val="0"/>
              <w:keepLines w:val="0"/>
              <w:widowControl w:val="0"/>
              <w:suppressLineNumbers w:val="0"/>
              <w:snapToGrid w:val="0"/>
              <w:spacing w:before="0" w:beforeLines="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根据建设单位提供资料可知，本项目使用的原辅材料不包含重金属、不涉及放射性物质，危险废物经危废暂存间暂存后交由有资质的单位处置；项目位于浦口镇，无生产废水，生活污水经隔油池+四格净化池处理后用作农肥；建设项目</w:t>
            </w:r>
            <w:r>
              <w:rPr>
                <w:rFonts w:hint="eastAsia" w:ascii="Times New Roman" w:hAnsi="Times New Roman" w:eastAsia="宋体" w:cs="Times New Roman"/>
                <w:color w:val="auto"/>
                <w:sz w:val="24"/>
                <w:u w:val="none"/>
                <w:lang w:val="en-US" w:eastAsia="zh-CN"/>
              </w:rPr>
              <w:t>不涉及</w:t>
            </w:r>
            <w:r>
              <w:rPr>
                <w:rFonts w:hint="eastAsia" w:ascii="Times New Roman" w:hAnsi="宋体" w:eastAsia="宋体" w:cs="Times New Roman"/>
                <w:color w:val="auto"/>
                <w:kern w:val="2"/>
                <w:sz w:val="24"/>
                <w:szCs w:val="24"/>
                <w:u w:val="none"/>
                <w:lang w:val="en-US" w:eastAsia="zh-CN" w:bidi="ar-SA"/>
              </w:rPr>
              <w:t>化工、印染、电镀、造纸、制革、冶炼等工业固体废物以及污水处理厂污泥；建设单位未投入运营，未发生过较大以上突发环境事件。</w:t>
            </w:r>
          </w:p>
          <w:p w14:paraId="0C19BCB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Lines="0" w:beforeAutospacing="0" w:after="0" w:afterAutospacing="0" w:line="360" w:lineRule="auto"/>
              <w:ind w:left="0" w:right="0" w:firstLine="480" w:firstLineChars="200"/>
              <w:jc w:val="both"/>
              <w:textAlignment w:val="auto"/>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综上所述，本项目符合《湖南省环境保护条例》相关要求。</w:t>
            </w:r>
          </w:p>
          <w:p w14:paraId="3D14F5F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Lines="0" w:beforeAutospacing="0" w:after="0" w:afterAutospacing="0" w:line="360" w:lineRule="auto"/>
              <w:ind w:left="0" w:right="0" w:firstLine="482" w:firstLineChars="200"/>
              <w:jc w:val="both"/>
              <w:textAlignment w:val="auto"/>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b/>
                <w:bCs/>
                <w:color w:val="auto"/>
                <w:kern w:val="2"/>
                <w:sz w:val="24"/>
                <w:szCs w:val="24"/>
                <w:u w:val="none"/>
                <w:lang w:val="en-US" w:eastAsia="zh-CN" w:bidi="ar-SA"/>
              </w:rPr>
              <w:t>7、与《湖南省发展和改革委员会关于印发&lt;湖南省</w:t>
            </w:r>
            <w:r>
              <w:rPr>
                <w:rFonts w:hint="eastAsia" w:hAnsi="宋体" w:cs="Times New Roman"/>
                <w:b/>
                <w:bCs/>
                <w:color w:val="auto"/>
                <w:kern w:val="2"/>
                <w:sz w:val="24"/>
                <w:szCs w:val="24"/>
                <w:u w:val="none"/>
                <w:lang w:val="en-US" w:eastAsia="zh-CN" w:bidi="ar-SA"/>
              </w:rPr>
              <w:t>“</w:t>
            </w:r>
            <w:r>
              <w:rPr>
                <w:rFonts w:hint="eastAsia" w:ascii="Times New Roman" w:hAnsi="宋体" w:eastAsia="宋体" w:cs="Times New Roman"/>
                <w:b/>
                <w:bCs/>
                <w:color w:val="auto"/>
                <w:kern w:val="2"/>
                <w:sz w:val="24"/>
                <w:szCs w:val="24"/>
                <w:u w:val="none"/>
                <w:lang w:val="en-US" w:eastAsia="zh-CN" w:bidi="ar-SA"/>
              </w:rPr>
              <w:t>两高</w:t>
            </w:r>
            <w:r>
              <w:rPr>
                <w:rFonts w:hint="eastAsia" w:hAnsi="宋体" w:cs="Times New Roman"/>
                <w:b/>
                <w:bCs/>
                <w:color w:val="auto"/>
                <w:kern w:val="2"/>
                <w:sz w:val="24"/>
                <w:szCs w:val="24"/>
                <w:u w:val="none"/>
                <w:lang w:val="en-US" w:eastAsia="zh-CN" w:bidi="ar-SA"/>
              </w:rPr>
              <w:t>”</w:t>
            </w:r>
            <w:r>
              <w:rPr>
                <w:rFonts w:hint="eastAsia" w:ascii="Times New Roman" w:hAnsi="宋体" w:eastAsia="宋体" w:cs="Times New Roman"/>
                <w:b/>
                <w:bCs/>
                <w:color w:val="auto"/>
                <w:kern w:val="2"/>
                <w:sz w:val="24"/>
                <w:szCs w:val="24"/>
                <w:u w:val="none"/>
                <w:lang w:val="en-US" w:eastAsia="zh-CN" w:bidi="ar-SA"/>
              </w:rPr>
              <w:t>项目管理目录&gt;的通知》（湘发改环资[2021]968号）相符性分析：</w:t>
            </w:r>
          </w:p>
          <w:p w14:paraId="072894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Lines="0" w:beforeAutospacing="0" w:after="0" w:afterAutospacing="0" w:line="360" w:lineRule="auto"/>
              <w:ind w:left="0" w:right="0" w:firstLine="480" w:firstLineChars="200"/>
              <w:jc w:val="both"/>
              <w:textAlignment w:val="auto"/>
              <w:rPr>
                <w:rFonts w:hint="eastAsia" w:ascii="Times New Roman" w:hAnsi="宋体" w:eastAsia="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湖南省发展和改革委员会2021年12月16日发布了《湖南省</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两高</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项目管理目录》，化工行业无机酸制造（2611）、无机碱制造（2612）、无机盐制造（2613）中烧碱、纯碱、工业硫酸、黄磷、合成氨、尿素、磷铵、电石、聚氯乙烯、聚丙烯、精对苯二甲酸、对二甲苯、苯乙烯、乙酸乙烯酯、二苯基甲烷二异氰酸酯、1,4-丁二醇产品及工序均纳入名录。本项目属于C4190其他未列明制造业、C3591环境保护专用设备制造，未纳入《湖南省</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两高</w:t>
            </w:r>
            <w:r>
              <w:rPr>
                <w:rFonts w:hint="eastAsia" w:hAnsi="宋体" w:cs="Times New Roman"/>
                <w:color w:val="auto"/>
                <w:kern w:val="2"/>
                <w:sz w:val="24"/>
                <w:szCs w:val="24"/>
                <w:u w:val="none"/>
                <w:lang w:val="en-US" w:eastAsia="zh-CN" w:bidi="ar-SA"/>
              </w:rPr>
              <w:t>”</w:t>
            </w:r>
            <w:r>
              <w:rPr>
                <w:rFonts w:hint="eastAsia" w:ascii="Times New Roman" w:hAnsi="宋体" w:eastAsia="宋体" w:cs="Times New Roman"/>
                <w:color w:val="auto"/>
                <w:kern w:val="2"/>
                <w:sz w:val="24"/>
                <w:szCs w:val="24"/>
                <w:u w:val="none"/>
                <w:lang w:val="en-US" w:eastAsia="zh-CN" w:bidi="ar-SA"/>
              </w:rPr>
              <w:t>项目管理名录》中。</w:t>
            </w:r>
          </w:p>
          <w:p w14:paraId="27E5B0BC">
            <w:pPr>
              <w:keepNext w:val="0"/>
              <w:keepLines w:val="0"/>
              <w:widowControl w:val="0"/>
              <w:suppressLineNumbers w:val="0"/>
              <w:spacing w:before="0" w:beforeLines="0" w:beforeAutospacing="0" w:after="0" w:afterAutospacing="0" w:line="360" w:lineRule="auto"/>
              <w:ind w:left="0" w:right="0" w:firstLine="482" w:firstLineChars="200"/>
              <w:jc w:val="both"/>
              <w:rPr>
                <w:rFonts w:hint="default" w:ascii="Times New Roman" w:hAnsi="宋体" w:eastAsia="宋体" w:cs="Times New Roman"/>
                <w:b/>
                <w:bCs/>
                <w:color w:val="auto"/>
                <w:kern w:val="2"/>
                <w:sz w:val="24"/>
                <w:szCs w:val="24"/>
                <w:highlight w:val="yellow"/>
                <w:lang w:val="en-US" w:eastAsia="zh-CN" w:bidi="ar-SA"/>
              </w:rPr>
            </w:pPr>
            <w:r>
              <w:rPr>
                <w:rFonts w:hint="eastAsia" w:ascii="Times New Roman" w:hAnsi="宋体" w:eastAsia="宋体" w:cs="Times New Roman"/>
                <w:b/>
                <w:bCs/>
                <w:color w:val="auto"/>
                <w:kern w:val="2"/>
                <w:sz w:val="24"/>
                <w:szCs w:val="24"/>
                <w:lang w:val="en-US" w:eastAsia="zh-CN" w:bidi="ar-SA"/>
              </w:rPr>
              <w:t>8</w:t>
            </w:r>
            <w:r>
              <w:rPr>
                <w:rFonts w:hint="eastAsia" w:ascii="Times New Roman" w:hAnsi="宋体" w:eastAsia="宋体" w:cs="Times New Roman"/>
                <w:b/>
                <w:bCs/>
                <w:color w:val="auto"/>
                <w:kern w:val="2"/>
                <w:sz w:val="24"/>
                <w:szCs w:val="24"/>
                <w:highlight w:val="none"/>
                <w:lang w:val="en-US" w:eastAsia="zh-CN" w:bidi="ar-SA"/>
              </w:rPr>
              <w:t>、与《挥发性有机物无组织</w:t>
            </w:r>
            <w:r>
              <w:rPr>
                <w:rFonts w:hint="eastAsia" w:ascii="Times New Roman" w:hAnsi="Times New Roman" w:eastAsia="宋体" w:cs="Times New Roman"/>
                <w:b/>
                <w:bCs/>
                <w:lang w:val="en-US" w:eastAsia="zh-CN"/>
              </w:rPr>
              <w:t>排放</w:t>
            </w:r>
            <w:r>
              <w:rPr>
                <w:rFonts w:hint="eastAsia" w:ascii="Times New Roman" w:hAnsi="宋体" w:eastAsia="宋体" w:cs="Times New Roman"/>
                <w:b/>
                <w:bCs/>
                <w:color w:val="auto"/>
                <w:kern w:val="2"/>
                <w:sz w:val="24"/>
                <w:szCs w:val="24"/>
                <w:highlight w:val="none"/>
                <w:lang w:val="en-US" w:eastAsia="zh-CN" w:bidi="ar-SA"/>
              </w:rPr>
              <w:t>控制标准》</w:t>
            </w:r>
            <w:r>
              <w:rPr>
                <w:rFonts w:hint="eastAsia" w:hAnsi="宋体" w:cs="Times New Roman"/>
                <w:b/>
                <w:bCs/>
                <w:color w:val="auto"/>
                <w:kern w:val="2"/>
                <w:sz w:val="24"/>
                <w:szCs w:val="24"/>
                <w:highlight w:val="none"/>
                <w:lang w:val="en-US" w:eastAsia="zh-CN" w:bidi="ar-SA"/>
              </w:rPr>
              <w:t>(</w:t>
            </w:r>
            <w:r>
              <w:rPr>
                <w:rFonts w:hint="eastAsia" w:ascii="Times New Roman" w:hAnsi="宋体" w:eastAsia="宋体" w:cs="Times New Roman"/>
                <w:b/>
                <w:bCs/>
                <w:color w:val="auto"/>
                <w:kern w:val="2"/>
                <w:sz w:val="24"/>
                <w:szCs w:val="24"/>
                <w:highlight w:val="none"/>
                <w:lang w:val="en-US" w:eastAsia="zh-CN" w:bidi="ar-SA"/>
              </w:rPr>
              <w:t>GB37822-2019</w:t>
            </w:r>
            <w:r>
              <w:rPr>
                <w:rFonts w:hint="eastAsia" w:hAnsi="宋体" w:cs="Times New Roman"/>
                <w:b/>
                <w:bCs/>
                <w:color w:val="auto"/>
                <w:kern w:val="2"/>
                <w:sz w:val="24"/>
                <w:szCs w:val="24"/>
                <w:highlight w:val="none"/>
                <w:lang w:val="en-US" w:eastAsia="zh-CN" w:bidi="ar-SA"/>
              </w:rPr>
              <w:t>)</w:t>
            </w:r>
            <w:r>
              <w:rPr>
                <w:rFonts w:hint="eastAsia" w:ascii="Times New Roman" w:hAnsi="宋体" w:eastAsia="宋体" w:cs="Times New Roman"/>
                <w:b/>
                <w:bCs/>
                <w:color w:val="auto"/>
                <w:kern w:val="2"/>
                <w:sz w:val="24"/>
                <w:szCs w:val="24"/>
                <w:highlight w:val="none"/>
                <w:lang w:val="en-US" w:eastAsia="zh-CN" w:bidi="ar-SA"/>
              </w:rPr>
              <w:t>相符性分析</w:t>
            </w:r>
          </w:p>
          <w:p w14:paraId="653BE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宋体" w:eastAsia="宋体" w:cs="Times New Roman"/>
                <w:b/>
                <w:bCs/>
                <w:color w:val="auto"/>
                <w:kern w:val="2"/>
                <w:sz w:val="21"/>
                <w:szCs w:val="21"/>
                <w:highlight w:val="yellow"/>
                <w:lang w:val="en-US" w:eastAsia="zh-CN" w:bidi="ar-SA"/>
              </w:rPr>
            </w:pPr>
            <w:r>
              <w:rPr>
                <w:rFonts w:hint="eastAsia" w:ascii="Times New Roman" w:hAnsi="宋体" w:eastAsia="宋体" w:cs="Times New Roman"/>
                <w:b/>
                <w:bCs/>
                <w:color w:val="auto"/>
                <w:kern w:val="2"/>
                <w:sz w:val="21"/>
                <w:szCs w:val="21"/>
                <w:highlight w:val="none"/>
                <w:lang w:val="en-US" w:eastAsia="zh-CN" w:bidi="ar-SA"/>
              </w:rPr>
              <w:t>表1-4 项目挥发性有机物相关政策符合分析表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787"/>
              <w:gridCol w:w="3011"/>
              <w:gridCol w:w="756"/>
            </w:tblGrid>
            <w:tr w14:paraId="5C03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65E6C900">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序号</w:t>
                  </w:r>
                </w:p>
              </w:tc>
              <w:tc>
                <w:tcPr>
                  <w:tcW w:w="2374" w:type="pct"/>
                  <w:vAlign w:val="center"/>
                </w:tcPr>
                <w:p w14:paraId="77A991D3">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标准要求</w:t>
                  </w:r>
                </w:p>
              </w:tc>
              <w:tc>
                <w:tcPr>
                  <w:tcW w:w="1888" w:type="pct"/>
                  <w:vAlign w:val="center"/>
                </w:tcPr>
                <w:p w14:paraId="7733023D">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本项目实际情况</w:t>
                  </w:r>
                </w:p>
              </w:tc>
              <w:tc>
                <w:tcPr>
                  <w:tcW w:w="476" w:type="pct"/>
                  <w:vAlign w:val="center"/>
                </w:tcPr>
                <w:p w14:paraId="6342665E">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符合性分析</w:t>
                  </w:r>
                </w:p>
              </w:tc>
            </w:tr>
            <w:tr w14:paraId="64FD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5D6B1A7A">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w:t>
                  </w:r>
                </w:p>
              </w:tc>
              <w:tc>
                <w:tcPr>
                  <w:tcW w:w="2374" w:type="pct"/>
                  <w:vAlign w:val="center"/>
                </w:tcPr>
                <w:p w14:paraId="3CAC154D">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储存环节应采用密闭容器、包装袋等。装卸、转移和输送环节应采用密闭管道或密闭容器等。生产和使用环节应采用密闭设备，或在密闭空间中操作并有效收集废气，或进行局部气体收集；非取用状态时容器应密闭</w:t>
                  </w:r>
                </w:p>
              </w:tc>
              <w:tc>
                <w:tcPr>
                  <w:tcW w:w="1888" w:type="pct"/>
                  <w:vAlign w:val="center"/>
                </w:tcPr>
                <w:p w14:paraId="33733D86">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树脂漆</w:t>
                  </w:r>
                  <w:r>
                    <w:rPr>
                      <w:rFonts w:hint="eastAsia" w:ascii="Times New Roman" w:hAnsi="Times New Roman" w:eastAsia="宋体" w:cs="Times New Roman"/>
                      <w:vertAlign w:val="baseline"/>
                      <w:lang w:val="en-US" w:eastAsia="zh-CN"/>
                    </w:rPr>
                    <w:t>采用密闭</w:t>
                  </w:r>
                  <w:r>
                    <w:rPr>
                      <w:rFonts w:hint="eastAsia" w:cs="Times New Roman"/>
                      <w:vertAlign w:val="baseline"/>
                      <w:lang w:val="en-US" w:eastAsia="zh-CN"/>
                    </w:rPr>
                    <w:t>容器</w:t>
                  </w:r>
                  <w:r>
                    <w:rPr>
                      <w:rFonts w:hint="eastAsia" w:ascii="Times New Roman" w:hAnsi="Times New Roman" w:eastAsia="宋体" w:cs="Times New Roman"/>
                      <w:vertAlign w:val="baseline"/>
                      <w:lang w:val="en-US" w:eastAsia="zh-CN"/>
                    </w:rPr>
                    <w:t>储存、运输，使用过程中在室内进行；补漆工序采样过滤棉+活性炭吸附设备进行处理后通过15m排气筒排放</w:t>
                  </w:r>
                </w:p>
              </w:tc>
              <w:tc>
                <w:tcPr>
                  <w:tcW w:w="476" w:type="pct"/>
                  <w:vAlign w:val="center"/>
                </w:tcPr>
                <w:p w14:paraId="1D39F7E4">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符合</w:t>
                  </w:r>
                </w:p>
              </w:tc>
            </w:tr>
            <w:tr w14:paraId="7B09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34C869A4">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w:t>
                  </w:r>
                </w:p>
              </w:tc>
              <w:tc>
                <w:tcPr>
                  <w:tcW w:w="2374" w:type="pct"/>
                  <w:vAlign w:val="center"/>
                </w:tcPr>
                <w:p w14:paraId="4DC98B82">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未制定行业标准的应执行大气污染物综合排放标准和挥发性有机物无组织排放控制标准；已制定更严格地方排放标准的，按地方标准执行</w:t>
                  </w:r>
                </w:p>
              </w:tc>
              <w:tc>
                <w:tcPr>
                  <w:tcW w:w="1888" w:type="pct"/>
                  <w:vAlign w:val="center"/>
                </w:tcPr>
                <w:p w14:paraId="01D64C37">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本项目为花炮机械、布袋除尘器加工制作项目，有机废气有组织排放参照执行《表面涂装（汽车制造及维修）挥发性有机物、镍排放标准》（DB43/1356-2017）标准限制。厂房外VOCs无组织排放执行《挥发性有机物无组织排放控制标准》(GB37822-2019) 的相关要求。</w:t>
                  </w:r>
                </w:p>
              </w:tc>
              <w:tc>
                <w:tcPr>
                  <w:tcW w:w="476" w:type="pct"/>
                  <w:vAlign w:val="center"/>
                </w:tcPr>
                <w:p w14:paraId="2846C698">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符合</w:t>
                  </w:r>
                </w:p>
              </w:tc>
            </w:tr>
            <w:tr w14:paraId="2098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11199B0C">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2374" w:type="pct"/>
                  <w:vAlign w:val="center"/>
                </w:tcPr>
                <w:p w14:paraId="61A1B0DC">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将无组织排放转变为有组织排放进行控制，优先采用密闭设备、在密闭空间中操作或采用全密闭集气罩收集方式；企业新建治污设施或对现有治污设施实施改造，应依据排放废气特征、VOCs组分及浓度、生产工况等，合理选择治理技术，对治理难度大、单一治理工艺难以稳定达标的，要采用多种技术的组合工艺</w:t>
                  </w:r>
                </w:p>
              </w:tc>
              <w:tc>
                <w:tcPr>
                  <w:tcW w:w="1888" w:type="pct"/>
                  <w:vAlign w:val="center"/>
                </w:tcPr>
                <w:p w14:paraId="5849B943">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本项目</w:t>
                  </w:r>
                  <w:r>
                    <w:rPr>
                      <w:rFonts w:hint="eastAsia" w:cs="Times New Roman"/>
                      <w:vertAlign w:val="baseline"/>
                      <w:lang w:val="en-US" w:eastAsia="zh-CN"/>
                    </w:rPr>
                    <w:t>补漆废气采用过滤棉+活性炭吸附设备进行处理后通过15m排气筒排放，</w:t>
                  </w:r>
                  <w:r>
                    <w:rPr>
                      <w:rFonts w:hint="eastAsia" w:ascii="Times New Roman" w:hAnsi="Times New Roman" w:eastAsia="宋体" w:cs="Times New Roman"/>
                      <w:vertAlign w:val="baseline"/>
                      <w:lang w:val="en-US" w:eastAsia="zh-CN"/>
                    </w:rPr>
                    <w:t>处理后的废气可达到相关标准要求</w:t>
                  </w:r>
                </w:p>
              </w:tc>
              <w:tc>
                <w:tcPr>
                  <w:tcW w:w="476" w:type="pct"/>
                  <w:vAlign w:val="center"/>
                </w:tcPr>
                <w:p w14:paraId="14F04771">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rPr>
                    <w:t>符合</w:t>
                  </w:r>
                </w:p>
              </w:tc>
            </w:tr>
            <w:tr w14:paraId="0A05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00352281">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374" w:type="pct"/>
                  <w:vAlign w:val="center"/>
                </w:tcPr>
                <w:p w14:paraId="440AE210">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VOCs物料应储存于密闭的容器、包装袋中；盛装VOCs物料的容器或包装袋应存放于室内，或存放于设置有雨棚、遮阳和防渗设施的专用场地。盛装VOCs物料的容器或包装袋在非取用状态时应加盖、封口，保持密闭</w:t>
                  </w:r>
                </w:p>
              </w:tc>
              <w:tc>
                <w:tcPr>
                  <w:tcW w:w="1888" w:type="pct"/>
                  <w:vAlign w:val="center"/>
                </w:tcPr>
                <w:p w14:paraId="37386416">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原料使用密闭包装，项目厂房内设置有原料仓库，有挡雨、遮阳、防渗措施。</w:t>
                  </w:r>
                </w:p>
              </w:tc>
              <w:tc>
                <w:tcPr>
                  <w:tcW w:w="476" w:type="pct"/>
                  <w:vAlign w:val="center"/>
                </w:tcPr>
                <w:p w14:paraId="506FE1BC">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rPr>
                    <w:t>符合</w:t>
                  </w:r>
                </w:p>
              </w:tc>
            </w:tr>
            <w:tr w14:paraId="1F12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6C1FB11B">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374" w:type="pct"/>
                  <w:vAlign w:val="center"/>
                </w:tcPr>
                <w:p w14:paraId="11192BCE">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1888" w:type="pct"/>
                  <w:vAlign w:val="center"/>
                </w:tcPr>
                <w:p w14:paraId="390EBC5D">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本项目产品为花炮机械、布袋除尘器，不含VOCs</w:t>
                  </w:r>
                </w:p>
              </w:tc>
              <w:tc>
                <w:tcPr>
                  <w:tcW w:w="476" w:type="pct"/>
                  <w:vAlign w:val="center"/>
                </w:tcPr>
                <w:p w14:paraId="7AF946CB">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rPr>
                    <w:t>符合</w:t>
                  </w:r>
                </w:p>
              </w:tc>
            </w:tr>
            <w:tr w14:paraId="67EC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159BC44F">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2374" w:type="pct"/>
                  <w:vAlign w:val="center"/>
                </w:tcPr>
                <w:p w14:paraId="32B99EB3">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企业应建立台账，记录含VOCs原辅材料和含VOCs产品的名称、使用量、回收量、废弃量、去向以及VOCs含量等信息。台账保存期限不少于3年</w:t>
                  </w:r>
                </w:p>
              </w:tc>
              <w:tc>
                <w:tcPr>
                  <w:tcW w:w="1888" w:type="pct"/>
                  <w:vAlign w:val="center"/>
                </w:tcPr>
                <w:p w14:paraId="5D022197">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项目运营后按标准要求记录含挥发性有机物原辅材料、相应挥发性有机物的含量、废气设施维护保养记录等日常运行管理台账</w:t>
                  </w:r>
                </w:p>
              </w:tc>
              <w:tc>
                <w:tcPr>
                  <w:tcW w:w="476" w:type="pct"/>
                  <w:vAlign w:val="center"/>
                </w:tcPr>
                <w:p w14:paraId="08E59BB1">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rPr>
                    <w:t>符合</w:t>
                  </w:r>
                </w:p>
              </w:tc>
            </w:tr>
          </w:tbl>
          <w:p w14:paraId="06B757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jc w:val="left"/>
              <w:textAlignment w:val="auto"/>
              <w:rPr>
                <w:rFonts w:hint="default" w:ascii="Times New Roman" w:hAnsi="Times New Roman" w:eastAsia="宋体" w:cs="Times New Roman"/>
                <w:b/>
                <w:bCs/>
                <w:kern w:val="0"/>
                <w:sz w:val="24"/>
                <w:szCs w:val="24"/>
                <w:u w:val="none"/>
                <w:lang w:val="en-US" w:eastAsia="zh-CN"/>
              </w:rPr>
            </w:pPr>
            <w:r>
              <w:rPr>
                <w:rFonts w:hint="eastAsia" w:ascii="Times New Roman" w:hAnsi="Times New Roman" w:eastAsia="宋体" w:cs="Times New Roman"/>
                <w:b/>
                <w:bCs/>
                <w:kern w:val="0"/>
                <w:sz w:val="24"/>
                <w:szCs w:val="24"/>
                <w:u w:val="none"/>
                <w:lang w:val="en-US" w:eastAsia="zh-CN"/>
              </w:rPr>
              <w:t>9、与《挥发性有机物VOCs污染防治技术政策》（公告 2013年第31号）的相符性分析</w:t>
            </w:r>
          </w:p>
          <w:p w14:paraId="2AC23B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kern w:val="0"/>
                <w:sz w:val="24"/>
                <w:szCs w:val="24"/>
                <w:u w:val="none"/>
                <w:lang w:val="en-US" w:eastAsia="zh-CN"/>
              </w:rPr>
            </w:pPr>
            <w:r>
              <w:rPr>
                <w:rFonts w:hint="eastAsia" w:ascii="Times New Roman" w:hAnsi="Times New Roman" w:eastAsia="宋体" w:cs="Times New Roman"/>
                <w:b w:val="0"/>
                <w:bCs w:val="0"/>
                <w:kern w:val="0"/>
                <w:sz w:val="24"/>
                <w:szCs w:val="24"/>
                <w:u w:val="none"/>
                <w:lang w:val="en-US" w:eastAsia="zh-CN"/>
              </w:rPr>
              <w:t>项目印字工序会产生挥发性有机物，项目建设</w:t>
            </w:r>
            <w:r>
              <w:rPr>
                <w:rFonts w:hint="default" w:ascii="Times New Roman" w:hAnsi="Times New Roman" w:eastAsia="宋体" w:cs="Times New Roman"/>
                <w:b w:val="0"/>
                <w:bCs w:val="0"/>
                <w:kern w:val="0"/>
                <w:sz w:val="24"/>
                <w:szCs w:val="24"/>
                <w:u w:val="none"/>
                <w:lang w:val="en-US" w:eastAsia="zh-CN"/>
              </w:rPr>
              <w:t>与</w:t>
            </w:r>
            <w:r>
              <w:rPr>
                <w:rFonts w:hint="eastAsia" w:ascii="Times New Roman" w:hAnsi="Times New Roman" w:eastAsia="宋体" w:cs="Times New Roman"/>
                <w:b w:val="0"/>
                <w:bCs w:val="0"/>
                <w:kern w:val="0"/>
                <w:sz w:val="24"/>
                <w:szCs w:val="24"/>
                <w:u w:val="none"/>
                <w:lang w:val="en-US" w:eastAsia="zh-CN"/>
              </w:rPr>
              <w:t>《挥发性有机物VOCs污染防治技术政策》的相符性分析如下：</w:t>
            </w:r>
          </w:p>
          <w:p w14:paraId="2D2C7C3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eastAsia" w:ascii="宋体" w:hAnsi="宋体" w:eastAsia="宋体" w:cs="宋体"/>
                <w:b/>
                <w:bCs/>
                <w:color w:val="000000"/>
                <w:kern w:val="0"/>
                <w:sz w:val="21"/>
                <w:szCs w:val="21"/>
                <w:lang w:val="en-US" w:eastAsia="zh-CN" w:bidi="ar"/>
              </w:rPr>
              <w:t>表</w:t>
            </w:r>
            <w:r>
              <w:rPr>
                <w:rFonts w:hint="default" w:ascii="Times New Roman" w:hAnsi="Times New Roman" w:eastAsia="宋体" w:cs="Times New Roman"/>
                <w:b/>
                <w:bCs/>
                <w:color w:val="000000"/>
                <w:kern w:val="0"/>
                <w:sz w:val="21"/>
                <w:szCs w:val="21"/>
                <w:lang w:val="en-US" w:eastAsia="zh-CN" w:bidi="ar"/>
              </w:rPr>
              <w:t>1-</w:t>
            </w:r>
            <w:r>
              <w:rPr>
                <w:rFonts w:hint="eastAsia" w:ascii="Times New Roman" w:hAnsi="Times New Roman" w:eastAsia="宋体" w:cs="Times New Roman"/>
                <w:b/>
                <w:bCs/>
                <w:color w:val="000000"/>
                <w:kern w:val="0"/>
                <w:sz w:val="21"/>
                <w:szCs w:val="21"/>
                <w:lang w:val="en-US" w:eastAsia="zh-CN" w:bidi="ar"/>
              </w:rPr>
              <w:t>5</w:t>
            </w:r>
            <w:r>
              <w:rPr>
                <w:rFonts w:hint="eastAsia" w:ascii="宋体" w:hAnsi="宋体" w:eastAsia="宋体" w:cs="宋体"/>
                <w:b/>
                <w:bCs/>
                <w:color w:val="000000"/>
                <w:kern w:val="0"/>
                <w:sz w:val="21"/>
                <w:szCs w:val="21"/>
                <w:lang w:val="en-US" w:eastAsia="zh-CN" w:bidi="ar"/>
              </w:rPr>
              <w:t>与</w:t>
            </w:r>
            <w:r>
              <w:rPr>
                <w:rFonts w:hint="default" w:ascii="Times New Roman" w:hAnsi="Times New Roman" w:eastAsia="宋体" w:cs="Times New Roman"/>
                <w:b/>
                <w:bCs/>
                <w:color w:val="000000"/>
                <w:kern w:val="0"/>
                <w:sz w:val="21"/>
                <w:szCs w:val="21"/>
                <w:lang w:val="en-US" w:eastAsia="zh-CN" w:bidi="ar"/>
              </w:rPr>
              <w:t>《挥发性有机物VOCs污染防治技术政策》</w:t>
            </w:r>
            <w:r>
              <w:rPr>
                <w:rFonts w:hint="eastAsia" w:ascii="宋体" w:hAnsi="宋体" w:eastAsia="宋体" w:cs="宋体"/>
                <w:b/>
                <w:bCs/>
                <w:color w:val="000000"/>
                <w:kern w:val="0"/>
                <w:sz w:val="21"/>
                <w:szCs w:val="21"/>
                <w:lang w:val="en-US" w:eastAsia="zh-CN" w:bidi="ar"/>
              </w:rPr>
              <w:t>相符性分析</w:t>
            </w:r>
          </w:p>
          <w:tbl>
            <w:tblPr>
              <w:tblStyle w:val="25"/>
              <w:tblpPr w:leftFromText="180" w:rightFromText="180" w:vertAnchor="text" w:horzAnchor="page" w:tblpX="181" w:tblpY="71"/>
              <w:tblOverlap w:val="never"/>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4418"/>
              <w:gridCol w:w="2324"/>
              <w:gridCol w:w="507"/>
            </w:tblGrid>
            <w:tr w14:paraId="00C5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8" w:type="pct"/>
                  <w:noWrap w:val="0"/>
                  <w:vAlign w:val="center"/>
                </w:tcPr>
                <w:p w14:paraId="64B1043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vertAlign w:val="baseline"/>
                      <w:lang w:val="en-US" w:eastAsia="zh-CN"/>
                    </w:rPr>
                  </w:pPr>
                  <w:r>
                    <w:rPr>
                      <w:rFonts w:hint="eastAsia" w:ascii="Times New Roman" w:hAnsi="Times New Roman" w:eastAsia="宋体" w:cs="Times New Roman"/>
                      <w:b/>
                      <w:bCs/>
                      <w:kern w:val="0"/>
                      <w:sz w:val="21"/>
                      <w:szCs w:val="21"/>
                      <w:vertAlign w:val="baseline"/>
                      <w:lang w:val="en-US" w:eastAsia="zh-CN"/>
                    </w:rPr>
                    <w:t>序号</w:t>
                  </w:r>
                </w:p>
              </w:tc>
              <w:tc>
                <w:tcPr>
                  <w:tcW w:w="2834" w:type="pct"/>
                  <w:noWrap w:val="0"/>
                  <w:vAlign w:val="center"/>
                </w:tcPr>
                <w:p w14:paraId="24E861D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vertAlign w:val="baseline"/>
                      <w:lang w:val="en-US" w:eastAsia="zh-CN"/>
                    </w:rPr>
                  </w:pPr>
                  <w:r>
                    <w:rPr>
                      <w:rFonts w:hint="eastAsia" w:ascii="Times New Roman" w:hAnsi="Times New Roman" w:eastAsia="宋体" w:cs="Times New Roman"/>
                      <w:b/>
                      <w:bCs/>
                      <w:kern w:val="0"/>
                      <w:sz w:val="21"/>
                      <w:szCs w:val="21"/>
                      <w:vertAlign w:val="baseline"/>
                      <w:lang w:val="en-US" w:eastAsia="zh-CN"/>
                    </w:rPr>
                    <w:t>内容</w:t>
                  </w:r>
                </w:p>
              </w:tc>
              <w:tc>
                <w:tcPr>
                  <w:tcW w:w="1491" w:type="pct"/>
                  <w:noWrap w:val="0"/>
                  <w:vAlign w:val="center"/>
                </w:tcPr>
                <w:p w14:paraId="5D02B80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kern w:val="0"/>
                      <w:sz w:val="21"/>
                      <w:szCs w:val="21"/>
                      <w:vertAlign w:val="baseline"/>
                      <w:lang w:val="en-US" w:eastAsia="zh-CN"/>
                    </w:rPr>
                  </w:pPr>
                  <w:r>
                    <w:rPr>
                      <w:rFonts w:hint="eastAsia" w:ascii="Times New Roman" w:hAnsi="Times New Roman" w:eastAsia="宋体" w:cs="Times New Roman"/>
                      <w:b/>
                      <w:bCs/>
                      <w:kern w:val="0"/>
                      <w:sz w:val="21"/>
                      <w:szCs w:val="21"/>
                      <w:vertAlign w:val="baseline"/>
                      <w:lang w:val="en-US" w:eastAsia="zh-CN"/>
                    </w:rPr>
                    <w:t>本项目情况</w:t>
                  </w:r>
                </w:p>
              </w:tc>
              <w:tc>
                <w:tcPr>
                  <w:tcW w:w="325" w:type="pct"/>
                  <w:noWrap w:val="0"/>
                  <w:vAlign w:val="center"/>
                </w:tcPr>
                <w:p w14:paraId="7F6842C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kern w:val="0"/>
                      <w:sz w:val="21"/>
                      <w:szCs w:val="21"/>
                      <w:vertAlign w:val="baseline"/>
                      <w:lang w:val="en-US" w:eastAsia="zh-CN"/>
                    </w:rPr>
                  </w:pPr>
                  <w:r>
                    <w:rPr>
                      <w:rFonts w:hint="eastAsia" w:ascii="Times New Roman" w:hAnsi="Times New Roman" w:eastAsia="宋体" w:cs="Times New Roman"/>
                      <w:b/>
                      <w:bCs/>
                      <w:kern w:val="0"/>
                      <w:sz w:val="21"/>
                      <w:szCs w:val="21"/>
                      <w:vertAlign w:val="baseline"/>
                      <w:lang w:val="en-US" w:eastAsia="zh-CN"/>
                    </w:rPr>
                    <w:t>相符性</w:t>
                  </w:r>
                </w:p>
              </w:tc>
            </w:tr>
            <w:tr w14:paraId="0DF4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8" w:type="pct"/>
                  <w:noWrap w:val="0"/>
                  <w:vAlign w:val="center"/>
                </w:tcPr>
                <w:p w14:paraId="30D848C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1</w:t>
                  </w:r>
                </w:p>
              </w:tc>
              <w:tc>
                <w:tcPr>
                  <w:tcW w:w="2834" w:type="pct"/>
                  <w:noWrap w:val="0"/>
                  <w:vAlign w:val="center"/>
                </w:tcPr>
                <w:p w14:paraId="352CAAA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 xml:space="preserve">（四）VOCs 污染防治应遵循源头和过程控制与末端治理向结合的综合防治原则。 </w:t>
                  </w:r>
                </w:p>
                <w:p w14:paraId="1CC8B95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在工业生产中采用清洁生产技术，严格控制含VOCs原料与产品在生产和储运过程中的VOCs排放，鼓励对资源和能源的回收利用；鼓励在生产和生活中使用不含VOCs的替代产品或低VOCs 含量的产品。</w:t>
                  </w:r>
                </w:p>
              </w:tc>
              <w:tc>
                <w:tcPr>
                  <w:tcW w:w="1491" w:type="pct"/>
                  <w:noWrap w:val="0"/>
                  <w:vAlign w:val="center"/>
                </w:tcPr>
                <w:p w14:paraId="0D04EF6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本项目产生挥发性有机物的工序为</w:t>
                  </w:r>
                  <w:r>
                    <w:rPr>
                      <w:rFonts w:hint="eastAsia" w:cs="Times New Roman"/>
                      <w:kern w:val="0"/>
                      <w:sz w:val="21"/>
                      <w:szCs w:val="21"/>
                      <w:vertAlign w:val="baseline"/>
                      <w:lang w:val="en-US" w:eastAsia="zh-CN"/>
                    </w:rPr>
                    <w:t>：补漆废气</w:t>
                  </w:r>
                  <w:r>
                    <w:rPr>
                      <w:rFonts w:hint="eastAsia" w:ascii="Times New Roman" w:hAnsi="Times New Roman" w:eastAsia="宋体" w:cs="Times New Roman"/>
                      <w:kern w:val="0"/>
                      <w:sz w:val="21"/>
                      <w:szCs w:val="21"/>
                      <w:vertAlign w:val="baseline"/>
                      <w:lang w:val="en-US" w:eastAsia="zh-CN"/>
                    </w:rPr>
                    <w:t>采</w:t>
                  </w:r>
                  <w:r>
                    <w:rPr>
                      <w:rFonts w:hint="eastAsia" w:cs="Times New Roman"/>
                      <w:kern w:val="0"/>
                      <w:sz w:val="21"/>
                      <w:szCs w:val="21"/>
                      <w:vertAlign w:val="baseline"/>
                      <w:lang w:val="en-US" w:eastAsia="zh-CN"/>
                    </w:rPr>
                    <w:t>用</w:t>
                  </w:r>
                  <w:r>
                    <w:rPr>
                      <w:rFonts w:hint="eastAsia" w:ascii="Times New Roman" w:hAnsi="Times New Roman" w:eastAsia="宋体" w:cs="Times New Roman"/>
                      <w:kern w:val="0"/>
                      <w:sz w:val="21"/>
                      <w:szCs w:val="21"/>
                      <w:vertAlign w:val="baseline"/>
                      <w:lang w:val="en-US" w:eastAsia="zh-CN"/>
                    </w:rPr>
                    <w:t>过滤棉+活性炭吸附设备进行处理后通过15m排气筒排放</w:t>
                  </w:r>
                </w:p>
              </w:tc>
              <w:tc>
                <w:tcPr>
                  <w:tcW w:w="325" w:type="pct"/>
                  <w:noWrap w:val="0"/>
                  <w:vAlign w:val="center"/>
                </w:tcPr>
                <w:p w14:paraId="50329B5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相符</w:t>
                  </w:r>
                </w:p>
              </w:tc>
            </w:tr>
            <w:tr w14:paraId="75E9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8" w:type="pct"/>
                  <w:noWrap w:val="0"/>
                  <w:vAlign w:val="center"/>
                </w:tcPr>
                <w:p w14:paraId="64B04EC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2</w:t>
                  </w:r>
                </w:p>
              </w:tc>
              <w:tc>
                <w:tcPr>
                  <w:tcW w:w="2834" w:type="pct"/>
                  <w:noWrap w:val="0"/>
                  <w:vAlign w:val="center"/>
                </w:tcPr>
                <w:p w14:paraId="3DF67B1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（九）涂料、油墨、胶粘剂、农药等以VOCs为原料的生产行业的VOCs污染防治技术措施包括：</w:t>
                  </w:r>
                </w:p>
                <w:p w14:paraId="56AD0FC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1.鼓励符合环境标志产品技术要求的水基型、无有机溶剂型、低有机溶剂型的涂料、油墨和胶粘剂等的生产和销售；</w:t>
                  </w:r>
                </w:p>
                <w:p w14:paraId="1CD347F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2.鼓励采用密闭一体化生产技术，并对生产过程中产生的废气分类收集后处理。</w:t>
                  </w:r>
                </w:p>
                <w:p w14:paraId="234103F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p>
              </w:tc>
              <w:tc>
                <w:tcPr>
                  <w:tcW w:w="1491" w:type="pct"/>
                  <w:noWrap w:val="0"/>
                  <w:vAlign w:val="center"/>
                </w:tcPr>
                <w:p w14:paraId="217E8B7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本项目使用</w:t>
                  </w:r>
                  <w:r>
                    <w:rPr>
                      <w:rFonts w:hint="eastAsia" w:cs="Times New Roman"/>
                      <w:kern w:val="0"/>
                      <w:sz w:val="21"/>
                      <w:szCs w:val="21"/>
                      <w:vertAlign w:val="baseline"/>
                      <w:lang w:val="en-US" w:eastAsia="zh-CN"/>
                    </w:rPr>
                    <w:t>树脂漆</w:t>
                  </w:r>
                  <w:r>
                    <w:rPr>
                      <w:rFonts w:hint="eastAsia" w:ascii="Times New Roman" w:hAnsi="Times New Roman" w:eastAsia="宋体" w:cs="Times New Roman"/>
                      <w:kern w:val="0"/>
                      <w:sz w:val="21"/>
                      <w:szCs w:val="21"/>
                      <w:vertAlign w:val="baseline"/>
                      <w:lang w:val="en-US" w:eastAsia="zh-CN"/>
                    </w:rPr>
                    <w:t>进行喷漆，</w:t>
                  </w:r>
                  <w:r>
                    <w:rPr>
                      <w:rFonts w:hint="eastAsia" w:cs="Times New Roman"/>
                      <w:kern w:val="0"/>
                      <w:sz w:val="21"/>
                      <w:szCs w:val="21"/>
                      <w:vertAlign w:val="baseline"/>
                      <w:lang w:val="en-US" w:eastAsia="zh-CN"/>
                    </w:rPr>
                    <w:t>采取密闭空间废气收集措施进行废气处理</w:t>
                  </w:r>
                </w:p>
              </w:tc>
              <w:tc>
                <w:tcPr>
                  <w:tcW w:w="325" w:type="pct"/>
                  <w:noWrap w:val="0"/>
                  <w:vAlign w:val="center"/>
                </w:tcPr>
                <w:p w14:paraId="085CCB6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相符</w:t>
                  </w:r>
                </w:p>
              </w:tc>
            </w:tr>
            <w:tr w14:paraId="7DDB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8" w:type="pct"/>
                  <w:noWrap w:val="0"/>
                  <w:vAlign w:val="center"/>
                </w:tcPr>
                <w:p w14:paraId="278BB6F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3</w:t>
                  </w:r>
                </w:p>
              </w:tc>
              <w:tc>
                <w:tcPr>
                  <w:tcW w:w="2834" w:type="pct"/>
                  <w:noWrap w:val="0"/>
                  <w:vAlign w:val="center"/>
                </w:tcPr>
                <w:p w14:paraId="45B2C00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 xml:space="preserve">（十）在涂装、印刷、粘合、工业清洗等含VOCs产品的使用过程中的 VOCs 污染防治技术措施包括： </w:t>
                  </w:r>
                </w:p>
                <w:p w14:paraId="08E96EB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1、鼓励使用通过环境标志产品认证的环保型涂料、油墨、胶粘剂和清洗剂；2、根据涂装工艺的不同，鼓励使用水性涂料、高固份涂料、粉末涂料、紫外光固化（UV）涂料等环保型涂料；推广采用静电喷涂、淋涂、滚涂、浸涂等高效率的涂装工艺；应尽量避免无VOCs净化、回收措施的露天喷涂作业；3、含VOCs产品的使用过程中，应采取废气收集措施，提高废气收集效率，减少废气的无组织排放与散逸，并对收集后的废气进行回收或处理后达标排放。</w:t>
                  </w:r>
                </w:p>
              </w:tc>
              <w:tc>
                <w:tcPr>
                  <w:tcW w:w="1491" w:type="pct"/>
                  <w:noWrap w:val="0"/>
                  <w:vAlign w:val="center"/>
                </w:tcPr>
                <w:p w14:paraId="79D424C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本项目使用</w:t>
                  </w:r>
                  <w:r>
                    <w:rPr>
                      <w:rFonts w:hint="eastAsia" w:cs="Times New Roman"/>
                      <w:kern w:val="0"/>
                      <w:sz w:val="21"/>
                      <w:szCs w:val="21"/>
                      <w:vertAlign w:val="baseline"/>
                      <w:lang w:val="en-US" w:eastAsia="zh-CN"/>
                    </w:rPr>
                    <w:t>树脂漆</w:t>
                  </w:r>
                  <w:r>
                    <w:rPr>
                      <w:rFonts w:hint="eastAsia" w:ascii="Times New Roman" w:hAnsi="Times New Roman" w:eastAsia="宋体" w:cs="Times New Roman"/>
                      <w:kern w:val="0"/>
                      <w:sz w:val="21"/>
                      <w:szCs w:val="21"/>
                      <w:vertAlign w:val="baseline"/>
                      <w:lang w:val="en-US" w:eastAsia="zh-CN"/>
                    </w:rPr>
                    <w:t>，产生挥发性有机物的工序</w:t>
                  </w:r>
                  <w:r>
                    <w:rPr>
                      <w:rFonts w:hint="eastAsia" w:cs="Times New Roman"/>
                      <w:kern w:val="0"/>
                      <w:sz w:val="21"/>
                      <w:szCs w:val="21"/>
                      <w:vertAlign w:val="baseline"/>
                      <w:lang w:val="en-US" w:eastAsia="zh-CN"/>
                    </w:rPr>
                    <w:t>为</w:t>
                  </w:r>
                  <w:r>
                    <w:rPr>
                      <w:rFonts w:hint="eastAsia" w:ascii="Times New Roman" w:hAnsi="Times New Roman" w:eastAsia="宋体" w:cs="Times New Roman"/>
                      <w:kern w:val="0"/>
                      <w:sz w:val="21"/>
                      <w:szCs w:val="21"/>
                      <w:vertAlign w:val="baseline"/>
                      <w:lang w:val="en-US" w:eastAsia="zh-CN"/>
                    </w:rPr>
                    <w:t>补漆</w:t>
                  </w:r>
                  <w:r>
                    <w:rPr>
                      <w:rFonts w:hint="eastAsia" w:cs="Times New Roman"/>
                      <w:kern w:val="0"/>
                      <w:sz w:val="21"/>
                      <w:szCs w:val="21"/>
                      <w:vertAlign w:val="baseline"/>
                      <w:lang w:val="en-US" w:eastAsia="zh-CN"/>
                    </w:rPr>
                    <w:t>工序</w:t>
                  </w:r>
                  <w:r>
                    <w:rPr>
                      <w:rFonts w:hint="eastAsia" w:ascii="Times New Roman" w:hAnsi="Times New Roman" w:eastAsia="宋体" w:cs="Times New Roman"/>
                      <w:kern w:val="0"/>
                      <w:sz w:val="21"/>
                      <w:szCs w:val="21"/>
                      <w:vertAlign w:val="baseline"/>
                      <w:lang w:val="en-US" w:eastAsia="zh-CN"/>
                    </w:rPr>
                    <w:t>，补漆工序采样过滤棉+活性炭吸附设备进行处理后通过15m排气筒排放，属于</w:t>
                  </w:r>
                  <w:r>
                    <w:rPr>
                      <w:rFonts w:hint="eastAsia" w:cs="Times New Roman"/>
                      <w:kern w:val="0"/>
                      <w:sz w:val="21"/>
                      <w:szCs w:val="21"/>
                      <w:vertAlign w:val="baseline"/>
                      <w:lang w:val="en-US" w:eastAsia="zh-CN"/>
                    </w:rPr>
                    <w:t>有效</w:t>
                  </w:r>
                  <w:r>
                    <w:rPr>
                      <w:rFonts w:hint="eastAsia" w:ascii="Times New Roman" w:hAnsi="Times New Roman" w:eastAsia="宋体" w:cs="Times New Roman"/>
                      <w:kern w:val="0"/>
                      <w:sz w:val="21"/>
                      <w:szCs w:val="21"/>
                      <w:vertAlign w:val="baseline"/>
                      <w:lang w:val="en-US" w:eastAsia="zh-CN"/>
                    </w:rPr>
                    <w:t>处理措施。</w:t>
                  </w:r>
                </w:p>
              </w:tc>
              <w:tc>
                <w:tcPr>
                  <w:tcW w:w="325" w:type="pct"/>
                  <w:noWrap w:val="0"/>
                  <w:vAlign w:val="center"/>
                </w:tcPr>
                <w:p w14:paraId="69DB165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相符</w:t>
                  </w:r>
                </w:p>
              </w:tc>
            </w:tr>
            <w:tr w14:paraId="6A18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8" w:type="pct"/>
                  <w:noWrap w:val="0"/>
                  <w:vAlign w:val="center"/>
                </w:tcPr>
                <w:p w14:paraId="2C9D20B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4</w:t>
                  </w:r>
                </w:p>
              </w:tc>
              <w:tc>
                <w:tcPr>
                  <w:tcW w:w="2834" w:type="pct"/>
                  <w:noWrap w:val="0"/>
                  <w:vAlign w:val="center"/>
                </w:tcPr>
                <w:p w14:paraId="737BED2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（十二）在工业生产过程中鼓励VOCs的回收利用，并优先鼓励在生产系统内回用。</w:t>
                  </w:r>
                </w:p>
                <w:p w14:paraId="672E152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（十三）对于含高浓度VOCs的废气，宜优先采用冷凝回收、吸附回收技术进行回收利用，并辅助以其他治理技术实现达标排放。</w:t>
                  </w:r>
                </w:p>
                <w:p w14:paraId="56A231C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（十四）对于含中等浓度VOCs的废气，可采用吸附技术回收有机溶剂，或采用催化燃烧和热力焚烧技术净化后达标排放。当采用催化燃烧和热力焚烧技术进行净化时，应进行余热回收利用。</w:t>
                  </w:r>
                </w:p>
                <w:p w14:paraId="150493F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十五）对于含低浓度VOCs的废气，有回收价值时可采用吸附技术、吸收技术对有机溶剂回收后达标排放；不宜回收时，可采用吸附浓缩燃烧技术、生物技术、吸收技术、等离子体技术或紫外光高级氧化技术等净化后达标排放。</w:t>
                  </w:r>
                </w:p>
                <w:p w14:paraId="75CCF64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（十六）含有有机卤素成分VOCs的废气，宜采用非焚烧技术处理。</w:t>
                  </w:r>
                </w:p>
                <w:p w14:paraId="661EA19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十七）恶臭气体污染源可采用生物技术、等离子体技术、吸附技术、吸收技术、紫外光高级氧化技术或组合技术等进行净化。净化后的恶臭气体除满足达标排放的要求外，还应采取高空排放等措施，避免产生扰民问题。</w:t>
                  </w:r>
                </w:p>
                <w:p w14:paraId="0D1BF6A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（十八）在餐饮服务业推广使用具有油雾回收功能的油烟抽排装置，并根据规模、场地和气候条件等采用高效油烟与VOCs净化装置净化后达标排放。</w:t>
                  </w:r>
                </w:p>
                <w:p w14:paraId="5959BE7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（十九）严格控制VOCs处理过程中产生的二次污染，对于催化燃烧和热力焚烧过程中产生的含硫、氮、氯等无机废气，以及吸附、吸收、冷凝、生物等治理过程中所产生的含有机物废水，应处理后达标排放。</w:t>
                  </w:r>
                </w:p>
                <w:p w14:paraId="776FA9D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（二十）对于不能再生的过滤材料、吸附剂及催化剂等净化材料，应按照国家固体废物管理的相关规定处理处置。</w:t>
                  </w:r>
                </w:p>
              </w:tc>
              <w:tc>
                <w:tcPr>
                  <w:tcW w:w="1491" w:type="pct"/>
                  <w:noWrap w:val="0"/>
                  <w:vAlign w:val="center"/>
                </w:tcPr>
                <w:p w14:paraId="14B23E1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本项目挥发性有机物主要是</w:t>
                  </w:r>
                  <w:r>
                    <w:rPr>
                      <w:rFonts w:hint="eastAsia" w:cs="Times New Roman"/>
                      <w:kern w:val="0"/>
                      <w:sz w:val="21"/>
                      <w:szCs w:val="21"/>
                      <w:vertAlign w:val="baseline"/>
                      <w:lang w:val="en-US" w:eastAsia="zh-CN"/>
                    </w:rPr>
                    <w:t>补</w:t>
                  </w:r>
                  <w:r>
                    <w:rPr>
                      <w:rFonts w:hint="eastAsia" w:ascii="Times New Roman" w:hAnsi="Times New Roman" w:eastAsia="宋体" w:cs="Times New Roman"/>
                      <w:kern w:val="0"/>
                      <w:sz w:val="21"/>
                      <w:szCs w:val="21"/>
                      <w:vertAlign w:val="baseline"/>
                      <w:lang w:val="en-US" w:eastAsia="zh-CN"/>
                    </w:rPr>
                    <w:t>漆工序，</w:t>
                  </w:r>
                  <w:r>
                    <w:rPr>
                      <w:rFonts w:hint="eastAsia" w:cs="Times New Roman"/>
                      <w:kern w:val="0"/>
                      <w:sz w:val="21"/>
                      <w:szCs w:val="21"/>
                      <w:vertAlign w:val="baseline"/>
                      <w:lang w:val="en-US" w:eastAsia="zh-CN"/>
                    </w:rPr>
                    <w:t>补漆工序采样</w:t>
                  </w:r>
                  <w:r>
                    <w:rPr>
                      <w:rFonts w:hint="eastAsia" w:ascii="Times New Roman" w:hAnsi="Times New Roman" w:eastAsia="宋体" w:cs="Times New Roman"/>
                      <w:kern w:val="0"/>
                      <w:sz w:val="21"/>
                      <w:szCs w:val="21"/>
                      <w:vertAlign w:val="baseline"/>
                      <w:lang w:val="en-US" w:eastAsia="zh-CN"/>
                    </w:rPr>
                    <w:t>过滤棉+活性炭吸附设备进行处理后通过15m排气筒排放，废活性炭集中收集后委托有资质单位进行处理</w:t>
                  </w:r>
                </w:p>
              </w:tc>
              <w:tc>
                <w:tcPr>
                  <w:tcW w:w="325" w:type="pct"/>
                  <w:noWrap w:val="0"/>
                  <w:vAlign w:val="center"/>
                </w:tcPr>
                <w:p w14:paraId="1BB4F89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相符</w:t>
                  </w:r>
                </w:p>
              </w:tc>
            </w:tr>
            <w:tr w14:paraId="387F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8" w:type="pct"/>
                  <w:noWrap w:val="0"/>
                  <w:vAlign w:val="center"/>
                </w:tcPr>
                <w:p w14:paraId="0DBFB0B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5</w:t>
                  </w:r>
                </w:p>
              </w:tc>
              <w:tc>
                <w:tcPr>
                  <w:tcW w:w="2834" w:type="pct"/>
                  <w:noWrap w:val="0"/>
                  <w:vAlign w:val="center"/>
                </w:tcPr>
                <w:p w14:paraId="75B8204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（二十五）鼓励企业自行开展VOCs监测，并及时主动向当地环保行政主管部门报送监测结果。</w:t>
                  </w:r>
                </w:p>
                <w:p w14:paraId="217E3E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（二十六）企业应建立健全VOCs治理设施的运行维护规程和台帐等日常管理制度，并根据工艺要求定期对各类设备、电气、自控仪表等进行检修维护，确保设施的稳定运行。</w:t>
                  </w:r>
                </w:p>
                <w:p w14:paraId="4097178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（二十七）当采用吸附回收（浓缩）、催化燃烧、热力焚烧、等离子体等方法进行末端治理时，应编制本单位事故火灾、爆炸等应急救援预案，配备应急救援人员和器材，并开展应急演练。</w:t>
                  </w:r>
                </w:p>
                <w:p w14:paraId="51DAD10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kern w:val="0"/>
                      <w:sz w:val="21"/>
                      <w:szCs w:val="21"/>
                      <w:vertAlign w:val="baseline"/>
                      <w:lang w:val="en-US" w:eastAsia="zh-CN"/>
                    </w:rPr>
                  </w:pPr>
                </w:p>
              </w:tc>
              <w:tc>
                <w:tcPr>
                  <w:tcW w:w="1491" w:type="pct"/>
                  <w:noWrap w:val="0"/>
                  <w:vAlign w:val="center"/>
                </w:tcPr>
                <w:p w14:paraId="1208E7E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项目建成后将制定监测计划并建立环境管理的相关台账要求</w:t>
                  </w:r>
                </w:p>
              </w:tc>
              <w:tc>
                <w:tcPr>
                  <w:tcW w:w="325" w:type="pct"/>
                  <w:noWrap w:val="0"/>
                  <w:vAlign w:val="center"/>
                </w:tcPr>
                <w:p w14:paraId="23F068E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kern w:val="0"/>
                      <w:sz w:val="21"/>
                      <w:szCs w:val="21"/>
                      <w:vertAlign w:val="baseline"/>
                      <w:lang w:val="en-US" w:eastAsia="zh-CN"/>
                    </w:rPr>
                  </w:pPr>
                  <w:r>
                    <w:rPr>
                      <w:rFonts w:hint="eastAsia" w:ascii="Times New Roman" w:hAnsi="Times New Roman" w:eastAsia="宋体" w:cs="Times New Roman"/>
                      <w:kern w:val="0"/>
                      <w:sz w:val="21"/>
                      <w:szCs w:val="21"/>
                      <w:vertAlign w:val="baseline"/>
                      <w:lang w:val="en-US" w:eastAsia="zh-CN"/>
                    </w:rPr>
                    <w:t>相符</w:t>
                  </w:r>
                </w:p>
              </w:tc>
            </w:tr>
          </w:tbl>
          <w:p w14:paraId="24815CC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jc w:val="both"/>
              <w:textAlignment w:val="auto"/>
              <w:rPr>
                <w:rFonts w:hint="default" w:ascii="宋体" w:hAnsi="宋体" w:eastAsia="宋体" w:cs="宋体"/>
                <w:b w:val="0"/>
                <w:bCs w:val="0"/>
                <w:color w:val="000000"/>
                <w:kern w:val="0"/>
                <w:sz w:val="24"/>
                <w:szCs w:val="24"/>
                <w:u w:val="single"/>
                <w:lang w:val="en-US" w:eastAsia="zh-CN" w:bidi="ar"/>
              </w:rPr>
            </w:pPr>
            <w:r>
              <w:rPr>
                <w:rFonts w:hint="eastAsia" w:ascii="Times New Roman" w:hAnsi="Times New Roman" w:eastAsia="宋体" w:cs="Times New Roman"/>
                <w:b w:val="0"/>
                <w:bCs w:val="0"/>
                <w:kern w:val="0"/>
                <w:sz w:val="24"/>
                <w:szCs w:val="24"/>
                <w:u w:val="none"/>
                <w:lang w:val="en-US" w:eastAsia="zh-CN"/>
              </w:rPr>
              <w:t>综上所述，项目采取的挥发性有机物防治措施符合《挥发性有机物VOCs污染防治技术政策》。</w:t>
            </w:r>
          </w:p>
          <w:p w14:paraId="4CF74876">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lang w:val="en-US" w:eastAsia="zh-CN" w:bidi="ar-SA"/>
              </w:rPr>
            </w:pPr>
          </w:p>
          <w:p w14:paraId="5E25EB43">
            <w:pPr>
              <w:keepNext w:val="0"/>
              <w:keepLines w:val="0"/>
              <w:suppressLineNumbers w:val="0"/>
              <w:spacing w:before="0" w:beforeAutospacing="0" w:after="0" w:afterAutospacing="0"/>
              <w:ind w:left="0" w:right="0"/>
              <w:rPr>
                <w:rFonts w:hint="eastAsia"/>
                <w:color w:val="auto"/>
                <w:szCs w:val="21"/>
              </w:rPr>
            </w:pPr>
          </w:p>
        </w:tc>
      </w:tr>
    </w:tbl>
    <w:p w14:paraId="5DBF84B4">
      <w:pPr>
        <w:spacing w:line="360" w:lineRule="auto"/>
        <w:ind w:firstLine="600"/>
        <w:outlineLvl w:val="0"/>
        <w:rPr>
          <w:rFonts w:eastAsia="黑体"/>
          <w:snapToGrid w:val="0"/>
          <w:color w:val="auto"/>
          <w:kern w:val="0"/>
          <w:sz w:val="30"/>
        </w:rPr>
        <w:sectPr>
          <w:footerReference r:id="rId4" w:type="default"/>
          <w:pgSz w:w="11906" w:h="16838"/>
          <w:pgMar w:top="1134" w:right="1440" w:bottom="1134" w:left="1440" w:header="851" w:footer="1077" w:gutter="0"/>
          <w:pgNumType w:fmt="decimal" w:start="1"/>
          <w:cols w:space="720" w:num="1"/>
          <w:docGrid w:linePitch="312" w:charSpace="0"/>
        </w:sectPr>
      </w:pPr>
    </w:p>
    <w:p w14:paraId="20872D94">
      <w:pPr>
        <w:pStyle w:val="20"/>
        <w:spacing w:before="105" w:beforeAutospacing="0" w:after="0" w:afterAutospacing="0" w:line="360" w:lineRule="auto"/>
        <w:jc w:val="center"/>
        <w:outlineLvl w:val="0"/>
        <w:rPr>
          <w:rFonts w:ascii="Times New Roman" w:hAnsi="Times New Roman"/>
          <w:b/>
          <w:bCs/>
          <w:snapToGrid w:val="0"/>
          <w:color w:val="auto"/>
          <w:sz w:val="30"/>
          <w:szCs w:val="30"/>
        </w:rPr>
      </w:pPr>
      <w:bookmarkStart w:id="4" w:name="_Toc72704840"/>
      <w:bookmarkStart w:id="5" w:name="_Toc1773"/>
      <w:r>
        <w:rPr>
          <w:rFonts w:ascii="Times New Roman" w:hAnsi="Times New Roman"/>
          <w:b/>
          <w:bCs/>
          <w:snapToGrid w:val="0"/>
          <w:color w:val="auto"/>
          <w:sz w:val="30"/>
          <w:szCs w:val="30"/>
        </w:rPr>
        <w:t>二、建设项目工程分析</w:t>
      </w:r>
      <w:bookmarkEnd w:id="4"/>
      <w:bookmarkEnd w:id="5"/>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353"/>
      </w:tblGrid>
      <w:tr w14:paraId="7AD21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740DF181">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建设内容</w:t>
            </w:r>
          </w:p>
        </w:tc>
        <w:tc>
          <w:tcPr>
            <w:tcW w:w="8353" w:type="dxa"/>
            <w:noWrap w:val="0"/>
            <w:vAlign w:val="top"/>
          </w:tcPr>
          <w:p w14:paraId="1978CBD6">
            <w:pPr>
              <w:pStyle w:val="109"/>
              <w:keepNext w:val="0"/>
              <w:keepLines w:val="0"/>
              <w:suppressLineNumbers w:val="0"/>
              <w:spacing w:before="157" w:beforeLines="50" w:beforeAutospacing="0" w:after="0" w:afterAutospacing="0"/>
              <w:ind w:left="0" w:right="0" w:firstLine="482" w:firstLineChars="0"/>
              <w:rPr>
                <w:rFonts w:hint="eastAsia" w:hAnsi="Times New Roman" w:eastAsia="宋体"/>
                <w:b/>
                <w:snapToGrid w:val="0"/>
                <w:color w:val="auto"/>
                <w:u w:val="none"/>
                <w:lang w:eastAsia="zh-CN"/>
              </w:rPr>
            </w:pPr>
            <w:r>
              <w:rPr>
                <w:rFonts w:hint="default" w:hAnsi="Times New Roman" w:eastAsia="Times New Roman"/>
                <w:b/>
                <w:snapToGrid w:val="0"/>
                <w:color w:val="auto"/>
                <w:u w:val="none"/>
              </w:rPr>
              <w:t>1</w:t>
            </w:r>
            <w:r>
              <w:rPr>
                <w:rFonts w:hint="eastAsia" w:hAnsi="Times New Roman"/>
                <w:b/>
                <w:snapToGrid w:val="0"/>
                <w:color w:val="auto"/>
                <w:u w:val="none"/>
              </w:rPr>
              <w:t>、</w:t>
            </w:r>
            <w:r>
              <w:rPr>
                <w:rFonts w:hint="eastAsia" w:hAnsi="Times New Roman"/>
                <w:b/>
                <w:snapToGrid w:val="0"/>
                <w:color w:val="auto"/>
                <w:u w:val="none"/>
                <w:lang w:val="en-US" w:eastAsia="zh-CN"/>
              </w:rPr>
              <w:t>项目由来</w:t>
            </w:r>
          </w:p>
          <w:p w14:paraId="21BEE1F1">
            <w:pPr>
              <w:pStyle w:val="109"/>
              <w:keepNext w:val="0"/>
              <w:keepLines w:val="0"/>
              <w:suppressLineNumbers w:val="0"/>
              <w:spacing w:before="0" w:beforeAutospacing="0" w:after="0" w:afterAutospacing="0"/>
              <w:ind w:left="0" w:right="0" w:firstLine="480"/>
              <w:rPr>
                <w:rFonts w:hint="default" w:hAnsi="Times New Roman" w:eastAsia="宋体"/>
                <w:color w:val="auto"/>
                <w:u w:val="none"/>
                <w:lang w:val="en-US" w:eastAsia="zh-CN"/>
              </w:rPr>
            </w:pPr>
            <w:r>
              <w:rPr>
                <w:rFonts w:hint="eastAsia" w:hAnsi="Times New Roman"/>
                <w:color w:val="auto"/>
                <w:u w:val="none"/>
                <w:lang w:eastAsia="zh-CN"/>
              </w:rPr>
              <w:t>醴陵市浦诺森自动化设备有限公司成立于2023年07月13日，位于醴陵市浦口镇浦口村，</w:t>
            </w:r>
            <w:r>
              <w:rPr>
                <w:rFonts w:hint="eastAsia" w:hAnsi="Times New Roman"/>
                <w:color w:val="auto"/>
                <w:u w:val="none"/>
                <w:lang w:val="en-US" w:eastAsia="zh-CN"/>
              </w:rPr>
              <w:t>公司总投资</w:t>
            </w:r>
            <w:r>
              <w:rPr>
                <w:rFonts w:hint="eastAsia" w:hAnsi="Times New Roman"/>
                <w:color w:val="auto"/>
                <w:highlight w:val="none"/>
                <w:u w:val="none"/>
                <w:lang w:val="en-US" w:eastAsia="zh-CN"/>
              </w:rPr>
              <w:t>300万</w:t>
            </w:r>
            <w:r>
              <w:rPr>
                <w:rFonts w:hint="eastAsia" w:hAnsi="Times New Roman"/>
                <w:color w:val="auto"/>
                <w:u w:val="none"/>
                <w:lang w:val="en-US" w:eastAsia="zh-CN"/>
              </w:rPr>
              <w:t>元，建设花炮机械、布袋除尘器生产加工项目，目前项目所在地已建设空厂房。</w:t>
            </w:r>
          </w:p>
          <w:p w14:paraId="7BED412E">
            <w:pPr>
              <w:pStyle w:val="109"/>
              <w:keepNext w:val="0"/>
              <w:keepLines w:val="0"/>
              <w:suppressLineNumbers w:val="0"/>
              <w:spacing w:before="0" w:beforeAutospacing="0" w:after="0" w:afterAutospacing="0"/>
              <w:ind w:left="0" w:right="0" w:firstLine="480"/>
              <w:rPr>
                <w:rFonts w:hint="eastAsia" w:hAnsi="Times New Roman"/>
                <w:color w:val="auto"/>
                <w:u w:val="none"/>
              </w:rPr>
            </w:pPr>
            <w:r>
              <w:rPr>
                <w:rFonts w:hint="eastAsia" w:hAnsi="Times New Roman"/>
                <w:color w:val="auto"/>
                <w:u w:val="none"/>
              </w:rPr>
              <w:t>根据《中华人民共和国环境保护法》、《中华人民共和国环境影响评价法》、《建设项目环境保护管理条例》（国务院第682号令）、《建设项目环境影响评价分类管理名录》（2021年版）相关规定，本项目</w:t>
            </w:r>
            <w:r>
              <w:rPr>
                <w:rFonts w:hint="eastAsia" w:hAnsi="Times New Roman"/>
                <w:color w:val="auto"/>
                <w:u w:val="none"/>
                <w:lang w:val="en-US" w:eastAsia="zh-CN"/>
              </w:rPr>
              <w:t>属于“84、其他未列明制造业”中“年用溶剂型涂料（含稀释剂）10吨及以上的，或年用非溶剂型低VOCs含量涂料10吨以下的”、“70.环保、邮政、社会公共服务及其他专用设备制造”中“其他（仅分割、焊接、组装的除外；年用非溶剂型低VOCs含量涂料10吨以下的除外）”，</w:t>
            </w:r>
            <w:r>
              <w:rPr>
                <w:rFonts w:hint="eastAsia" w:hAnsi="Times New Roman"/>
                <w:color w:val="auto"/>
                <w:u w:val="none"/>
              </w:rPr>
              <w:t>需编制环境影响报告表。</w:t>
            </w:r>
          </w:p>
          <w:p w14:paraId="32BEBBAF">
            <w:pPr>
              <w:pStyle w:val="109"/>
              <w:keepNext w:val="0"/>
              <w:keepLines w:val="0"/>
              <w:suppressLineNumbers w:val="0"/>
              <w:spacing w:before="0" w:beforeLines="-2147483648" w:beforeAutospacing="0" w:after="0" w:afterAutospacing="0"/>
              <w:ind w:left="0" w:right="0" w:firstLine="480" w:firstLineChars="0"/>
              <w:rPr>
                <w:rFonts w:hint="default" w:hAnsi="Times New Roman"/>
                <w:b/>
                <w:bCs/>
                <w:color w:val="auto"/>
                <w:u w:val="none"/>
                <w:lang w:val="en-US" w:eastAsia="zh-CN"/>
              </w:rPr>
            </w:pPr>
            <w:r>
              <w:rPr>
                <w:rFonts w:hint="eastAsia" w:hAnsi="Times New Roman"/>
                <w:b/>
                <w:bCs/>
                <w:color w:val="auto"/>
                <w:u w:val="none"/>
                <w:lang w:val="en-US" w:eastAsia="zh-CN"/>
              </w:rPr>
              <w:t>2、项目建设内容概况</w:t>
            </w:r>
          </w:p>
          <w:p w14:paraId="7509AC07">
            <w:pPr>
              <w:pStyle w:val="109"/>
              <w:keepNext w:val="0"/>
              <w:keepLines w:val="0"/>
              <w:suppressLineNumbers w:val="0"/>
              <w:spacing w:before="0" w:beforeAutospacing="0" w:after="0" w:afterAutospacing="0"/>
              <w:ind w:left="0" w:right="0" w:firstLine="480"/>
              <w:rPr>
                <w:rFonts w:hint="eastAsia" w:hAnsi="Times New Roman"/>
                <w:color w:val="auto"/>
                <w:u w:val="none"/>
                <w:lang w:val="en-US" w:eastAsia="zh-CN"/>
              </w:rPr>
            </w:pPr>
            <w:r>
              <w:rPr>
                <w:rFonts w:hint="eastAsia" w:hAnsi="Times New Roman"/>
                <w:color w:val="auto"/>
                <w:u w:val="none"/>
                <w:lang w:val="en-US" w:eastAsia="zh-CN"/>
              </w:rPr>
              <w:t>根据业主提供资料，本项目建设生产厂房1栋，占地面3000㎡，办公楼1栋，占地面积90㎡。</w:t>
            </w:r>
          </w:p>
          <w:p w14:paraId="34647516">
            <w:pPr>
              <w:pStyle w:val="109"/>
              <w:keepNext w:val="0"/>
              <w:keepLines w:val="0"/>
              <w:suppressLineNumbers w:val="0"/>
              <w:spacing w:before="0" w:beforeAutospacing="0" w:after="0" w:afterAutospacing="0"/>
              <w:ind w:left="0" w:right="0" w:firstLine="480"/>
              <w:rPr>
                <w:rFonts w:hint="default" w:hAnsi="Times New Roman"/>
                <w:color w:val="auto"/>
                <w:u w:val="none"/>
                <w:lang w:val="en-US" w:eastAsia="zh-CN"/>
              </w:rPr>
            </w:pPr>
            <w:r>
              <w:rPr>
                <w:rFonts w:hint="default" w:hAnsi="Times New Roman"/>
                <w:color w:val="auto"/>
                <w:u w:val="none"/>
                <w:lang w:val="en-US" w:eastAsia="zh-CN"/>
              </w:rPr>
              <w:t>项目工程内容、构筑物一览见下表。</w:t>
            </w:r>
          </w:p>
          <w:p w14:paraId="096F8301">
            <w:pPr>
              <w:pStyle w:val="109"/>
              <w:keepNext w:val="0"/>
              <w:keepLines w:val="0"/>
              <w:suppressLineNumbers w:val="0"/>
              <w:spacing w:before="0" w:beforeAutospacing="0" w:after="0" w:afterAutospacing="0"/>
              <w:ind w:left="0" w:right="0" w:firstLine="480"/>
              <w:jc w:val="center"/>
              <w:rPr>
                <w:rFonts w:hint="default" w:eastAsia="宋体"/>
                <w:b/>
                <w:bCs/>
                <w:color w:val="auto"/>
                <w:sz w:val="21"/>
                <w:szCs w:val="21"/>
                <w:highlight w:val="yellow"/>
                <w:u w:val="none"/>
                <w:lang w:eastAsia="zh-CN"/>
              </w:rPr>
            </w:pPr>
            <w:r>
              <w:rPr>
                <w:rFonts w:hint="default"/>
                <w:b/>
                <w:bCs/>
                <w:color w:val="auto"/>
                <w:sz w:val="21"/>
                <w:szCs w:val="21"/>
                <w:highlight w:val="none"/>
                <w:u w:val="none"/>
              </w:rPr>
              <w:t>表2-</w:t>
            </w:r>
            <w:r>
              <w:rPr>
                <w:rFonts w:hint="eastAsia"/>
                <w:b/>
                <w:bCs/>
                <w:color w:val="auto"/>
                <w:sz w:val="21"/>
                <w:szCs w:val="21"/>
                <w:highlight w:val="none"/>
                <w:u w:val="none"/>
                <w:lang w:val="en-US" w:eastAsia="zh-CN"/>
              </w:rPr>
              <w:t>1</w:t>
            </w:r>
            <w:r>
              <w:rPr>
                <w:rFonts w:hint="default"/>
                <w:b/>
                <w:bCs/>
                <w:color w:val="auto"/>
                <w:sz w:val="21"/>
                <w:szCs w:val="21"/>
                <w:highlight w:val="none"/>
                <w:u w:val="none"/>
              </w:rPr>
              <w:t xml:space="preserve"> 项目组成及工程内容一览表</w:t>
            </w:r>
          </w:p>
          <w:tbl>
            <w:tblPr>
              <w:tblStyle w:val="24"/>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382"/>
              <w:gridCol w:w="1309"/>
              <w:gridCol w:w="5059"/>
              <w:gridCol w:w="716"/>
            </w:tblGrid>
            <w:tr w14:paraId="3E02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45" w:type="pct"/>
                  <w:gridSpan w:val="3"/>
                  <w:noWrap w:val="0"/>
                  <w:tcMar>
                    <w:top w:w="57" w:type="dxa"/>
                    <w:left w:w="108" w:type="dxa"/>
                    <w:bottom w:w="57" w:type="dxa"/>
                    <w:right w:w="108" w:type="dxa"/>
                  </w:tcMar>
                  <w:vAlign w:val="center"/>
                </w:tcPr>
                <w:p w14:paraId="72CC1BA8">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val="0"/>
                      <w:color w:val="auto"/>
                      <w:sz w:val="21"/>
                      <w:szCs w:val="21"/>
                      <w:u w:val="none"/>
                    </w:rPr>
                  </w:pPr>
                  <w:r>
                    <w:rPr>
                      <w:rFonts w:hint="default" w:ascii="Times New Roman" w:hAnsi="Times New Roman" w:cs="Times New Roman"/>
                      <w:b/>
                      <w:bCs w:val="0"/>
                      <w:color w:val="auto"/>
                      <w:sz w:val="21"/>
                      <w:szCs w:val="21"/>
                      <w:u w:val="none"/>
                    </w:rPr>
                    <w:t>项目组成</w:t>
                  </w:r>
                </w:p>
              </w:tc>
              <w:tc>
                <w:tcPr>
                  <w:tcW w:w="3113" w:type="pct"/>
                  <w:noWrap w:val="0"/>
                  <w:tcMar>
                    <w:top w:w="57" w:type="dxa"/>
                    <w:left w:w="108" w:type="dxa"/>
                    <w:bottom w:w="57" w:type="dxa"/>
                    <w:right w:w="108" w:type="dxa"/>
                  </w:tcMar>
                  <w:vAlign w:val="center"/>
                </w:tcPr>
                <w:p w14:paraId="6FB46DE1">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val="0"/>
                      <w:color w:val="auto"/>
                      <w:sz w:val="21"/>
                      <w:szCs w:val="21"/>
                      <w:u w:val="none"/>
                    </w:rPr>
                  </w:pPr>
                  <w:r>
                    <w:rPr>
                      <w:rFonts w:hint="eastAsia" w:ascii="Times New Roman" w:hAnsi="Times New Roman" w:cs="Times New Roman"/>
                      <w:b/>
                      <w:bCs w:val="0"/>
                      <w:color w:val="auto"/>
                      <w:sz w:val="21"/>
                      <w:szCs w:val="21"/>
                      <w:u w:val="none"/>
                    </w:rPr>
                    <w:t>工程建设内容及规模</w:t>
                  </w:r>
                </w:p>
              </w:tc>
              <w:tc>
                <w:tcPr>
                  <w:tcW w:w="440" w:type="pct"/>
                  <w:noWrap w:val="0"/>
                  <w:tcMar>
                    <w:top w:w="57" w:type="dxa"/>
                    <w:left w:w="108" w:type="dxa"/>
                    <w:bottom w:w="57" w:type="dxa"/>
                    <w:right w:w="108" w:type="dxa"/>
                  </w:tcMar>
                  <w:vAlign w:val="center"/>
                </w:tcPr>
                <w:p w14:paraId="26F5396D">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val="0"/>
                      <w:color w:val="auto"/>
                      <w:sz w:val="21"/>
                      <w:szCs w:val="21"/>
                      <w:u w:val="none"/>
                    </w:rPr>
                  </w:pPr>
                  <w:r>
                    <w:rPr>
                      <w:rFonts w:hint="default" w:ascii="Times New Roman" w:hAnsi="Times New Roman" w:cs="Times New Roman"/>
                      <w:b/>
                      <w:bCs w:val="0"/>
                      <w:color w:val="auto"/>
                      <w:sz w:val="21"/>
                      <w:szCs w:val="21"/>
                      <w:u w:val="none"/>
                    </w:rPr>
                    <w:t>备注</w:t>
                  </w:r>
                </w:p>
              </w:tc>
            </w:tr>
            <w:tr w14:paraId="0CA7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noWrap w:val="0"/>
                  <w:tcMar>
                    <w:top w:w="57" w:type="dxa"/>
                    <w:left w:w="108" w:type="dxa"/>
                    <w:bottom w:w="57" w:type="dxa"/>
                    <w:right w:w="108" w:type="dxa"/>
                  </w:tcMar>
                  <w:vAlign w:val="center"/>
                </w:tcPr>
                <w:p w14:paraId="5CA4F4D7">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主体工程</w:t>
                  </w:r>
                </w:p>
              </w:tc>
              <w:tc>
                <w:tcPr>
                  <w:tcW w:w="1040" w:type="pct"/>
                  <w:gridSpan w:val="2"/>
                  <w:noWrap w:val="0"/>
                  <w:tcMar>
                    <w:top w:w="57" w:type="dxa"/>
                    <w:left w:w="108" w:type="dxa"/>
                    <w:bottom w:w="57" w:type="dxa"/>
                    <w:right w:w="108" w:type="dxa"/>
                  </w:tcMar>
                  <w:vAlign w:val="center"/>
                </w:tcPr>
                <w:p w14:paraId="22B042C1">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hAnsi="Times New Roman" w:cs="Times New Roman"/>
                      <w:color w:val="auto"/>
                      <w:sz w:val="21"/>
                      <w:szCs w:val="21"/>
                      <w:u w:val="none"/>
                      <w:lang w:val="en-US" w:eastAsia="zh-CN"/>
                    </w:rPr>
                    <w:t>生产厂房</w:t>
                  </w:r>
                </w:p>
              </w:tc>
              <w:tc>
                <w:tcPr>
                  <w:tcW w:w="3113" w:type="pct"/>
                  <w:noWrap w:val="0"/>
                  <w:tcMar>
                    <w:top w:w="57" w:type="dxa"/>
                    <w:left w:w="108" w:type="dxa"/>
                    <w:bottom w:w="57" w:type="dxa"/>
                    <w:right w:w="108" w:type="dxa"/>
                  </w:tcMar>
                  <w:vAlign w:val="center"/>
                </w:tcPr>
                <w:p w14:paraId="218C77B0">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u w:val="none"/>
                      <w:vertAlign w:val="baseline"/>
                      <w:lang w:val="en-US" w:eastAsia="zh-CN"/>
                    </w:rPr>
                  </w:pPr>
                  <w:r>
                    <w:rPr>
                      <w:rFonts w:hint="eastAsia" w:hAnsi="Times New Roman" w:cs="Times New Roman"/>
                      <w:color w:val="auto"/>
                      <w:sz w:val="21"/>
                      <w:szCs w:val="21"/>
                      <w:highlight w:val="none"/>
                      <w:u w:val="none"/>
                      <w:vertAlign w:val="baseline"/>
                      <w:lang w:val="en-US" w:eastAsia="zh-CN"/>
                    </w:rPr>
                    <w:t>占地面积2850㎡，共1层，设切割区、焊接区、机加工/组装区、喷漆区、成品储存区、办公区</w:t>
                  </w:r>
                </w:p>
              </w:tc>
              <w:tc>
                <w:tcPr>
                  <w:tcW w:w="440" w:type="pct"/>
                  <w:noWrap w:val="0"/>
                  <w:tcMar>
                    <w:top w:w="57" w:type="dxa"/>
                    <w:left w:w="108" w:type="dxa"/>
                    <w:bottom w:w="57" w:type="dxa"/>
                    <w:right w:w="108" w:type="dxa"/>
                  </w:tcMar>
                  <w:vAlign w:val="center"/>
                </w:tcPr>
                <w:p w14:paraId="4DC1B855">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hAnsi="Times New Roman" w:cs="Times New Roman"/>
                      <w:color w:val="auto"/>
                      <w:sz w:val="21"/>
                      <w:szCs w:val="21"/>
                      <w:u w:val="none"/>
                      <w:lang w:val="en-US" w:eastAsia="zh-CN"/>
                    </w:rPr>
                    <w:t>新建</w:t>
                  </w:r>
                </w:p>
              </w:tc>
            </w:tr>
            <w:tr w14:paraId="0D8B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restart"/>
                  <w:noWrap w:val="0"/>
                  <w:tcMar>
                    <w:top w:w="57" w:type="dxa"/>
                    <w:left w:w="108" w:type="dxa"/>
                    <w:bottom w:w="57" w:type="dxa"/>
                    <w:right w:w="108" w:type="dxa"/>
                  </w:tcMar>
                  <w:vAlign w:val="center"/>
                </w:tcPr>
                <w:p w14:paraId="231113FA">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辅助工程</w:t>
                  </w:r>
                </w:p>
              </w:tc>
              <w:tc>
                <w:tcPr>
                  <w:tcW w:w="1040" w:type="pct"/>
                  <w:gridSpan w:val="2"/>
                  <w:noWrap w:val="0"/>
                  <w:tcMar>
                    <w:top w:w="57" w:type="dxa"/>
                    <w:left w:w="108" w:type="dxa"/>
                    <w:bottom w:w="57" w:type="dxa"/>
                    <w:right w:w="108" w:type="dxa"/>
                  </w:tcMar>
                  <w:vAlign w:val="center"/>
                </w:tcPr>
                <w:p w14:paraId="470C99F8">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办公</w:t>
                  </w:r>
                  <w:r>
                    <w:rPr>
                      <w:rFonts w:hint="eastAsia" w:hAnsi="Times New Roman" w:cs="Times New Roman"/>
                      <w:color w:val="auto"/>
                      <w:sz w:val="21"/>
                      <w:szCs w:val="21"/>
                      <w:u w:val="none"/>
                      <w:lang w:val="en-US" w:eastAsia="zh-CN"/>
                    </w:rPr>
                    <w:t>区</w:t>
                  </w:r>
                </w:p>
              </w:tc>
              <w:tc>
                <w:tcPr>
                  <w:tcW w:w="3113" w:type="pct"/>
                  <w:noWrap w:val="0"/>
                  <w:tcMar>
                    <w:top w:w="57" w:type="dxa"/>
                    <w:left w:w="108" w:type="dxa"/>
                    <w:bottom w:w="57" w:type="dxa"/>
                    <w:right w:w="108" w:type="dxa"/>
                  </w:tcMar>
                  <w:vAlign w:val="center"/>
                </w:tcPr>
                <w:p w14:paraId="3107555E">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highlight w:val="none"/>
                      <w:u w:val="none"/>
                      <w:vertAlign w:val="baseline"/>
                      <w:lang w:val="en-US" w:eastAsia="zh-CN"/>
                    </w:rPr>
                  </w:pPr>
                  <w:r>
                    <w:rPr>
                      <w:rFonts w:hint="eastAsia" w:hAnsi="Times New Roman" w:cs="Times New Roman"/>
                      <w:color w:val="auto"/>
                      <w:sz w:val="21"/>
                      <w:szCs w:val="21"/>
                      <w:highlight w:val="none"/>
                      <w:u w:val="none"/>
                      <w:vertAlign w:val="baseline"/>
                      <w:lang w:val="en-US" w:eastAsia="zh-CN"/>
                    </w:rPr>
                    <w:t>位于生产车间北侧，面积约150㎡，用于员工办公</w:t>
                  </w:r>
                </w:p>
              </w:tc>
              <w:tc>
                <w:tcPr>
                  <w:tcW w:w="440" w:type="pct"/>
                  <w:noWrap w:val="0"/>
                  <w:tcMar>
                    <w:top w:w="57" w:type="dxa"/>
                    <w:left w:w="108" w:type="dxa"/>
                    <w:bottom w:w="57" w:type="dxa"/>
                    <w:right w:w="108" w:type="dxa"/>
                  </w:tcMar>
                  <w:vAlign w:val="center"/>
                </w:tcPr>
                <w:p w14:paraId="3BFB11D2">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sz w:val="21"/>
                      <w:szCs w:val="21"/>
                      <w:u w:val="none"/>
                      <w:lang w:val="en-US" w:eastAsia="zh-CN"/>
                    </w:rPr>
                  </w:pPr>
                  <w:r>
                    <w:rPr>
                      <w:rFonts w:hint="eastAsia"/>
                      <w:sz w:val="21"/>
                      <w:szCs w:val="21"/>
                    </w:rPr>
                    <w:t>新建</w:t>
                  </w:r>
                </w:p>
              </w:tc>
            </w:tr>
            <w:tr w14:paraId="0029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continue"/>
                  <w:noWrap w:val="0"/>
                  <w:tcMar>
                    <w:top w:w="57" w:type="dxa"/>
                    <w:left w:w="108" w:type="dxa"/>
                    <w:bottom w:w="57" w:type="dxa"/>
                    <w:right w:w="108" w:type="dxa"/>
                  </w:tcMar>
                  <w:vAlign w:val="center"/>
                </w:tcPr>
                <w:p w14:paraId="1AC104FA">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1040" w:type="pct"/>
                  <w:gridSpan w:val="2"/>
                  <w:noWrap w:val="0"/>
                  <w:tcMar>
                    <w:top w:w="57" w:type="dxa"/>
                    <w:left w:w="108" w:type="dxa"/>
                    <w:bottom w:w="57" w:type="dxa"/>
                    <w:right w:w="108" w:type="dxa"/>
                  </w:tcMar>
                  <w:vAlign w:val="center"/>
                </w:tcPr>
                <w:p w14:paraId="7B952582">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lang w:val="en-US" w:eastAsia="zh-CN"/>
                    </w:rPr>
                  </w:pPr>
                  <w:r>
                    <w:rPr>
                      <w:rFonts w:hint="eastAsia" w:hAnsi="Times New Roman" w:cs="Times New Roman"/>
                      <w:color w:val="auto"/>
                      <w:sz w:val="21"/>
                      <w:szCs w:val="21"/>
                      <w:highlight w:val="none"/>
                      <w:u w:val="none"/>
                      <w:lang w:val="en-US" w:eastAsia="zh-CN"/>
                    </w:rPr>
                    <w:t>办公楼</w:t>
                  </w:r>
                </w:p>
              </w:tc>
              <w:tc>
                <w:tcPr>
                  <w:tcW w:w="3113" w:type="pct"/>
                  <w:noWrap w:val="0"/>
                  <w:tcMar>
                    <w:top w:w="57" w:type="dxa"/>
                    <w:left w:w="108" w:type="dxa"/>
                    <w:bottom w:w="57" w:type="dxa"/>
                    <w:right w:w="108" w:type="dxa"/>
                  </w:tcMar>
                  <w:vAlign w:val="center"/>
                </w:tcPr>
                <w:p w14:paraId="0EE89EB4">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highlight w:val="none"/>
                      <w:u w:val="none"/>
                      <w:vertAlign w:val="baseline"/>
                      <w:lang w:val="en-US" w:eastAsia="zh-CN"/>
                    </w:rPr>
                  </w:pPr>
                  <w:r>
                    <w:rPr>
                      <w:rFonts w:hint="eastAsia" w:hAnsi="Times New Roman" w:cs="Times New Roman"/>
                      <w:color w:val="auto"/>
                      <w:sz w:val="21"/>
                      <w:szCs w:val="21"/>
                      <w:highlight w:val="none"/>
                      <w:u w:val="none"/>
                      <w:vertAlign w:val="baseline"/>
                      <w:lang w:val="en-US" w:eastAsia="zh-CN"/>
                    </w:rPr>
                    <w:t>占地面积约90㎡，用于员工就餐、办公、休息</w:t>
                  </w:r>
                </w:p>
              </w:tc>
              <w:tc>
                <w:tcPr>
                  <w:tcW w:w="440" w:type="pct"/>
                  <w:noWrap w:val="0"/>
                  <w:tcMar>
                    <w:top w:w="57" w:type="dxa"/>
                    <w:left w:w="108" w:type="dxa"/>
                    <w:bottom w:w="57" w:type="dxa"/>
                    <w:right w:w="108" w:type="dxa"/>
                  </w:tcMar>
                  <w:vAlign w:val="center"/>
                </w:tcPr>
                <w:p w14:paraId="366EF7A2">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sz w:val="21"/>
                      <w:szCs w:val="21"/>
                      <w:u w:val="none"/>
                      <w:lang w:val="en-US" w:eastAsia="zh-CN"/>
                    </w:rPr>
                  </w:pPr>
                  <w:r>
                    <w:rPr>
                      <w:rFonts w:hint="eastAsia"/>
                      <w:sz w:val="21"/>
                      <w:szCs w:val="21"/>
                    </w:rPr>
                    <w:t>新建</w:t>
                  </w:r>
                </w:p>
              </w:tc>
            </w:tr>
            <w:tr w14:paraId="1155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restart"/>
                  <w:noWrap w:val="0"/>
                  <w:tcMar>
                    <w:top w:w="57" w:type="dxa"/>
                    <w:left w:w="108" w:type="dxa"/>
                    <w:bottom w:w="57" w:type="dxa"/>
                    <w:right w:w="108" w:type="dxa"/>
                  </w:tcMar>
                  <w:vAlign w:val="center"/>
                </w:tcPr>
                <w:p w14:paraId="78B4B21B">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公用工程</w:t>
                  </w:r>
                </w:p>
              </w:tc>
              <w:tc>
                <w:tcPr>
                  <w:tcW w:w="1040" w:type="pct"/>
                  <w:gridSpan w:val="2"/>
                  <w:noWrap w:val="0"/>
                  <w:tcMar>
                    <w:top w:w="57" w:type="dxa"/>
                    <w:left w:w="108" w:type="dxa"/>
                    <w:bottom w:w="57" w:type="dxa"/>
                    <w:right w:w="108" w:type="dxa"/>
                  </w:tcMar>
                  <w:vAlign w:val="center"/>
                </w:tcPr>
                <w:p w14:paraId="089088B6">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供水</w:t>
                  </w:r>
                </w:p>
              </w:tc>
              <w:tc>
                <w:tcPr>
                  <w:tcW w:w="3113" w:type="pct"/>
                  <w:noWrap w:val="0"/>
                  <w:tcMar>
                    <w:top w:w="57" w:type="dxa"/>
                    <w:left w:w="108" w:type="dxa"/>
                    <w:bottom w:w="57" w:type="dxa"/>
                    <w:right w:w="108" w:type="dxa"/>
                  </w:tcMar>
                  <w:vAlign w:val="center"/>
                </w:tcPr>
                <w:p w14:paraId="204180E6">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highlight w:val="none"/>
                      <w:u w:val="none"/>
                      <w:lang w:val="en-US" w:eastAsia="zh-CN"/>
                    </w:rPr>
                  </w:pPr>
                  <w:r>
                    <w:rPr>
                      <w:rFonts w:hint="eastAsia"/>
                      <w:sz w:val="21"/>
                      <w:szCs w:val="21"/>
                      <w:u w:val="none"/>
                      <w:lang w:val="en-US" w:eastAsia="zh-CN"/>
                    </w:rPr>
                    <w:t>市政管网供水</w:t>
                  </w:r>
                </w:p>
              </w:tc>
              <w:tc>
                <w:tcPr>
                  <w:tcW w:w="440" w:type="pct"/>
                  <w:noWrap w:val="0"/>
                  <w:tcMar>
                    <w:top w:w="57" w:type="dxa"/>
                    <w:left w:w="108" w:type="dxa"/>
                    <w:bottom w:w="57" w:type="dxa"/>
                    <w:right w:w="108" w:type="dxa"/>
                  </w:tcMar>
                  <w:vAlign w:val="center"/>
                </w:tcPr>
                <w:p w14:paraId="48C2A17B">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16D3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continue"/>
                  <w:noWrap w:val="0"/>
                  <w:tcMar>
                    <w:top w:w="57" w:type="dxa"/>
                    <w:left w:w="108" w:type="dxa"/>
                    <w:bottom w:w="57" w:type="dxa"/>
                    <w:right w:w="108" w:type="dxa"/>
                  </w:tcMar>
                  <w:vAlign w:val="center"/>
                </w:tcPr>
                <w:p w14:paraId="4E767D85">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1040" w:type="pct"/>
                  <w:gridSpan w:val="2"/>
                  <w:noWrap w:val="0"/>
                  <w:tcMar>
                    <w:top w:w="57" w:type="dxa"/>
                    <w:left w:w="108" w:type="dxa"/>
                    <w:bottom w:w="57" w:type="dxa"/>
                    <w:right w:w="108" w:type="dxa"/>
                  </w:tcMar>
                  <w:vAlign w:val="center"/>
                </w:tcPr>
                <w:p w14:paraId="12F73C13">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排水</w:t>
                  </w:r>
                </w:p>
              </w:tc>
              <w:tc>
                <w:tcPr>
                  <w:tcW w:w="3113" w:type="pct"/>
                  <w:noWrap w:val="0"/>
                  <w:tcMar>
                    <w:top w:w="57" w:type="dxa"/>
                    <w:left w:w="108" w:type="dxa"/>
                    <w:bottom w:w="57" w:type="dxa"/>
                    <w:right w:w="108" w:type="dxa"/>
                  </w:tcMar>
                  <w:vAlign w:val="center"/>
                </w:tcPr>
                <w:p w14:paraId="3054964A">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u w:val="none"/>
                      <w:lang w:val="en-US" w:eastAsia="zh-CN"/>
                    </w:rPr>
                    <w:t>生活污水</w:t>
                  </w:r>
                  <w:r>
                    <w:rPr>
                      <w:rFonts w:hint="eastAsia" w:hAnsi="Times New Roman" w:cs="Times New Roman"/>
                      <w:color w:val="auto"/>
                      <w:sz w:val="21"/>
                      <w:szCs w:val="21"/>
                      <w:u w:val="none"/>
                      <w:lang w:val="en-US" w:eastAsia="zh-CN"/>
                    </w:rPr>
                    <w:t>：</w:t>
                  </w:r>
                  <w:r>
                    <w:rPr>
                      <w:rFonts w:hint="default" w:ascii="Times New Roman" w:hAnsi="Times New Roman" w:cs="Times New Roman"/>
                      <w:color w:val="auto"/>
                      <w:sz w:val="21"/>
                      <w:szCs w:val="21"/>
                      <w:highlight w:val="none"/>
                      <w:u w:val="none"/>
                      <w:lang w:val="en-US" w:eastAsia="zh-CN"/>
                    </w:rPr>
                    <w:t>经</w:t>
                  </w:r>
                  <w:r>
                    <w:rPr>
                      <w:rFonts w:hint="eastAsia" w:hAnsi="Times New Roman" w:cs="Times New Roman"/>
                      <w:color w:val="auto"/>
                      <w:sz w:val="21"/>
                      <w:szCs w:val="21"/>
                      <w:highlight w:val="none"/>
                      <w:u w:val="none"/>
                      <w:lang w:val="en-US" w:eastAsia="zh-CN"/>
                    </w:rPr>
                    <w:t>隔油池+四格净化设施处理后用作农肥或周边林地灌溉；本项目无生产废水</w:t>
                  </w:r>
                </w:p>
              </w:tc>
              <w:tc>
                <w:tcPr>
                  <w:tcW w:w="440" w:type="pct"/>
                  <w:noWrap w:val="0"/>
                  <w:tcMar>
                    <w:top w:w="57" w:type="dxa"/>
                    <w:left w:w="108" w:type="dxa"/>
                    <w:bottom w:w="57" w:type="dxa"/>
                    <w:right w:w="108" w:type="dxa"/>
                  </w:tcMar>
                  <w:vAlign w:val="center"/>
                </w:tcPr>
                <w:p w14:paraId="68B22422">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50C6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continue"/>
                  <w:noWrap w:val="0"/>
                  <w:tcMar>
                    <w:top w:w="57" w:type="dxa"/>
                    <w:left w:w="108" w:type="dxa"/>
                    <w:bottom w:w="57" w:type="dxa"/>
                    <w:right w:w="108" w:type="dxa"/>
                  </w:tcMar>
                  <w:vAlign w:val="center"/>
                </w:tcPr>
                <w:p w14:paraId="69886B7C">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1040" w:type="pct"/>
                  <w:gridSpan w:val="2"/>
                  <w:noWrap w:val="0"/>
                  <w:tcMar>
                    <w:top w:w="57" w:type="dxa"/>
                    <w:left w:w="108" w:type="dxa"/>
                    <w:bottom w:w="57" w:type="dxa"/>
                    <w:right w:w="108" w:type="dxa"/>
                  </w:tcMar>
                  <w:vAlign w:val="center"/>
                </w:tcPr>
                <w:p w14:paraId="5A837896">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供电</w:t>
                  </w:r>
                </w:p>
              </w:tc>
              <w:tc>
                <w:tcPr>
                  <w:tcW w:w="3113" w:type="pct"/>
                  <w:noWrap w:val="0"/>
                  <w:tcMar>
                    <w:top w:w="57" w:type="dxa"/>
                    <w:left w:w="108" w:type="dxa"/>
                    <w:bottom w:w="57" w:type="dxa"/>
                    <w:right w:w="108" w:type="dxa"/>
                  </w:tcMar>
                  <w:vAlign w:val="center"/>
                </w:tcPr>
                <w:p w14:paraId="34C2680D">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由当地电业局提供</w:t>
                  </w:r>
                </w:p>
              </w:tc>
              <w:tc>
                <w:tcPr>
                  <w:tcW w:w="440" w:type="pct"/>
                  <w:noWrap w:val="0"/>
                  <w:tcMar>
                    <w:top w:w="57" w:type="dxa"/>
                    <w:left w:w="108" w:type="dxa"/>
                    <w:bottom w:w="57" w:type="dxa"/>
                    <w:right w:w="108" w:type="dxa"/>
                  </w:tcMar>
                  <w:vAlign w:val="center"/>
                </w:tcPr>
                <w:p w14:paraId="6E214D99">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6DFA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restart"/>
                  <w:noWrap w:val="0"/>
                  <w:tcMar>
                    <w:top w:w="57" w:type="dxa"/>
                    <w:left w:w="108" w:type="dxa"/>
                    <w:bottom w:w="57" w:type="dxa"/>
                    <w:right w:w="108" w:type="dxa"/>
                  </w:tcMar>
                  <w:vAlign w:val="center"/>
                </w:tcPr>
                <w:p w14:paraId="5F768EA1">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环保工程</w:t>
                  </w:r>
                </w:p>
              </w:tc>
              <w:tc>
                <w:tcPr>
                  <w:tcW w:w="1040" w:type="pct"/>
                  <w:gridSpan w:val="2"/>
                  <w:noWrap w:val="0"/>
                  <w:tcMar>
                    <w:top w:w="57" w:type="dxa"/>
                    <w:left w:w="108" w:type="dxa"/>
                    <w:bottom w:w="57" w:type="dxa"/>
                    <w:right w:w="108" w:type="dxa"/>
                  </w:tcMar>
                  <w:vAlign w:val="center"/>
                </w:tcPr>
                <w:p w14:paraId="4C5BB8FA">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yellow"/>
                      <w:u w:val="none"/>
                      <w:lang w:val="en-US" w:eastAsia="zh-CN"/>
                    </w:rPr>
                  </w:pPr>
                  <w:r>
                    <w:rPr>
                      <w:rFonts w:hint="default" w:ascii="Times New Roman" w:hAnsi="Times New Roman" w:cs="Times New Roman"/>
                      <w:color w:val="auto"/>
                      <w:sz w:val="21"/>
                      <w:szCs w:val="21"/>
                      <w:u w:val="none"/>
                    </w:rPr>
                    <w:t>废气</w:t>
                  </w:r>
                </w:p>
              </w:tc>
              <w:tc>
                <w:tcPr>
                  <w:tcW w:w="3113" w:type="pct"/>
                  <w:noWrap w:val="0"/>
                  <w:tcMar>
                    <w:top w:w="57" w:type="dxa"/>
                    <w:left w:w="108" w:type="dxa"/>
                    <w:bottom w:w="57" w:type="dxa"/>
                    <w:right w:w="108" w:type="dxa"/>
                  </w:tcMar>
                  <w:vAlign w:val="center"/>
                </w:tcPr>
                <w:p w14:paraId="1F23AB3C">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hAnsi="Times New Roman" w:cs="Times New Roman"/>
                      <w:color w:val="auto"/>
                      <w:sz w:val="21"/>
                      <w:szCs w:val="21"/>
                      <w:u w:val="none"/>
                      <w:lang w:val="en-US" w:eastAsia="zh-CN"/>
                    </w:rPr>
                    <w:t>金属加工废气在厂房内无组织排放，焊接烟尘经移动式焊烟净化器处理后在厂房内排放；补漆废气经过滤棉+活性炭吸附设备处理后经15m排气筒排放，食堂油烟经油烟净化器处理后排放</w:t>
                  </w:r>
                </w:p>
              </w:tc>
              <w:tc>
                <w:tcPr>
                  <w:tcW w:w="440" w:type="pct"/>
                  <w:noWrap w:val="0"/>
                  <w:tcMar>
                    <w:top w:w="57" w:type="dxa"/>
                    <w:left w:w="108" w:type="dxa"/>
                    <w:bottom w:w="57" w:type="dxa"/>
                    <w:right w:w="108" w:type="dxa"/>
                  </w:tcMar>
                  <w:vAlign w:val="center"/>
                </w:tcPr>
                <w:p w14:paraId="1593FD7A">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5645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continue"/>
                  <w:noWrap w:val="0"/>
                  <w:tcMar>
                    <w:top w:w="57" w:type="dxa"/>
                    <w:left w:w="108" w:type="dxa"/>
                    <w:bottom w:w="57" w:type="dxa"/>
                    <w:right w:w="108" w:type="dxa"/>
                  </w:tcMar>
                  <w:vAlign w:val="center"/>
                </w:tcPr>
                <w:p w14:paraId="412DB5C2">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1040" w:type="pct"/>
                  <w:gridSpan w:val="2"/>
                  <w:noWrap w:val="0"/>
                  <w:tcMar>
                    <w:top w:w="57" w:type="dxa"/>
                    <w:left w:w="108" w:type="dxa"/>
                    <w:bottom w:w="57" w:type="dxa"/>
                    <w:right w:w="108" w:type="dxa"/>
                  </w:tcMar>
                  <w:vAlign w:val="center"/>
                </w:tcPr>
                <w:p w14:paraId="672123C9">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rPr>
                    <w:t>废水</w:t>
                  </w:r>
                </w:p>
              </w:tc>
              <w:tc>
                <w:tcPr>
                  <w:tcW w:w="3113" w:type="pct"/>
                  <w:noWrap w:val="0"/>
                  <w:tcMar>
                    <w:top w:w="57" w:type="dxa"/>
                    <w:left w:w="108" w:type="dxa"/>
                    <w:bottom w:w="57" w:type="dxa"/>
                    <w:right w:w="108" w:type="dxa"/>
                  </w:tcMar>
                  <w:vAlign w:val="center"/>
                </w:tcPr>
                <w:p w14:paraId="2C4DE84C">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hAnsi="Times New Roman" w:cs="Times New Roman"/>
                      <w:color w:val="auto"/>
                      <w:sz w:val="21"/>
                      <w:szCs w:val="21"/>
                      <w:u w:val="none"/>
                      <w:lang w:val="en-US" w:eastAsia="zh-CN"/>
                    </w:rPr>
                  </w:pPr>
                  <w:r>
                    <w:rPr>
                      <w:rFonts w:hint="default" w:hAnsi="Times New Roman" w:cs="Times New Roman"/>
                      <w:color w:val="auto"/>
                      <w:sz w:val="21"/>
                      <w:szCs w:val="21"/>
                      <w:u w:val="none"/>
                      <w:lang w:val="en-US" w:eastAsia="zh-CN"/>
                    </w:rPr>
                    <w:t>生活污水经</w:t>
                  </w:r>
                  <w:r>
                    <w:rPr>
                      <w:rFonts w:hint="eastAsia" w:hAnsi="Times New Roman" w:cs="Times New Roman"/>
                      <w:color w:val="auto"/>
                      <w:sz w:val="21"/>
                      <w:szCs w:val="21"/>
                      <w:u w:val="none"/>
                      <w:lang w:val="en-US" w:eastAsia="zh-CN"/>
                    </w:rPr>
                    <w:t>隔油池+四格净化设施</w:t>
                  </w:r>
                  <w:r>
                    <w:rPr>
                      <w:rFonts w:hint="default" w:hAnsi="Times New Roman" w:cs="Times New Roman"/>
                      <w:color w:val="auto"/>
                      <w:sz w:val="21"/>
                      <w:szCs w:val="21"/>
                      <w:u w:val="none"/>
                      <w:lang w:val="en-US" w:eastAsia="zh-CN"/>
                    </w:rPr>
                    <w:t>处理后</w:t>
                  </w:r>
                  <w:r>
                    <w:rPr>
                      <w:rFonts w:hint="eastAsia" w:hAnsi="Times New Roman" w:cs="Times New Roman"/>
                      <w:color w:val="auto"/>
                      <w:sz w:val="21"/>
                      <w:szCs w:val="21"/>
                      <w:u w:val="none"/>
                      <w:lang w:val="en-US" w:eastAsia="zh-CN"/>
                    </w:rPr>
                    <w:t>用作农肥或周边林地灌溉</w:t>
                  </w:r>
                  <w:r>
                    <w:rPr>
                      <w:rFonts w:hint="default" w:hAnsi="Times New Roman" w:cs="Times New Roman"/>
                      <w:color w:val="auto"/>
                      <w:sz w:val="21"/>
                      <w:szCs w:val="21"/>
                      <w:u w:val="none"/>
                      <w:lang w:val="en-US" w:eastAsia="zh-CN"/>
                    </w:rPr>
                    <w:t>；</w:t>
                  </w:r>
                  <w:r>
                    <w:rPr>
                      <w:rFonts w:hint="eastAsia" w:hAnsi="Times New Roman" w:cs="Times New Roman"/>
                      <w:color w:val="auto"/>
                      <w:sz w:val="21"/>
                      <w:szCs w:val="21"/>
                      <w:u w:val="none"/>
                      <w:lang w:val="en-US" w:eastAsia="zh-CN"/>
                    </w:rPr>
                    <w:t>本项目无生产废水</w:t>
                  </w:r>
                </w:p>
              </w:tc>
              <w:tc>
                <w:tcPr>
                  <w:tcW w:w="440" w:type="pct"/>
                  <w:noWrap w:val="0"/>
                  <w:tcMar>
                    <w:top w:w="57" w:type="dxa"/>
                    <w:left w:w="108" w:type="dxa"/>
                    <w:bottom w:w="57" w:type="dxa"/>
                    <w:right w:w="108" w:type="dxa"/>
                  </w:tcMar>
                  <w:vAlign w:val="center"/>
                </w:tcPr>
                <w:p w14:paraId="0A0B2F0A">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sz w:val="21"/>
                      <w:szCs w:val="21"/>
                    </w:rPr>
                    <w:t>新建</w:t>
                  </w:r>
                </w:p>
              </w:tc>
            </w:tr>
            <w:tr w14:paraId="47F3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continue"/>
                  <w:noWrap w:val="0"/>
                  <w:tcMar>
                    <w:top w:w="57" w:type="dxa"/>
                    <w:left w:w="108" w:type="dxa"/>
                    <w:bottom w:w="57" w:type="dxa"/>
                    <w:right w:w="108" w:type="dxa"/>
                  </w:tcMar>
                  <w:vAlign w:val="center"/>
                </w:tcPr>
                <w:p w14:paraId="33C689E2">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1040" w:type="pct"/>
                  <w:gridSpan w:val="2"/>
                  <w:noWrap w:val="0"/>
                  <w:tcMar>
                    <w:top w:w="57" w:type="dxa"/>
                    <w:left w:w="108" w:type="dxa"/>
                    <w:bottom w:w="57" w:type="dxa"/>
                    <w:right w:w="108" w:type="dxa"/>
                  </w:tcMar>
                  <w:vAlign w:val="center"/>
                </w:tcPr>
                <w:p w14:paraId="75DB6942">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噪声治理</w:t>
                  </w:r>
                </w:p>
              </w:tc>
              <w:tc>
                <w:tcPr>
                  <w:tcW w:w="3113" w:type="pct"/>
                  <w:noWrap w:val="0"/>
                  <w:tcMar>
                    <w:top w:w="57" w:type="dxa"/>
                    <w:left w:w="108" w:type="dxa"/>
                    <w:bottom w:w="57" w:type="dxa"/>
                    <w:right w:w="108" w:type="dxa"/>
                  </w:tcMar>
                  <w:vAlign w:val="center"/>
                </w:tcPr>
                <w:p w14:paraId="48F670D7">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主要为</w:t>
                  </w:r>
                  <w:r>
                    <w:rPr>
                      <w:rFonts w:hint="eastAsia" w:hAnsi="Times New Roman" w:cs="Times New Roman"/>
                      <w:color w:val="auto"/>
                      <w:sz w:val="21"/>
                      <w:szCs w:val="21"/>
                      <w:highlight w:val="none"/>
                      <w:u w:val="none"/>
                      <w:lang w:val="en-US" w:eastAsia="zh-CN"/>
                    </w:rPr>
                    <w:t>生产</w:t>
                  </w:r>
                  <w:r>
                    <w:rPr>
                      <w:rFonts w:hint="default" w:ascii="Times New Roman" w:hAnsi="Times New Roman" w:cs="Times New Roman"/>
                      <w:color w:val="auto"/>
                      <w:sz w:val="21"/>
                      <w:szCs w:val="21"/>
                      <w:u w:val="none"/>
                      <w:lang w:val="en-US" w:eastAsia="zh-CN"/>
                    </w:rPr>
                    <w:t>设备噪声，通过合理布局，隔声、消声、减振等措施降低噪声对外界环境的影响</w:t>
                  </w:r>
                </w:p>
              </w:tc>
              <w:tc>
                <w:tcPr>
                  <w:tcW w:w="440" w:type="pct"/>
                  <w:noWrap w:val="0"/>
                  <w:tcMar>
                    <w:top w:w="57" w:type="dxa"/>
                    <w:left w:w="108" w:type="dxa"/>
                    <w:bottom w:w="57" w:type="dxa"/>
                    <w:right w:w="108" w:type="dxa"/>
                  </w:tcMar>
                  <w:vAlign w:val="center"/>
                </w:tcPr>
                <w:p w14:paraId="4EC004C3">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u w:val="none"/>
                      <w:lang w:val="en-US" w:eastAsia="zh-CN"/>
                    </w:rPr>
                  </w:pPr>
                  <w:r>
                    <w:rPr>
                      <w:rFonts w:hint="eastAsia" w:hAnsi="Times New Roman" w:cs="Times New Roman"/>
                      <w:b w:val="0"/>
                      <w:bCs/>
                      <w:color w:val="auto"/>
                      <w:sz w:val="21"/>
                      <w:szCs w:val="21"/>
                      <w:u w:val="none"/>
                      <w:lang w:val="en-US" w:eastAsia="zh-CN"/>
                    </w:rPr>
                    <w:t>新建</w:t>
                  </w:r>
                </w:p>
              </w:tc>
            </w:tr>
            <w:tr w14:paraId="2945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continue"/>
                  <w:noWrap w:val="0"/>
                  <w:tcMar>
                    <w:top w:w="57" w:type="dxa"/>
                    <w:left w:w="108" w:type="dxa"/>
                    <w:bottom w:w="57" w:type="dxa"/>
                    <w:right w:w="108" w:type="dxa"/>
                  </w:tcMar>
                  <w:vAlign w:val="center"/>
                </w:tcPr>
                <w:p w14:paraId="1754AEBB">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235" w:type="pct"/>
                  <w:vMerge w:val="restart"/>
                  <w:noWrap w:val="0"/>
                  <w:tcMar>
                    <w:top w:w="57" w:type="dxa"/>
                    <w:left w:w="108" w:type="dxa"/>
                    <w:bottom w:w="57" w:type="dxa"/>
                    <w:right w:w="108" w:type="dxa"/>
                  </w:tcMar>
                  <w:vAlign w:val="center"/>
                </w:tcPr>
                <w:p w14:paraId="0A98D382">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固废</w:t>
                  </w:r>
                </w:p>
              </w:tc>
              <w:tc>
                <w:tcPr>
                  <w:tcW w:w="805" w:type="pct"/>
                  <w:noWrap w:val="0"/>
                  <w:tcMar>
                    <w:top w:w="57" w:type="dxa"/>
                    <w:left w:w="108" w:type="dxa"/>
                    <w:bottom w:w="57" w:type="dxa"/>
                    <w:right w:w="108" w:type="dxa"/>
                  </w:tcMar>
                  <w:vAlign w:val="center"/>
                </w:tcPr>
                <w:p w14:paraId="03874416">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u w:val="none"/>
                    </w:rPr>
                    <w:t>生活垃圾</w:t>
                  </w:r>
                </w:p>
              </w:tc>
              <w:tc>
                <w:tcPr>
                  <w:tcW w:w="3113" w:type="pct"/>
                  <w:noWrap w:val="0"/>
                  <w:tcMar>
                    <w:top w:w="57" w:type="dxa"/>
                    <w:left w:w="108" w:type="dxa"/>
                    <w:bottom w:w="57" w:type="dxa"/>
                    <w:right w:w="108" w:type="dxa"/>
                  </w:tcMar>
                  <w:vAlign w:val="center"/>
                </w:tcPr>
                <w:p w14:paraId="590C11A5">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生活垃圾委托环卫部门进行清运</w:t>
                  </w:r>
                </w:p>
              </w:tc>
              <w:tc>
                <w:tcPr>
                  <w:tcW w:w="440" w:type="pct"/>
                  <w:noWrap w:val="0"/>
                  <w:tcMar>
                    <w:top w:w="57" w:type="dxa"/>
                    <w:left w:w="108" w:type="dxa"/>
                    <w:bottom w:w="57" w:type="dxa"/>
                    <w:right w:w="108" w:type="dxa"/>
                  </w:tcMar>
                  <w:vAlign w:val="center"/>
                </w:tcPr>
                <w:p w14:paraId="3317F0AA">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color w:val="auto"/>
                      <w:sz w:val="21"/>
                      <w:szCs w:val="21"/>
                      <w:u w:val="none"/>
                      <w:lang w:eastAsia="zh-CN"/>
                    </w:rPr>
                  </w:pPr>
                  <w:r>
                    <w:rPr>
                      <w:rFonts w:hint="eastAsia" w:ascii="Times New Roman" w:hAnsi="Times New Roman" w:eastAsia="宋体" w:cs="Times New Roman"/>
                      <w:b w:val="0"/>
                      <w:bCs/>
                      <w:color w:val="auto"/>
                      <w:sz w:val="21"/>
                      <w:szCs w:val="21"/>
                      <w:u w:val="none"/>
                      <w:lang w:eastAsia="zh-CN"/>
                    </w:rPr>
                    <w:t>新建</w:t>
                  </w:r>
                </w:p>
              </w:tc>
            </w:tr>
            <w:tr w14:paraId="6DA6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continue"/>
                  <w:noWrap w:val="0"/>
                  <w:tcMar>
                    <w:top w:w="57" w:type="dxa"/>
                    <w:left w:w="108" w:type="dxa"/>
                    <w:bottom w:w="57" w:type="dxa"/>
                    <w:right w:w="108" w:type="dxa"/>
                  </w:tcMar>
                  <w:vAlign w:val="center"/>
                </w:tcPr>
                <w:p w14:paraId="4987C871">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235" w:type="pct"/>
                  <w:vMerge w:val="continue"/>
                  <w:noWrap w:val="0"/>
                  <w:tcMar>
                    <w:top w:w="57" w:type="dxa"/>
                    <w:left w:w="108" w:type="dxa"/>
                    <w:bottom w:w="57" w:type="dxa"/>
                    <w:right w:w="108" w:type="dxa"/>
                  </w:tcMar>
                  <w:vAlign w:val="center"/>
                </w:tcPr>
                <w:p w14:paraId="244FC473">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805" w:type="pct"/>
                  <w:noWrap w:val="0"/>
                  <w:tcMar>
                    <w:top w:w="57" w:type="dxa"/>
                    <w:left w:w="108" w:type="dxa"/>
                    <w:bottom w:w="57" w:type="dxa"/>
                    <w:right w:w="108" w:type="dxa"/>
                  </w:tcMar>
                  <w:vAlign w:val="center"/>
                </w:tcPr>
                <w:p w14:paraId="308BCFFE">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u w:val="none"/>
                      <w:lang w:val="en-US" w:eastAsia="zh-CN"/>
                    </w:rPr>
                  </w:pPr>
                  <w:r>
                    <w:rPr>
                      <w:rFonts w:hint="eastAsia" w:hAnsi="Times New Roman" w:cs="Times New Roman"/>
                      <w:color w:val="auto"/>
                      <w:sz w:val="21"/>
                      <w:szCs w:val="21"/>
                      <w:u w:val="none"/>
                      <w:lang w:val="en-US" w:eastAsia="zh-CN"/>
                    </w:rPr>
                    <w:t>一般固废</w:t>
                  </w:r>
                </w:p>
              </w:tc>
              <w:tc>
                <w:tcPr>
                  <w:tcW w:w="3113" w:type="pct"/>
                  <w:noWrap w:val="0"/>
                  <w:tcMar>
                    <w:top w:w="57" w:type="dxa"/>
                    <w:left w:w="108" w:type="dxa"/>
                    <w:bottom w:w="57" w:type="dxa"/>
                    <w:right w:w="108" w:type="dxa"/>
                  </w:tcMar>
                  <w:vAlign w:val="center"/>
                </w:tcPr>
                <w:p w14:paraId="26876140">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hAnsi="Times New Roman" w:cs="Times New Roman"/>
                      <w:color w:val="auto"/>
                      <w:sz w:val="21"/>
                      <w:szCs w:val="21"/>
                      <w:u w:val="none"/>
                      <w:lang w:val="en-US" w:eastAsia="zh-CN"/>
                    </w:rPr>
                  </w:pPr>
                  <w:r>
                    <w:rPr>
                      <w:rFonts w:hint="eastAsia" w:ascii="宋体" w:hAnsi="宋体" w:eastAsia="宋体" w:cs="宋体"/>
                      <w:b w:val="0"/>
                      <w:bCs w:val="0"/>
                      <w:i w:val="0"/>
                      <w:iCs w:val="0"/>
                      <w:color w:val="000000"/>
                      <w:kern w:val="0"/>
                      <w:sz w:val="21"/>
                      <w:szCs w:val="21"/>
                      <w:u w:val="none"/>
                      <w:vertAlign w:val="baseline"/>
                      <w:lang w:val="en-US" w:eastAsia="zh-CN" w:bidi="ar"/>
                    </w:rPr>
                    <w:t>暂存于固废暂存间定期外售回收利用</w:t>
                  </w:r>
                </w:p>
              </w:tc>
              <w:tc>
                <w:tcPr>
                  <w:tcW w:w="440" w:type="pct"/>
                  <w:noWrap w:val="0"/>
                  <w:tcMar>
                    <w:top w:w="57" w:type="dxa"/>
                    <w:left w:w="108" w:type="dxa"/>
                    <w:bottom w:w="57" w:type="dxa"/>
                    <w:right w:w="108" w:type="dxa"/>
                  </w:tcMar>
                  <w:vAlign w:val="center"/>
                </w:tcPr>
                <w:p w14:paraId="083F7CFE">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bCs/>
                      <w:sz w:val="21"/>
                      <w:szCs w:val="21"/>
                      <w:u w:val="none"/>
                      <w:lang w:val="en-US" w:eastAsia="zh-CN"/>
                    </w:rPr>
                  </w:pPr>
                  <w:r>
                    <w:rPr>
                      <w:rFonts w:hint="eastAsia" w:eastAsia="宋体"/>
                      <w:bCs/>
                      <w:sz w:val="21"/>
                      <w:szCs w:val="21"/>
                      <w:u w:val="none"/>
                      <w:lang w:val="en-US" w:eastAsia="zh-CN"/>
                    </w:rPr>
                    <w:t>新建</w:t>
                  </w:r>
                </w:p>
              </w:tc>
            </w:tr>
            <w:tr w14:paraId="76F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4" w:type="pct"/>
                  <w:vMerge w:val="continue"/>
                  <w:noWrap w:val="0"/>
                  <w:tcMar>
                    <w:top w:w="57" w:type="dxa"/>
                    <w:left w:w="108" w:type="dxa"/>
                    <w:bottom w:w="57" w:type="dxa"/>
                    <w:right w:w="108" w:type="dxa"/>
                  </w:tcMar>
                  <w:vAlign w:val="center"/>
                </w:tcPr>
                <w:p w14:paraId="5EA8DCAF">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235" w:type="pct"/>
                  <w:vMerge w:val="continue"/>
                  <w:noWrap w:val="0"/>
                  <w:tcMar>
                    <w:top w:w="57" w:type="dxa"/>
                    <w:left w:w="108" w:type="dxa"/>
                    <w:bottom w:w="57" w:type="dxa"/>
                    <w:right w:w="108" w:type="dxa"/>
                  </w:tcMar>
                  <w:vAlign w:val="center"/>
                </w:tcPr>
                <w:p w14:paraId="535CF13D">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u w:val="none"/>
                    </w:rPr>
                  </w:pPr>
                </w:p>
              </w:tc>
              <w:tc>
                <w:tcPr>
                  <w:tcW w:w="805" w:type="pct"/>
                  <w:noWrap w:val="0"/>
                  <w:tcMar>
                    <w:top w:w="57" w:type="dxa"/>
                    <w:left w:w="108" w:type="dxa"/>
                    <w:bottom w:w="57" w:type="dxa"/>
                    <w:right w:w="108" w:type="dxa"/>
                  </w:tcMar>
                  <w:vAlign w:val="center"/>
                </w:tcPr>
                <w:p w14:paraId="30695AE7">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危险废物</w:t>
                  </w:r>
                </w:p>
              </w:tc>
              <w:tc>
                <w:tcPr>
                  <w:tcW w:w="3113" w:type="pct"/>
                  <w:noWrap w:val="0"/>
                  <w:tcMar>
                    <w:top w:w="57" w:type="dxa"/>
                    <w:left w:w="108" w:type="dxa"/>
                    <w:bottom w:w="57" w:type="dxa"/>
                    <w:right w:w="108" w:type="dxa"/>
                  </w:tcMar>
                  <w:vAlign w:val="center"/>
                </w:tcPr>
                <w:p w14:paraId="4EAE483C">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eastAsia" w:ascii="宋体" w:hAnsi="宋体" w:eastAsia="宋体" w:cs="宋体"/>
                      <w:b w:val="0"/>
                      <w:bCs w:val="0"/>
                      <w:i w:val="0"/>
                      <w:iCs w:val="0"/>
                      <w:color w:val="000000"/>
                      <w:kern w:val="0"/>
                      <w:sz w:val="21"/>
                      <w:szCs w:val="21"/>
                      <w:u w:val="none"/>
                      <w:vertAlign w:val="baseline"/>
                      <w:lang w:val="en-US" w:eastAsia="zh-CN" w:bidi="ar"/>
                    </w:rPr>
                    <w:t>暂存于危废间委托有资质单位进行回收</w:t>
                  </w:r>
                </w:p>
              </w:tc>
              <w:tc>
                <w:tcPr>
                  <w:tcW w:w="440" w:type="pct"/>
                  <w:noWrap w:val="0"/>
                  <w:tcMar>
                    <w:top w:w="57" w:type="dxa"/>
                    <w:left w:w="108" w:type="dxa"/>
                    <w:bottom w:w="57" w:type="dxa"/>
                    <w:right w:w="108" w:type="dxa"/>
                  </w:tcMar>
                  <w:vAlign w:val="center"/>
                </w:tcPr>
                <w:p w14:paraId="67EDFA41">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eastAsia="宋体" w:cs="Times New Roman"/>
                      <w:b w:val="0"/>
                      <w:bCs/>
                      <w:color w:val="auto"/>
                      <w:sz w:val="21"/>
                      <w:szCs w:val="21"/>
                      <w:u w:val="none"/>
                      <w:lang w:val="en-US" w:eastAsia="zh-CN"/>
                    </w:rPr>
                    <w:t>新建</w:t>
                  </w:r>
                </w:p>
              </w:tc>
            </w:tr>
          </w:tbl>
          <w:p w14:paraId="3F1DD0A6">
            <w:pPr>
              <w:pStyle w:val="109"/>
              <w:keepNext w:val="0"/>
              <w:keepLines w:val="0"/>
              <w:suppressLineNumbers w:val="0"/>
              <w:spacing w:before="157" w:beforeLines="50" w:beforeAutospacing="0" w:after="0" w:afterAutospacing="0"/>
              <w:ind w:left="0" w:right="0" w:firstLine="482" w:firstLineChars="0"/>
              <w:rPr>
                <w:rFonts w:hint="default" w:hAnsi="Times New Roman" w:eastAsia="宋体"/>
                <w:b/>
                <w:snapToGrid w:val="0"/>
                <w:color w:val="auto"/>
                <w:u w:val="none"/>
                <w:lang w:val="en-US" w:eastAsia="zh-CN"/>
              </w:rPr>
            </w:pPr>
            <w:r>
              <w:rPr>
                <w:rFonts w:hint="eastAsia" w:hAnsi="Times New Roman"/>
                <w:b/>
                <w:snapToGrid w:val="0"/>
                <w:color w:val="auto"/>
                <w:u w:val="none"/>
                <w:lang w:val="en-US" w:eastAsia="zh-CN"/>
              </w:rPr>
              <w:t>3</w:t>
            </w:r>
            <w:r>
              <w:rPr>
                <w:rFonts w:hint="eastAsia" w:hAnsi="Times New Roman"/>
                <w:b/>
                <w:snapToGrid w:val="0"/>
                <w:color w:val="auto"/>
                <w:u w:val="none"/>
              </w:rPr>
              <w:t>、</w:t>
            </w:r>
            <w:r>
              <w:rPr>
                <w:rFonts w:hint="eastAsia" w:hAnsi="Times New Roman"/>
                <w:b/>
                <w:snapToGrid w:val="0"/>
                <w:color w:val="auto"/>
                <w:u w:val="none"/>
                <w:lang w:val="en-US" w:eastAsia="zh-CN"/>
              </w:rPr>
              <w:t>产品方案</w:t>
            </w:r>
          </w:p>
          <w:p w14:paraId="5563A597">
            <w:pPr>
              <w:pStyle w:val="109"/>
              <w:keepNext w:val="0"/>
              <w:keepLines w:val="0"/>
              <w:suppressLineNumbers w:val="0"/>
              <w:spacing w:before="0" w:beforeAutospacing="0" w:after="0" w:afterAutospacing="0"/>
              <w:ind w:left="0" w:right="0" w:firstLine="480"/>
              <w:jc w:val="left"/>
              <w:rPr>
                <w:rFonts w:hint="eastAsia" w:hAnsi="Times New Roman"/>
                <w:b w:val="0"/>
                <w:bCs w:val="0"/>
                <w:snapToGrid w:val="0"/>
                <w:color w:val="auto"/>
                <w:sz w:val="24"/>
                <w:szCs w:val="24"/>
                <w:u w:val="none"/>
                <w:lang w:val="en-US" w:eastAsia="zh-CN"/>
              </w:rPr>
            </w:pPr>
            <w:r>
              <w:rPr>
                <w:rFonts w:hint="eastAsia" w:hAnsi="Times New Roman"/>
                <w:snapToGrid w:val="0"/>
                <w:color w:val="auto"/>
                <w:u w:val="none"/>
                <w:lang w:val="en-US" w:eastAsia="zh-CN"/>
              </w:rPr>
              <w:t>项目主要产品为花炮机械、布袋除尘器，项目主要产品方案见下表：</w:t>
            </w:r>
          </w:p>
          <w:p w14:paraId="6E9C6C19">
            <w:pPr>
              <w:pStyle w:val="109"/>
              <w:keepNext w:val="0"/>
              <w:keepLines w:val="0"/>
              <w:suppressLineNumbers w:val="0"/>
              <w:spacing w:before="0" w:beforeAutospacing="0" w:after="0" w:afterAutospacing="0"/>
              <w:ind w:left="0" w:right="0" w:firstLine="480" w:firstLineChars="0"/>
              <w:jc w:val="center"/>
              <w:rPr>
                <w:rFonts w:hint="eastAsia"/>
                <w:b/>
                <w:bCs/>
                <w:sz w:val="21"/>
                <w:szCs w:val="21"/>
                <w:highlight w:val="none"/>
                <w:u w:val="none"/>
                <w:lang w:val="en-US" w:eastAsia="zh-CN"/>
              </w:rPr>
            </w:pPr>
            <w:r>
              <w:rPr>
                <w:rFonts w:hint="eastAsia"/>
                <w:b/>
                <w:bCs/>
                <w:sz w:val="21"/>
                <w:szCs w:val="21"/>
                <w:highlight w:val="none"/>
                <w:u w:val="none"/>
                <w:lang w:val="en-US" w:eastAsia="zh-CN"/>
              </w:rPr>
              <w:t>表2-2 项目产品方案一览表</w:t>
            </w:r>
          </w:p>
          <w:tbl>
            <w:tblPr>
              <w:tblStyle w:val="24"/>
              <w:tblW w:w="8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6"/>
              <w:gridCol w:w="2090"/>
              <w:gridCol w:w="1727"/>
              <w:gridCol w:w="2602"/>
            </w:tblGrid>
            <w:tr w14:paraId="7849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06054A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1"/>
                      <w:szCs w:val="21"/>
                      <w:u w:val="none"/>
                      <w:lang w:val="en-US" w:eastAsia="zh-CN" w:bidi="ar"/>
                    </w:rPr>
                    <w:t>序号</w:t>
                  </w:r>
                </w:p>
              </w:tc>
              <w:tc>
                <w:tcPr>
                  <w:tcW w:w="1284" w:type="pct"/>
                  <w:tcBorders>
                    <w:top w:val="single" w:color="000000" w:sz="4" w:space="0"/>
                    <w:left w:val="single" w:color="000000" w:sz="4" w:space="0"/>
                    <w:bottom w:val="single" w:color="000000" w:sz="4" w:space="0"/>
                    <w:right w:val="single" w:color="auto" w:sz="4" w:space="0"/>
                  </w:tcBorders>
                  <w:shd w:val="clear" w:color="auto" w:fill="auto"/>
                  <w:tcMar>
                    <w:top w:w="57" w:type="dxa"/>
                    <w:left w:w="108" w:type="dxa"/>
                    <w:bottom w:w="57" w:type="dxa"/>
                    <w:right w:w="108" w:type="dxa"/>
                  </w:tcMar>
                  <w:vAlign w:val="center"/>
                </w:tcPr>
                <w:p w14:paraId="1A1B733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1"/>
                      <w:szCs w:val="21"/>
                      <w:u w:val="none"/>
                      <w:lang w:val="en-US" w:eastAsia="zh-CN" w:bidi="ar"/>
                    </w:rPr>
                    <w:t>产品名称</w:t>
                  </w:r>
                </w:p>
              </w:tc>
              <w:tc>
                <w:tcPr>
                  <w:tcW w:w="1061" w:type="pct"/>
                  <w:tcBorders>
                    <w:top w:val="single" w:color="000000" w:sz="4" w:space="0"/>
                    <w:left w:val="single" w:color="auto"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78F80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1"/>
                      <w:szCs w:val="21"/>
                      <w:u w:val="none"/>
                      <w:lang w:val="en-US" w:eastAsia="zh-CN" w:bidi="ar"/>
                    </w:rPr>
                    <w:t>年产量（台</w:t>
                  </w:r>
                  <w:r>
                    <w:rPr>
                      <w:rFonts w:hint="default" w:ascii="Times New Roman" w:hAnsi="Times New Roman" w:eastAsia="宋体" w:cs="Times New Roman"/>
                      <w:b/>
                      <w:bCs/>
                      <w:i w:val="0"/>
                      <w:iCs w:val="0"/>
                      <w:color w:val="000000"/>
                      <w:kern w:val="0"/>
                      <w:sz w:val="21"/>
                      <w:szCs w:val="21"/>
                      <w:u w:val="none"/>
                      <w:lang w:val="en-US" w:eastAsia="zh-CN" w:bidi="ar"/>
                    </w:rPr>
                    <w:t>/a</w:t>
                  </w:r>
                  <w:r>
                    <w:rPr>
                      <w:rFonts w:hint="eastAsia" w:ascii="宋体" w:hAnsi="宋体" w:eastAsia="宋体" w:cs="宋体"/>
                      <w:b/>
                      <w:bCs/>
                      <w:i w:val="0"/>
                      <w:iCs w:val="0"/>
                      <w:color w:val="000000"/>
                      <w:kern w:val="0"/>
                      <w:sz w:val="21"/>
                      <w:szCs w:val="21"/>
                      <w:u w:val="none"/>
                      <w:lang w:val="en-US" w:eastAsia="zh-CN" w:bidi="ar"/>
                    </w:rPr>
                    <w:t>）</w:t>
                  </w:r>
                </w:p>
              </w:tc>
              <w:tc>
                <w:tcPr>
                  <w:tcW w:w="159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B1EB6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highlight w:val="none"/>
                      <w:u w:val="none"/>
                      <w:lang w:val="en-US" w:eastAsia="zh-CN"/>
                    </w:rPr>
                  </w:pPr>
                  <w:r>
                    <w:rPr>
                      <w:rFonts w:hint="eastAsia" w:cs="Times New Roman"/>
                      <w:b/>
                      <w:bCs/>
                      <w:i w:val="0"/>
                      <w:iCs w:val="0"/>
                      <w:color w:val="auto"/>
                      <w:sz w:val="21"/>
                      <w:szCs w:val="21"/>
                      <w:highlight w:val="none"/>
                      <w:u w:val="none"/>
                      <w:lang w:val="en-US" w:eastAsia="zh-CN"/>
                    </w:rPr>
                    <w:t>备注</w:t>
                  </w:r>
                </w:p>
              </w:tc>
            </w:tr>
            <w:tr w14:paraId="6C48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054" w:type="pct"/>
                  <w:tcBorders>
                    <w:top w:val="single" w:color="000000" w:sz="4" w:space="0"/>
                    <w:left w:val="single" w:color="000000" w:sz="4" w:space="0"/>
                    <w:bottom w:val="single" w:color="auto" w:sz="4" w:space="0"/>
                    <w:right w:val="single" w:color="000000" w:sz="4" w:space="0"/>
                  </w:tcBorders>
                  <w:shd w:val="clear" w:color="auto" w:fill="auto"/>
                  <w:tcMar>
                    <w:top w:w="57" w:type="dxa"/>
                    <w:left w:w="108" w:type="dxa"/>
                    <w:bottom w:w="57" w:type="dxa"/>
                    <w:right w:w="108" w:type="dxa"/>
                  </w:tcMar>
                  <w:vAlign w:val="center"/>
                </w:tcPr>
                <w:p w14:paraId="26F6C1A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84" w:type="pct"/>
                  <w:tcBorders>
                    <w:top w:val="single" w:color="000000" w:sz="4" w:space="0"/>
                    <w:left w:val="single" w:color="000000"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5750227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结鞭机</w:t>
                  </w:r>
                </w:p>
              </w:tc>
              <w:tc>
                <w:tcPr>
                  <w:tcW w:w="1061" w:type="pct"/>
                  <w:tcBorders>
                    <w:top w:val="single" w:color="000000" w:sz="4" w:space="0"/>
                    <w:left w:val="single" w:color="auto" w:sz="4" w:space="0"/>
                    <w:bottom w:val="single" w:color="auto" w:sz="4" w:space="0"/>
                    <w:right w:val="single" w:color="000000" w:sz="4" w:space="0"/>
                  </w:tcBorders>
                  <w:shd w:val="clear" w:color="auto" w:fill="auto"/>
                  <w:tcMar>
                    <w:top w:w="57" w:type="dxa"/>
                    <w:left w:w="108" w:type="dxa"/>
                    <w:bottom w:w="57" w:type="dxa"/>
                    <w:right w:w="108" w:type="dxa"/>
                  </w:tcMar>
                  <w:vAlign w:val="center"/>
                </w:tcPr>
                <w:p w14:paraId="219F58B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599" w:type="pct"/>
                  <w:vMerge w:val="restart"/>
                  <w:tcBorders>
                    <w:top w:val="single" w:color="000000" w:sz="4" w:space="0"/>
                    <w:left w:val="single" w:color="000000" w:sz="4" w:space="0"/>
                    <w:right w:val="single" w:color="000000" w:sz="4" w:space="0"/>
                  </w:tcBorders>
                  <w:shd w:val="clear" w:color="auto" w:fill="auto"/>
                  <w:tcMar>
                    <w:top w:w="57" w:type="dxa"/>
                    <w:left w:w="108" w:type="dxa"/>
                    <w:bottom w:w="57" w:type="dxa"/>
                    <w:right w:w="108" w:type="dxa"/>
                  </w:tcMar>
                  <w:vAlign w:val="center"/>
                </w:tcPr>
                <w:p w14:paraId="1BDA3E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lang w:val="en-US" w:eastAsia="zh-CN" w:bidi="ar"/>
                    </w:rPr>
                  </w:pPr>
                  <w:r>
                    <w:rPr>
                      <w:rFonts w:hint="eastAsia" w:cs="Times New Roman"/>
                      <w:i w:val="0"/>
                      <w:iCs w:val="0"/>
                      <w:color w:val="000000"/>
                      <w:kern w:val="0"/>
                      <w:sz w:val="21"/>
                      <w:szCs w:val="21"/>
                      <w:u w:val="none"/>
                      <w:lang w:val="en-US" w:eastAsia="zh-CN" w:bidi="ar"/>
                    </w:rPr>
                    <w:t>本项目所有设备表面喷塑处理均外包，部分设备喷塑不到位，在厂区内设喷漆房进行补漆</w:t>
                  </w:r>
                </w:p>
              </w:tc>
            </w:tr>
            <w:tr w14:paraId="7716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054" w:type="pct"/>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37DFE89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84" w:type="pct"/>
                  <w:tcBorders>
                    <w:top w:val="single" w:color="auto" w:sz="4" w:space="0"/>
                    <w:left w:val="single" w:color="auto" w:sz="4" w:space="0"/>
                    <w:bottom w:val="single" w:color="000000" w:sz="4" w:space="0"/>
                    <w:right w:val="single" w:color="auto" w:sz="4" w:space="0"/>
                  </w:tcBorders>
                  <w:shd w:val="clear" w:color="auto" w:fill="auto"/>
                  <w:tcMar>
                    <w:top w:w="57" w:type="dxa"/>
                    <w:left w:w="108" w:type="dxa"/>
                    <w:bottom w:w="57" w:type="dxa"/>
                    <w:right w:w="108" w:type="dxa"/>
                  </w:tcMar>
                  <w:vAlign w:val="center"/>
                </w:tcPr>
                <w:p w14:paraId="7EB8B2E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封口机</w:t>
                  </w:r>
                </w:p>
              </w:tc>
              <w:tc>
                <w:tcPr>
                  <w:tcW w:w="1061" w:type="pct"/>
                  <w:tcBorders>
                    <w:top w:val="single" w:color="auto" w:sz="4" w:space="0"/>
                    <w:left w:val="single" w:color="auto"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FA366D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599" w:type="pct"/>
                  <w:vMerge w:val="continue"/>
                  <w:tcBorders>
                    <w:left w:val="single" w:color="000000" w:sz="4" w:space="0"/>
                    <w:right w:val="single" w:color="000000" w:sz="4" w:space="0"/>
                  </w:tcBorders>
                  <w:shd w:val="clear" w:color="auto" w:fill="auto"/>
                  <w:tcMar>
                    <w:top w:w="57" w:type="dxa"/>
                    <w:left w:w="108" w:type="dxa"/>
                    <w:bottom w:w="57" w:type="dxa"/>
                    <w:right w:w="108" w:type="dxa"/>
                  </w:tcMar>
                  <w:vAlign w:val="center"/>
                </w:tcPr>
                <w:p w14:paraId="5B6256E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lang w:val="en-US" w:eastAsia="zh-CN"/>
                    </w:rPr>
                  </w:pPr>
                </w:p>
              </w:tc>
            </w:tr>
            <w:tr w14:paraId="3DEE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054" w:type="pct"/>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02F3271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84" w:type="pct"/>
                  <w:tcBorders>
                    <w:top w:val="single" w:color="000000" w:sz="4" w:space="0"/>
                    <w:left w:val="single" w:color="auto" w:sz="4" w:space="0"/>
                    <w:bottom w:val="single" w:color="000000" w:sz="4" w:space="0"/>
                    <w:right w:val="single" w:color="auto" w:sz="4" w:space="0"/>
                  </w:tcBorders>
                  <w:shd w:val="clear" w:color="auto" w:fill="auto"/>
                  <w:tcMar>
                    <w:top w:w="57" w:type="dxa"/>
                    <w:left w:w="108" w:type="dxa"/>
                    <w:bottom w:w="57" w:type="dxa"/>
                    <w:right w:w="108" w:type="dxa"/>
                  </w:tcMar>
                  <w:vAlign w:val="center"/>
                </w:tcPr>
                <w:p w14:paraId="04AACC6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包装机</w:t>
                  </w:r>
                </w:p>
              </w:tc>
              <w:tc>
                <w:tcPr>
                  <w:tcW w:w="1061" w:type="pct"/>
                  <w:tcBorders>
                    <w:top w:val="single" w:color="000000" w:sz="4" w:space="0"/>
                    <w:left w:val="single" w:color="auto"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0557038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599" w:type="pct"/>
                  <w:vMerge w:val="continue"/>
                  <w:tcBorders>
                    <w:left w:val="single" w:color="000000" w:sz="4" w:space="0"/>
                    <w:right w:val="single" w:color="000000" w:sz="4" w:space="0"/>
                  </w:tcBorders>
                  <w:shd w:val="clear" w:color="auto" w:fill="auto"/>
                  <w:tcMar>
                    <w:top w:w="57" w:type="dxa"/>
                    <w:left w:w="108" w:type="dxa"/>
                    <w:bottom w:w="57" w:type="dxa"/>
                    <w:right w:w="108" w:type="dxa"/>
                  </w:tcMar>
                  <w:vAlign w:val="center"/>
                </w:tcPr>
                <w:p w14:paraId="0FE3B15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lang w:val="en-US" w:eastAsia="zh-CN" w:bidi="ar"/>
                    </w:rPr>
                  </w:pPr>
                </w:p>
              </w:tc>
            </w:tr>
            <w:tr w14:paraId="1A03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054" w:type="pct"/>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34335C7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284" w:type="pct"/>
                  <w:tcBorders>
                    <w:top w:val="single" w:color="000000" w:sz="4" w:space="0"/>
                    <w:left w:val="single" w:color="auto" w:sz="4" w:space="0"/>
                    <w:bottom w:val="single" w:color="000000" w:sz="4" w:space="0"/>
                    <w:right w:val="single" w:color="auto" w:sz="4" w:space="0"/>
                  </w:tcBorders>
                  <w:shd w:val="clear" w:color="auto" w:fill="auto"/>
                  <w:tcMar>
                    <w:top w:w="57" w:type="dxa"/>
                    <w:left w:w="108" w:type="dxa"/>
                    <w:bottom w:w="57" w:type="dxa"/>
                    <w:right w:w="108" w:type="dxa"/>
                  </w:tcMar>
                  <w:vAlign w:val="center"/>
                </w:tcPr>
                <w:p w14:paraId="225FC50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切条机</w:t>
                  </w:r>
                </w:p>
              </w:tc>
              <w:tc>
                <w:tcPr>
                  <w:tcW w:w="1061" w:type="pct"/>
                  <w:tcBorders>
                    <w:top w:val="single" w:color="000000" w:sz="4" w:space="0"/>
                    <w:left w:val="single" w:color="auto"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2829F2A">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2"/>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599" w:type="pct"/>
                  <w:vMerge w:val="continue"/>
                  <w:tcBorders>
                    <w:left w:val="single" w:color="000000" w:sz="4" w:space="0"/>
                    <w:right w:val="single" w:color="000000" w:sz="4" w:space="0"/>
                  </w:tcBorders>
                  <w:shd w:val="clear" w:color="auto" w:fill="auto"/>
                  <w:tcMar>
                    <w:top w:w="57" w:type="dxa"/>
                    <w:left w:w="108" w:type="dxa"/>
                    <w:bottom w:w="57" w:type="dxa"/>
                    <w:right w:w="108" w:type="dxa"/>
                  </w:tcMar>
                  <w:vAlign w:val="center"/>
                </w:tcPr>
                <w:p w14:paraId="47E503B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lang w:val="en-US" w:eastAsia="zh-CN" w:bidi="ar"/>
                    </w:rPr>
                  </w:pPr>
                </w:p>
              </w:tc>
            </w:tr>
            <w:tr w14:paraId="46D3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054" w:type="pct"/>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6485933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284" w:type="pct"/>
                  <w:tcBorders>
                    <w:top w:val="single" w:color="000000" w:sz="4" w:space="0"/>
                    <w:left w:val="single" w:color="auto" w:sz="4" w:space="0"/>
                    <w:bottom w:val="single" w:color="000000" w:sz="4" w:space="0"/>
                    <w:right w:val="single" w:color="auto" w:sz="4" w:space="0"/>
                  </w:tcBorders>
                  <w:shd w:val="clear" w:color="auto" w:fill="auto"/>
                  <w:tcMar>
                    <w:top w:w="57" w:type="dxa"/>
                    <w:left w:w="108" w:type="dxa"/>
                    <w:bottom w:w="57" w:type="dxa"/>
                    <w:right w:w="108" w:type="dxa"/>
                  </w:tcMar>
                  <w:vAlign w:val="center"/>
                </w:tcPr>
                <w:p w14:paraId="6B98486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布袋除尘器</w:t>
                  </w:r>
                </w:p>
              </w:tc>
              <w:tc>
                <w:tcPr>
                  <w:tcW w:w="1061" w:type="pct"/>
                  <w:tcBorders>
                    <w:top w:val="single" w:color="000000" w:sz="4" w:space="0"/>
                    <w:left w:val="single" w:color="auto"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2A45099">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2"/>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599" w:type="pct"/>
                  <w:vMerge w:val="continue"/>
                  <w:tcBorders>
                    <w:left w:val="single" w:color="000000" w:sz="4" w:space="0"/>
                    <w:right w:val="single" w:color="000000" w:sz="4" w:space="0"/>
                  </w:tcBorders>
                  <w:shd w:val="clear" w:color="auto" w:fill="auto"/>
                  <w:tcMar>
                    <w:top w:w="57" w:type="dxa"/>
                    <w:left w:w="108" w:type="dxa"/>
                    <w:bottom w:w="57" w:type="dxa"/>
                    <w:right w:w="108" w:type="dxa"/>
                  </w:tcMar>
                  <w:vAlign w:val="center"/>
                </w:tcPr>
                <w:p w14:paraId="641F25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u w:val="none"/>
                      <w:lang w:val="en-US" w:eastAsia="zh-CN" w:bidi="ar"/>
                    </w:rPr>
                  </w:pPr>
                </w:p>
              </w:tc>
            </w:tr>
            <w:tr w14:paraId="0751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054" w:type="pct"/>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73C8572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284" w:type="pct"/>
                  <w:tcBorders>
                    <w:top w:val="single" w:color="000000" w:sz="4" w:space="0"/>
                    <w:left w:val="single" w:color="auto" w:sz="4" w:space="0"/>
                    <w:bottom w:val="single" w:color="000000" w:sz="4" w:space="0"/>
                    <w:right w:val="single" w:color="auto" w:sz="4" w:space="0"/>
                  </w:tcBorders>
                  <w:shd w:val="clear" w:color="auto" w:fill="auto"/>
                  <w:tcMar>
                    <w:top w:w="57" w:type="dxa"/>
                    <w:left w:w="108" w:type="dxa"/>
                    <w:bottom w:w="57" w:type="dxa"/>
                    <w:right w:w="108" w:type="dxa"/>
                  </w:tcMar>
                  <w:vAlign w:val="center"/>
                </w:tcPr>
                <w:p w14:paraId="318BB9C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装药机</w:t>
                  </w:r>
                </w:p>
              </w:tc>
              <w:tc>
                <w:tcPr>
                  <w:tcW w:w="1061" w:type="pct"/>
                  <w:tcBorders>
                    <w:top w:val="single" w:color="000000" w:sz="4" w:space="0"/>
                    <w:left w:val="single" w:color="auto"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9312696">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2"/>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599" w:type="pct"/>
                  <w:vMerge w:val="continue"/>
                  <w:tcBorders>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92FCE6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u w:val="none"/>
                      <w:lang w:val="en-US" w:eastAsia="zh-CN" w:bidi="ar"/>
                    </w:rPr>
                  </w:pPr>
                </w:p>
              </w:tc>
            </w:tr>
          </w:tbl>
          <w:p w14:paraId="5FAD7ED8">
            <w:pPr>
              <w:pStyle w:val="10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ind w:left="0" w:right="0" w:firstLine="482" w:firstLineChars="0"/>
              <w:textAlignment w:val="auto"/>
              <w:rPr>
                <w:rFonts w:hint="eastAsia" w:hAnsi="Times New Roman"/>
                <w:b/>
                <w:snapToGrid w:val="0"/>
                <w:color w:val="auto"/>
                <w:u w:val="none"/>
              </w:rPr>
            </w:pPr>
            <w:r>
              <w:rPr>
                <w:rFonts w:hint="eastAsia" w:hAnsi="Times New Roman"/>
                <w:b/>
                <w:snapToGrid w:val="0"/>
                <w:color w:val="auto"/>
                <w:u w:val="none"/>
                <w:lang w:val="en-US" w:eastAsia="zh-CN"/>
              </w:rPr>
              <w:t>4</w:t>
            </w:r>
            <w:r>
              <w:rPr>
                <w:rFonts w:hint="eastAsia" w:hAnsi="Times New Roman"/>
                <w:b/>
                <w:snapToGrid w:val="0"/>
                <w:color w:val="auto"/>
                <w:u w:val="none"/>
              </w:rPr>
              <w:t>、主要原辅材料</w:t>
            </w:r>
          </w:p>
          <w:p w14:paraId="1543795A">
            <w:pPr>
              <w:pStyle w:val="109"/>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Autospacing="0"/>
              <w:ind w:left="0" w:right="0" w:firstLine="480" w:firstLineChars="0"/>
              <w:textAlignment w:val="auto"/>
              <w:rPr>
                <w:rFonts w:hint="eastAsia" w:hAnsi="宋体"/>
                <w:b w:val="0"/>
                <w:snapToGrid/>
                <w:color w:val="auto"/>
                <w:highlight w:val="none"/>
                <w:u w:val="none"/>
              </w:rPr>
            </w:pPr>
            <w:r>
              <w:rPr>
                <w:rFonts w:hint="eastAsia"/>
                <w:b w:val="0"/>
                <w:snapToGrid/>
                <w:color w:val="auto"/>
                <w:u w:val="none"/>
                <w:lang w:val="en-US" w:eastAsia="zh-CN"/>
              </w:rPr>
              <w:t>根据业主提供资料，</w:t>
            </w:r>
            <w:r>
              <w:rPr>
                <w:rFonts w:hint="eastAsia" w:hAnsi="宋体"/>
                <w:b w:val="0"/>
                <w:snapToGrid/>
                <w:color w:val="auto"/>
                <w:u w:val="none"/>
              </w:rPr>
              <w:t>本项目</w:t>
            </w:r>
            <w:r>
              <w:rPr>
                <w:rFonts w:hint="eastAsia"/>
                <w:b w:val="0"/>
                <w:snapToGrid/>
                <w:color w:val="auto"/>
                <w:u w:val="none"/>
                <w:lang w:val="en-US" w:eastAsia="zh-CN"/>
              </w:rPr>
              <w:t>生产产品所需的主要原辅材料如下</w:t>
            </w:r>
            <w:r>
              <w:rPr>
                <w:rFonts w:hint="eastAsia" w:hAnsi="宋体"/>
                <w:b w:val="0"/>
                <w:snapToGrid/>
                <w:color w:val="auto"/>
                <w:u w:val="none"/>
              </w:rPr>
              <w:t>。</w:t>
            </w:r>
          </w:p>
          <w:p w14:paraId="0A5281F4">
            <w:pPr>
              <w:pStyle w:val="109"/>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Autospacing="0"/>
              <w:ind w:left="0" w:right="0" w:firstLine="480" w:firstLineChars="0"/>
              <w:jc w:val="center"/>
              <w:textAlignment w:val="auto"/>
              <w:rPr>
                <w:rFonts w:hint="default" w:hAnsi="宋体" w:eastAsia="宋体"/>
                <w:b w:val="0"/>
                <w:snapToGrid/>
                <w:color w:val="auto"/>
                <w:highlight w:val="yellow"/>
                <w:u w:val="none"/>
                <w:lang w:val="en-US" w:eastAsia="zh-CN"/>
              </w:rPr>
            </w:pPr>
            <w:r>
              <w:rPr>
                <w:rFonts w:hint="eastAsia"/>
                <w:b/>
                <w:bCs/>
                <w:snapToGrid/>
                <w:color w:val="auto"/>
                <w:sz w:val="21"/>
                <w:szCs w:val="21"/>
                <w:highlight w:val="none"/>
                <w:u w:val="none"/>
                <w:lang w:val="en-US" w:eastAsia="zh-CN"/>
              </w:rPr>
              <w:t>表2-3 项目主要原辅材料一览表</w:t>
            </w:r>
          </w:p>
          <w:tbl>
            <w:tblPr>
              <w:tblStyle w:val="24"/>
              <w:tblW w:w="81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287"/>
              <w:gridCol w:w="969"/>
              <w:gridCol w:w="1395"/>
              <w:gridCol w:w="1155"/>
              <w:gridCol w:w="2658"/>
            </w:tblGrid>
            <w:tr w14:paraId="45BB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9E1FA12">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序号</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9D159DE">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名称</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8177DAB">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包装及规格</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3C09276">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kern w:val="2"/>
                      <w:sz w:val="21"/>
                      <w:szCs w:val="21"/>
                      <w:u w:val="none"/>
                      <w:vertAlign w:val="baseline"/>
                      <w:lang w:val="en-US" w:eastAsia="zh-CN" w:bidi="ar"/>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年用量</w:t>
                  </w:r>
                </w:p>
                <w:p w14:paraId="7FF3AB88">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hAnsi="Times New Roman" w:cs="Times New Roman"/>
                      <w:b/>
                      <w:bCs/>
                      <w:i w:val="0"/>
                      <w:iCs w:val="0"/>
                      <w:color w:val="auto"/>
                      <w:kern w:val="2"/>
                      <w:sz w:val="21"/>
                      <w:szCs w:val="21"/>
                      <w:u w:val="none"/>
                      <w:vertAlign w:val="baseline"/>
                      <w:lang w:val="en-US" w:eastAsia="zh-CN" w:bidi="ar"/>
                    </w:rPr>
                    <w:t>（t/a）</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933C446">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lang w:val="en-US"/>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最大储存量(t)</w:t>
                  </w:r>
                </w:p>
              </w:tc>
              <w:tc>
                <w:tcPr>
                  <w:tcW w:w="163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16D25B9">
                  <w:pPr>
                    <w:pStyle w:val="109"/>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i w:val="0"/>
                      <w:iCs w:val="0"/>
                      <w:color w:val="auto"/>
                      <w:sz w:val="21"/>
                      <w:szCs w:val="21"/>
                      <w:u w:val="none"/>
                      <w:vertAlign w:val="baseline"/>
                    </w:rPr>
                  </w:pPr>
                  <w:r>
                    <w:rPr>
                      <w:rFonts w:hint="eastAsia" w:ascii="Times New Roman" w:hAnsi="Times New Roman" w:eastAsia="宋体" w:cs="Times New Roman"/>
                      <w:b/>
                      <w:bCs/>
                      <w:i w:val="0"/>
                      <w:iCs w:val="0"/>
                      <w:color w:val="auto"/>
                      <w:kern w:val="2"/>
                      <w:sz w:val="21"/>
                      <w:szCs w:val="21"/>
                      <w:u w:val="none"/>
                      <w:vertAlign w:val="baseline"/>
                      <w:lang w:val="en-US" w:eastAsia="zh-CN" w:bidi="ar"/>
                    </w:rPr>
                    <w:t>备注</w:t>
                  </w:r>
                </w:p>
              </w:tc>
            </w:tr>
            <w:tr w14:paraId="2D75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9956B5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FB3C6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vertAlign w:val="baseline"/>
                      <w:lang w:val="en-US"/>
                    </w:rPr>
                  </w:pPr>
                  <w:r>
                    <w:rPr>
                      <w:rFonts w:hint="eastAsia" w:ascii="宋体" w:hAnsi="宋体" w:eastAsia="宋体" w:cs="宋体"/>
                      <w:i w:val="0"/>
                      <w:iCs w:val="0"/>
                      <w:color w:val="000000"/>
                      <w:kern w:val="0"/>
                      <w:sz w:val="21"/>
                      <w:szCs w:val="21"/>
                      <w:u w:val="none"/>
                      <w:lang w:val="en-US" w:eastAsia="zh-CN" w:bidi="ar"/>
                    </w:rPr>
                    <w:t>钢板</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1BD7C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F36D6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vertAlign w:val="baseline"/>
                      <w:lang w:val="en-US" w:eastAsia="zh-CN"/>
                    </w:rPr>
                  </w:pPr>
                  <w:r>
                    <w:rPr>
                      <w:rFonts w:hint="eastAsia" w:cs="Times New Roman"/>
                      <w:i w:val="0"/>
                      <w:iCs w:val="0"/>
                      <w:color w:val="000000"/>
                      <w:kern w:val="0"/>
                      <w:sz w:val="21"/>
                      <w:szCs w:val="21"/>
                      <w:u w:val="none"/>
                      <w:lang w:val="en-US" w:eastAsia="zh-CN" w:bidi="ar"/>
                    </w:rPr>
                    <w:t>377</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B0E04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63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2BA970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产品钢板用量约</w:t>
                  </w:r>
                  <w:r>
                    <w:rPr>
                      <w:rFonts w:hint="default" w:ascii="Times New Roman" w:hAnsi="Times New Roman" w:eastAsia="宋体" w:cs="Times New Roman"/>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1"/>
                      <w:szCs w:val="21"/>
                      <w:u w:val="none"/>
                      <w:lang w:val="en-US" w:eastAsia="zh-CN" w:bidi="ar"/>
                    </w:rPr>
                    <w:t>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台</w:t>
                  </w:r>
                </w:p>
              </w:tc>
            </w:tr>
            <w:tr w14:paraId="5C17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700F03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00DF6F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yellow"/>
                      <w:u w:val="none"/>
                      <w:vertAlign w:val="baseline"/>
                      <w:lang w:val="en-US"/>
                    </w:rPr>
                  </w:pPr>
                  <w:r>
                    <w:rPr>
                      <w:rFonts w:hint="eastAsia" w:ascii="宋体" w:hAnsi="宋体" w:cs="宋体"/>
                      <w:i w:val="0"/>
                      <w:iCs w:val="0"/>
                      <w:color w:val="000000"/>
                      <w:kern w:val="0"/>
                      <w:sz w:val="21"/>
                      <w:szCs w:val="21"/>
                      <w:highlight w:val="none"/>
                      <w:u w:val="none"/>
                      <w:lang w:val="en-US" w:eastAsia="zh-CN" w:bidi="ar"/>
                    </w:rPr>
                    <w:t>树脂漆</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04C4CC8">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i w:val="0"/>
                      <w:iCs w:val="0"/>
                      <w:color w:val="auto"/>
                      <w:sz w:val="21"/>
                      <w:szCs w:val="21"/>
                      <w:u w:val="none"/>
                      <w:vertAlign w:val="baseline"/>
                    </w:rPr>
                    <w:t>15kg/桶</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F4E4B3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58F320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163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1E4138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用于修补产品喷粉不到位、破损表面</w:t>
                  </w:r>
                </w:p>
              </w:tc>
            </w:tr>
            <w:tr w14:paraId="3001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058AB9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eastAsia" w:cs="Times New Roman"/>
                      <w:i w:val="0"/>
                      <w:iCs w:val="0"/>
                      <w:color w:val="auto"/>
                      <w:sz w:val="21"/>
                      <w:szCs w:val="21"/>
                      <w:u w:val="none"/>
                      <w:vertAlign w:val="baseline"/>
                      <w:lang w:val="en-US" w:eastAsia="zh-CN"/>
                    </w:rPr>
                    <w:t>3</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B0758D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电机</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3A33AE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1A4223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500</w:t>
                  </w:r>
                  <w:r>
                    <w:rPr>
                      <w:rFonts w:hint="eastAsia" w:ascii="宋体" w:hAnsi="宋体" w:eastAsia="宋体" w:cs="宋体"/>
                      <w:i w:val="0"/>
                      <w:iCs w:val="0"/>
                      <w:color w:val="000000"/>
                      <w:kern w:val="0"/>
                      <w:sz w:val="21"/>
                      <w:szCs w:val="21"/>
                      <w:u w:val="none"/>
                      <w:lang w:val="en-US" w:eastAsia="zh-CN" w:bidi="ar"/>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0ADCBE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台</w:t>
                  </w:r>
                </w:p>
              </w:tc>
              <w:tc>
                <w:tcPr>
                  <w:tcW w:w="163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DDB9C4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外购配件</w:t>
                  </w:r>
                </w:p>
              </w:tc>
            </w:tr>
            <w:tr w14:paraId="37DC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371027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FED652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塑料件</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5101A0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BA5526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32153D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63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052CCD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外购配件</w:t>
                  </w:r>
                </w:p>
              </w:tc>
            </w:tr>
            <w:tr w14:paraId="7D93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23B40B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7AD991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焊条</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98551B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8908A4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0.3</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836F50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163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CBDAF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vertAlign w:val="baseline"/>
                      <w:lang w:val="en-US"/>
                    </w:rPr>
                  </w:pPr>
                  <w:r>
                    <w:rPr>
                      <w:rFonts w:hint="eastAsia" w:cs="Times New Roman"/>
                      <w:i w:val="0"/>
                      <w:iCs w:val="0"/>
                      <w:color w:val="000000"/>
                      <w:kern w:val="0"/>
                      <w:sz w:val="21"/>
                      <w:szCs w:val="21"/>
                      <w:u w:val="none"/>
                      <w:lang w:val="en-US" w:eastAsia="zh-CN" w:bidi="ar"/>
                    </w:rPr>
                    <w:t>用于钢材焊接</w:t>
                  </w:r>
                </w:p>
              </w:tc>
            </w:tr>
            <w:tr w14:paraId="6B10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068E1D8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5E807B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润滑油</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4B842E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15kg/</w:t>
                  </w:r>
                  <w:r>
                    <w:rPr>
                      <w:rFonts w:hint="eastAsia" w:ascii="宋体" w:hAnsi="宋体" w:eastAsia="宋体" w:cs="宋体"/>
                      <w:i w:val="0"/>
                      <w:iCs w:val="0"/>
                      <w:color w:val="000000"/>
                      <w:kern w:val="0"/>
                      <w:sz w:val="21"/>
                      <w:szCs w:val="21"/>
                      <w:u w:val="none"/>
                      <w:lang w:val="en-US" w:eastAsia="zh-CN" w:bidi="ar"/>
                    </w:rPr>
                    <w:t>桶</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13F07F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FAB1A7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1633" w:type="pct"/>
                  <w:vMerge w:val="restart"/>
                  <w:tcBorders>
                    <w:top w:val="single" w:color="000000" w:sz="4" w:space="0"/>
                    <w:left w:val="single" w:color="000000" w:sz="4" w:space="0"/>
                    <w:right w:val="single" w:color="000000" w:sz="4" w:space="0"/>
                  </w:tcBorders>
                  <w:shd w:val="clear" w:color="auto" w:fill="auto"/>
                  <w:tcMar>
                    <w:top w:w="57" w:type="dxa"/>
                    <w:left w:w="108" w:type="dxa"/>
                    <w:bottom w:w="57" w:type="dxa"/>
                    <w:right w:w="108" w:type="dxa"/>
                  </w:tcMar>
                  <w:vAlign w:val="center"/>
                </w:tcPr>
                <w:p w14:paraId="2D950C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vertAlign w:val="baseline"/>
                      <w:lang w:val="en-US"/>
                    </w:rPr>
                  </w:pPr>
                  <w:r>
                    <w:rPr>
                      <w:rFonts w:hint="eastAsia" w:cs="Times New Roman"/>
                      <w:i w:val="0"/>
                      <w:iCs w:val="0"/>
                      <w:color w:val="000000"/>
                      <w:kern w:val="0"/>
                      <w:sz w:val="21"/>
                      <w:szCs w:val="21"/>
                      <w:u w:val="none"/>
                      <w:lang w:val="en-US" w:eastAsia="zh-CN" w:bidi="ar"/>
                    </w:rPr>
                    <w:t>用于设备润滑</w:t>
                  </w:r>
                </w:p>
              </w:tc>
            </w:tr>
            <w:tr w14:paraId="5CFA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335B66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6F74A8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黄油</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14689D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15kg/</w:t>
                  </w:r>
                  <w:r>
                    <w:rPr>
                      <w:rFonts w:hint="eastAsia" w:ascii="宋体" w:hAnsi="宋体" w:eastAsia="宋体" w:cs="宋体"/>
                      <w:i w:val="0"/>
                      <w:iCs w:val="0"/>
                      <w:color w:val="000000"/>
                      <w:kern w:val="0"/>
                      <w:sz w:val="21"/>
                      <w:szCs w:val="21"/>
                      <w:u w:val="none"/>
                      <w:lang w:val="en-US" w:eastAsia="zh-CN" w:bidi="ar"/>
                    </w:rPr>
                    <w:t>桶</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48328E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20B4F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1633" w:type="pct"/>
                  <w:vMerge w:val="continue"/>
                  <w:tcBorders>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53ADC3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sz w:val="21"/>
                      <w:szCs w:val="21"/>
                      <w:u w:val="none"/>
                      <w:vertAlign w:val="baseline"/>
                    </w:rPr>
                  </w:pPr>
                </w:p>
              </w:tc>
            </w:tr>
            <w:tr w14:paraId="11CB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74185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011C2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活性炭</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EA019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BC28D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E990D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1633" w:type="pct"/>
                  <w:vMerge w:val="restart"/>
                  <w:tcBorders>
                    <w:top w:val="single" w:color="000000" w:sz="4" w:space="0"/>
                    <w:left w:val="single" w:color="000000" w:sz="4" w:space="0"/>
                    <w:right w:val="single" w:color="000000" w:sz="4" w:space="0"/>
                  </w:tcBorders>
                  <w:shd w:val="clear" w:color="auto" w:fill="auto"/>
                  <w:tcMar>
                    <w:top w:w="57" w:type="dxa"/>
                    <w:left w:w="108" w:type="dxa"/>
                    <w:bottom w:w="57" w:type="dxa"/>
                    <w:right w:w="108" w:type="dxa"/>
                  </w:tcMar>
                  <w:vAlign w:val="center"/>
                </w:tcPr>
                <w:p w14:paraId="52981E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用于废气处理</w:t>
                  </w:r>
                </w:p>
              </w:tc>
            </w:tr>
            <w:tr w14:paraId="2CE8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E22F2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797AD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过滤棉</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4B398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33562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0.36</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A3B9F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w:t>
                  </w:r>
                </w:p>
              </w:tc>
              <w:tc>
                <w:tcPr>
                  <w:tcW w:w="1633" w:type="pct"/>
                  <w:vMerge w:val="continue"/>
                  <w:tcBorders>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DABB8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39C2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A7181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928E3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水</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5178D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EB3F1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945</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AB480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3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700A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EC8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1C7265F">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0598E5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838BA30">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09D20A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640</w:t>
                  </w:r>
                  <w:r>
                    <w:rPr>
                      <w:rFonts w:hint="eastAsia" w:ascii="宋体" w:hAnsi="宋体" w:eastAsia="宋体" w:cs="宋体"/>
                      <w:i w:val="0"/>
                      <w:iCs w:val="0"/>
                      <w:color w:val="000000"/>
                      <w:kern w:val="0"/>
                      <w:sz w:val="21"/>
                      <w:szCs w:val="21"/>
                      <w:u w:val="none"/>
                      <w:lang w:val="en-US" w:eastAsia="zh-CN" w:bidi="ar"/>
                    </w:rPr>
                    <w:t>万</w:t>
                  </w:r>
                  <w:r>
                    <w:rPr>
                      <w:rFonts w:hint="default" w:ascii="Times New Roman" w:hAnsi="Times New Roman" w:eastAsia="宋体" w:cs="Times New Roman"/>
                      <w:i w:val="0"/>
                      <w:iCs w:val="0"/>
                      <w:color w:val="000000"/>
                      <w:kern w:val="0"/>
                      <w:sz w:val="21"/>
                      <w:szCs w:val="21"/>
                      <w:u w:val="none"/>
                      <w:lang w:val="en-US" w:eastAsia="zh-CN" w:bidi="ar"/>
                    </w:rPr>
                    <w:t>kW·h</w:t>
                  </w:r>
                </w:p>
              </w:tc>
              <w:tc>
                <w:tcPr>
                  <w:tcW w:w="709"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651B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3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35394C78">
                  <w:pPr>
                    <w:keepNext w:val="0"/>
                    <w:keepLines w:val="0"/>
                    <w:suppressLineNumbers w:val="0"/>
                    <w:spacing w:before="0" w:beforeAutospacing="0" w:after="0" w:afterAutospacing="0"/>
                    <w:ind w:left="0" w:right="0"/>
                    <w:jc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r>
          </w:tbl>
          <w:p w14:paraId="17E62240">
            <w:pPr>
              <w:pStyle w:val="10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Autospacing="0"/>
              <w:ind w:left="0" w:right="0" w:firstLine="480" w:firstLineChars="200"/>
              <w:textAlignment w:val="auto"/>
              <w:rPr>
                <w:rFonts w:hint="eastAsia"/>
                <w:b w:val="0"/>
                <w:bCs w:val="0"/>
                <w:snapToGrid/>
                <w:color w:val="auto"/>
                <w:u w:val="none"/>
                <w:lang w:val="en-US" w:eastAsia="zh-CN"/>
              </w:rPr>
            </w:pPr>
            <w:r>
              <w:rPr>
                <w:rFonts w:hint="eastAsia"/>
                <w:b w:val="0"/>
                <w:bCs w:val="0"/>
                <w:snapToGrid/>
                <w:color w:val="auto"/>
                <w:u w:val="none"/>
                <w:lang w:val="en-US" w:eastAsia="zh-CN"/>
              </w:rPr>
              <w:t>主要原辅材料理化性质：</w:t>
            </w:r>
          </w:p>
          <w:p w14:paraId="7049B9C0">
            <w:pPr>
              <w:pStyle w:val="10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ind w:left="0" w:right="0" w:firstLine="482" w:firstLineChars="0"/>
              <w:textAlignment w:val="auto"/>
              <w:rPr>
                <w:rFonts w:hint="default"/>
                <w:b w:val="0"/>
                <w:bCs w:val="0"/>
                <w:snapToGrid/>
                <w:color w:val="auto"/>
                <w:u w:val="none"/>
                <w:lang w:val="en-US" w:eastAsia="zh-CN"/>
              </w:rPr>
            </w:pPr>
            <w:r>
              <w:rPr>
                <w:rFonts w:hint="eastAsia"/>
                <w:b w:val="0"/>
                <w:bCs w:val="0"/>
                <w:snapToGrid/>
                <w:color w:val="auto"/>
                <w:u w:val="none"/>
                <w:lang w:val="en-US" w:eastAsia="zh-CN"/>
              </w:rPr>
              <w:t>钢板：是用钢水浇注，冷却后压制而成的矩形平板状钢材，可直接轧制或由宽钢带剪切而成。本项目采购已初步加工的钢板进行生产，进行简单的机加工后即可进行焊接、组装等工序。</w:t>
            </w:r>
          </w:p>
          <w:p w14:paraId="6C0941F2">
            <w:pPr>
              <w:pStyle w:val="10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ind w:left="0" w:right="0" w:firstLine="482" w:firstLineChars="0"/>
              <w:textAlignment w:val="auto"/>
              <w:rPr>
                <w:rFonts w:hint="eastAsia"/>
                <w:b w:val="0"/>
                <w:bCs w:val="0"/>
                <w:snapToGrid/>
                <w:color w:val="auto"/>
                <w:u w:val="none"/>
                <w:lang w:val="en-US" w:eastAsia="zh-CN"/>
              </w:rPr>
            </w:pPr>
            <w:r>
              <w:rPr>
                <w:rFonts w:hint="eastAsia"/>
                <w:b w:val="0"/>
                <w:bCs w:val="0"/>
                <w:snapToGrid/>
                <w:color w:val="auto"/>
                <w:u w:val="none"/>
                <w:lang w:val="en-US" w:eastAsia="zh-CN"/>
              </w:rPr>
              <w:t>树脂漆：本项目使用的树脂漆外购入厂前已经调配好，无需再添加稀释剂和固化剂，树脂漆全称为醇酸树脂涂料，组成成分为醇酸树脂（占比≤60%）、200#溶剂油（占比≤40%），其中200#溶剂油主要成分为烷烃和环烷烃。</w:t>
            </w:r>
          </w:p>
          <w:p w14:paraId="4AB351C4">
            <w:pPr>
              <w:pStyle w:val="10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ind w:left="0" w:right="0" w:firstLine="482" w:firstLineChars="0"/>
              <w:textAlignment w:val="auto"/>
              <w:rPr>
                <w:rFonts w:hint="default"/>
                <w:b w:val="0"/>
                <w:bCs w:val="0"/>
                <w:snapToGrid/>
                <w:color w:val="auto"/>
                <w:u w:val="none"/>
                <w:lang w:val="en-US" w:eastAsia="zh-CN"/>
              </w:rPr>
            </w:pPr>
            <w:r>
              <w:rPr>
                <w:rFonts w:hint="eastAsia"/>
                <w:b w:val="0"/>
                <w:bCs w:val="0"/>
                <w:snapToGrid/>
                <w:color w:val="auto"/>
                <w:u w:val="none"/>
                <w:lang w:val="en-US" w:eastAsia="zh-CN"/>
              </w:rPr>
              <w:t>焊条：作为填充金属或同时作为导电用的金属丝焊接材料。在气焊和钨极气体保护电弧焊时，焊条用作填充金属；在埋弧焊、电渣焊和其他熔化极气体保护电弧焊时，焊条既是填充金属，同时焊条也是导电电极。焊条的表面不涂防氧化作用的焊剂。</w:t>
            </w:r>
          </w:p>
          <w:p w14:paraId="550D9161">
            <w:pPr>
              <w:pStyle w:val="10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ind w:left="0" w:right="0" w:firstLine="482" w:firstLineChars="0"/>
              <w:textAlignment w:val="auto"/>
              <w:rPr>
                <w:rFonts w:hint="eastAsia" w:hAnsi="Times New Roman" w:eastAsia="宋体"/>
                <w:b/>
                <w:snapToGrid w:val="0"/>
                <w:color w:val="auto"/>
                <w:u w:val="none"/>
                <w:lang w:eastAsia="zh-CN"/>
              </w:rPr>
            </w:pPr>
            <w:r>
              <w:rPr>
                <w:rFonts w:hint="eastAsia" w:hAnsi="Times New Roman"/>
                <w:b/>
                <w:snapToGrid w:val="0"/>
                <w:color w:val="auto"/>
                <w:u w:val="none"/>
                <w:lang w:val="en-US" w:eastAsia="zh-CN"/>
              </w:rPr>
              <w:t>5</w:t>
            </w:r>
            <w:r>
              <w:rPr>
                <w:rFonts w:hint="eastAsia" w:hAnsi="Times New Roman"/>
                <w:b/>
                <w:snapToGrid w:val="0"/>
                <w:color w:val="auto"/>
                <w:u w:val="none"/>
              </w:rPr>
              <w:t>、</w:t>
            </w:r>
            <w:r>
              <w:rPr>
                <w:rFonts w:hint="default" w:hAnsi="Times New Roman"/>
                <w:b/>
                <w:snapToGrid w:val="0"/>
                <w:color w:val="auto"/>
                <w:u w:val="none"/>
              </w:rPr>
              <w:t>主要</w:t>
            </w:r>
            <w:r>
              <w:rPr>
                <w:rFonts w:hint="eastAsia" w:hAnsi="Times New Roman"/>
                <w:b/>
                <w:snapToGrid w:val="0"/>
                <w:color w:val="auto"/>
                <w:u w:val="none"/>
                <w:lang w:val="en-US" w:eastAsia="zh-CN"/>
              </w:rPr>
              <w:t>生产设备</w:t>
            </w:r>
          </w:p>
          <w:p w14:paraId="6DC2A23D">
            <w:pPr>
              <w:pStyle w:val="109"/>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highlight w:val="none"/>
                <w:u w:val="none"/>
                <w:lang w:val="en-US" w:eastAsia="zh-CN"/>
              </w:rPr>
              <w:t>根据业主提供资料，本项目主要生产设备见下表。</w:t>
            </w:r>
            <w:r>
              <w:rPr>
                <w:rFonts w:hint="eastAsia"/>
                <w:color w:val="auto"/>
                <w:u w:val="none"/>
                <w:lang w:val="en-US" w:eastAsia="zh-CN"/>
              </w:rPr>
              <w:t xml:space="preserve"> </w:t>
            </w:r>
          </w:p>
          <w:p w14:paraId="7D421289">
            <w:pPr>
              <w:pStyle w:val="109"/>
              <w:keepNext w:val="0"/>
              <w:keepLines w:val="0"/>
              <w:suppressLineNumbers w:val="0"/>
              <w:spacing w:before="0" w:beforeAutospacing="0" w:after="0" w:afterAutospacing="0" w:line="240" w:lineRule="auto"/>
              <w:ind w:left="0" w:right="0" w:firstLine="480" w:firstLineChars="0"/>
              <w:jc w:val="center"/>
              <w:rPr>
                <w:rFonts w:hint="default" w:hAnsi="Times New Roman" w:eastAsia="宋体"/>
                <w:b/>
                <w:bCs/>
                <w:snapToGrid w:val="0"/>
                <w:color w:val="auto"/>
                <w:sz w:val="21"/>
                <w:szCs w:val="21"/>
                <w:highlight w:val="none"/>
                <w:u w:val="none"/>
                <w:lang w:val="en-US" w:eastAsia="zh-CN"/>
              </w:rPr>
            </w:pPr>
            <w:r>
              <w:rPr>
                <w:rFonts w:hint="eastAsia" w:hAnsi="Times New Roman"/>
                <w:b/>
                <w:bCs/>
                <w:snapToGrid w:val="0"/>
                <w:color w:val="auto"/>
                <w:sz w:val="21"/>
                <w:szCs w:val="21"/>
                <w:highlight w:val="none"/>
                <w:u w:val="none"/>
                <w:lang w:val="en-US" w:eastAsia="zh-CN"/>
              </w:rPr>
              <w:t>表2-4 项目主要生产设备一览表</w:t>
            </w:r>
          </w:p>
          <w:tbl>
            <w:tblPr>
              <w:tblStyle w:val="2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
              <w:gridCol w:w="2700"/>
              <w:gridCol w:w="1100"/>
              <w:gridCol w:w="3346"/>
            </w:tblGrid>
            <w:tr w14:paraId="3984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07" w:type="pct"/>
                  <w:tcBorders>
                    <w:top w:val="single" w:color="000000" w:sz="8" w:space="0"/>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0118B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59" w:type="pct"/>
                  <w:tcBorders>
                    <w:top w:val="single" w:color="000000" w:sz="8" w:space="0"/>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538CC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676" w:type="pct"/>
                  <w:tcBorders>
                    <w:top w:val="single" w:color="000000" w:sz="8" w:space="0"/>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6EEF9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台数</w:t>
                  </w:r>
                </w:p>
              </w:tc>
              <w:tc>
                <w:tcPr>
                  <w:tcW w:w="2056" w:type="pct"/>
                  <w:tcBorders>
                    <w:top w:val="single" w:color="000000" w:sz="8" w:space="0"/>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4E946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w:t>
                  </w:r>
                  <w:r>
                    <w:rPr>
                      <w:rFonts w:hint="default" w:ascii="Times New Roman" w:hAnsi="Times New Roman" w:eastAsia="宋体" w:cs="Times New Roman"/>
                      <w:b/>
                      <w:bCs/>
                      <w:color w:val="000000"/>
                      <w:sz w:val="21"/>
                      <w:szCs w:val="21"/>
                      <w:u w:val="none"/>
                      <w:lang w:val="en-US" w:eastAsia="zh-CN" w:bidi="ar"/>
                    </w:rPr>
                    <w:t xml:space="preserve"> </w:t>
                  </w:r>
                  <w:r>
                    <w:rPr>
                      <w:rFonts w:hint="eastAsia" w:ascii="宋体" w:hAnsi="宋体" w:eastAsia="宋体" w:cs="宋体"/>
                      <w:b/>
                      <w:bCs/>
                      <w:color w:val="000000"/>
                      <w:sz w:val="21"/>
                      <w:szCs w:val="21"/>
                      <w:u w:val="none"/>
                      <w:lang w:val="en-US" w:eastAsia="zh-CN" w:bidi="ar"/>
                    </w:rPr>
                    <w:t>注</w:t>
                  </w:r>
                </w:p>
              </w:tc>
            </w:tr>
            <w:tr w14:paraId="6D63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5000" w:type="pct"/>
                  <w:gridSpan w:val="4"/>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5EEEC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生产设备</w:t>
                  </w:r>
                </w:p>
              </w:tc>
            </w:tr>
            <w:tr w14:paraId="1978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07"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480D36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59" w:type="pct"/>
                  <w:tcBorders>
                    <w:top w:val="single" w:color="000000" w:sz="8" w:space="0"/>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61536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切割机</w:t>
                  </w:r>
                </w:p>
              </w:tc>
              <w:tc>
                <w:tcPr>
                  <w:tcW w:w="676" w:type="pct"/>
                  <w:tcBorders>
                    <w:top w:val="single" w:color="000000" w:sz="8" w:space="0"/>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5CD082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56" w:type="pct"/>
                  <w:tcBorders>
                    <w:top w:val="single" w:color="000000" w:sz="8" w:space="0"/>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4C980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用于</w:t>
                  </w:r>
                  <w:r>
                    <w:rPr>
                      <w:rFonts w:hint="eastAsia" w:ascii="宋体" w:hAnsi="宋体" w:eastAsia="宋体" w:cs="宋体"/>
                      <w:i w:val="0"/>
                      <w:iCs w:val="0"/>
                      <w:color w:val="000000"/>
                      <w:kern w:val="0"/>
                      <w:sz w:val="21"/>
                      <w:szCs w:val="21"/>
                      <w:u w:val="none"/>
                      <w:lang w:val="en-US" w:eastAsia="zh-CN" w:bidi="ar"/>
                    </w:rPr>
                    <w:t>切割</w:t>
                  </w:r>
                </w:p>
              </w:tc>
            </w:tr>
            <w:tr w14:paraId="0030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07"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129023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659" w:type="pct"/>
                  <w:tcBorders>
                    <w:top w:val="nil"/>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18047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焊接机</w:t>
                  </w:r>
                </w:p>
              </w:tc>
              <w:tc>
                <w:tcPr>
                  <w:tcW w:w="67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355F18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5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51C2F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用于焊接</w:t>
                  </w:r>
                </w:p>
              </w:tc>
            </w:tr>
            <w:tr w14:paraId="76F0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07"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227065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659" w:type="pct"/>
                  <w:tcBorders>
                    <w:top w:val="nil"/>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6FB3D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冲压机</w:t>
                  </w:r>
                </w:p>
              </w:tc>
              <w:tc>
                <w:tcPr>
                  <w:tcW w:w="67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1EEBC1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05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7C680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用于冲压</w:t>
                  </w:r>
                </w:p>
              </w:tc>
            </w:tr>
            <w:tr w14:paraId="7F37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07"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4A08C5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659" w:type="pct"/>
                  <w:tcBorders>
                    <w:top w:val="nil"/>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2CF89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车床</w:t>
                  </w:r>
                </w:p>
              </w:tc>
              <w:tc>
                <w:tcPr>
                  <w:tcW w:w="67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02FEB9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5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61A4D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用于造型</w:t>
                  </w:r>
                </w:p>
              </w:tc>
            </w:tr>
            <w:tr w14:paraId="2E9F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07"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35B2E9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659" w:type="pct"/>
                  <w:tcBorders>
                    <w:top w:val="nil"/>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3DEB7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锯床</w:t>
                  </w:r>
                </w:p>
              </w:tc>
              <w:tc>
                <w:tcPr>
                  <w:tcW w:w="67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774819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5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61360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用于造型</w:t>
                  </w:r>
                </w:p>
              </w:tc>
            </w:tr>
            <w:tr w14:paraId="73DB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07"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3D05CC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659" w:type="pct"/>
                  <w:tcBorders>
                    <w:top w:val="nil"/>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3F1B0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钻床</w:t>
                  </w:r>
                </w:p>
              </w:tc>
              <w:tc>
                <w:tcPr>
                  <w:tcW w:w="67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5B4253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05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3A4B9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用于钻孔</w:t>
                  </w:r>
                </w:p>
              </w:tc>
            </w:tr>
            <w:tr w14:paraId="3C43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07"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1EB3A1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659" w:type="pct"/>
                  <w:tcBorders>
                    <w:top w:val="nil"/>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0E5FC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喷漆气泵</w:t>
                  </w:r>
                </w:p>
              </w:tc>
              <w:tc>
                <w:tcPr>
                  <w:tcW w:w="67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032E8C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05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20093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用于喷漆</w:t>
                  </w:r>
                </w:p>
              </w:tc>
            </w:tr>
            <w:tr w14:paraId="0459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07"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43FB86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659" w:type="pct"/>
                  <w:tcBorders>
                    <w:top w:val="nil"/>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2D10E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空压机</w:t>
                  </w:r>
                </w:p>
              </w:tc>
              <w:tc>
                <w:tcPr>
                  <w:tcW w:w="67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18EC43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05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6BEBD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用于喷漆</w:t>
                  </w:r>
                </w:p>
              </w:tc>
            </w:tr>
            <w:tr w14:paraId="36DA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5000" w:type="pct"/>
                  <w:gridSpan w:val="4"/>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0CA45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环保设备</w:t>
                  </w:r>
                </w:p>
              </w:tc>
            </w:tr>
            <w:tr w14:paraId="0201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07"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3273DF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59" w:type="pct"/>
                  <w:tcBorders>
                    <w:top w:val="nil"/>
                    <w:left w:val="nil"/>
                    <w:bottom w:val="single" w:color="000000" w:sz="8" w:space="0"/>
                    <w:right w:val="single" w:color="000000" w:sz="8" w:space="0"/>
                  </w:tcBorders>
                  <w:shd w:val="clear" w:color="auto" w:fill="auto"/>
                  <w:tcMar>
                    <w:top w:w="57" w:type="dxa"/>
                    <w:left w:w="108" w:type="dxa"/>
                    <w:bottom w:w="57" w:type="dxa"/>
                    <w:right w:w="108" w:type="dxa"/>
                  </w:tcMar>
                  <w:vAlign w:val="center"/>
                </w:tcPr>
                <w:p w14:paraId="3235C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移动式焊接烟尘收集设备</w:t>
                  </w:r>
                </w:p>
              </w:tc>
              <w:tc>
                <w:tcPr>
                  <w:tcW w:w="67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1FFF7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w:t>
                  </w:r>
                </w:p>
              </w:tc>
              <w:tc>
                <w:tcPr>
                  <w:tcW w:w="2056" w:type="pct"/>
                  <w:tcBorders>
                    <w:top w:val="nil"/>
                    <w:left w:val="single" w:color="000000" w:sz="8" w:space="0"/>
                    <w:bottom w:val="single" w:color="000000" w:sz="8" w:space="0"/>
                    <w:right w:val="single" w:color="000000" w:sz="8" w:space="0"/>
                  </w:tcBorders>
                  <w:shd w:val="clear" w:color="auto" w:fill="auto"/>
                  <w:tcMar>
                    <w:top w:w="57" w:type="dxa"/>
                    <w:left w:w="108" w:type="dxa"/>
                    <w:bottom w:w="57" w:type="dxa"/>
                    <w:right w:w="108" w:type="dxa"/>
                  </w:tcMar>
                  <w:vAlign w:val="center"/>
                </w:tcPr>
                <w:p w14:paraId="73210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用于处理焊接废气</w:t>
                  </w:r>
                </w:p>
              </w:tc>
            </w:tr>
            <w:tr w14:paraId="7D23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07" w:type="pct"/>
                  <w:tcBorders>
                    <w:top w:val="single" w:color="auto" w:sz="4" w:space="0"/>
                    <w:left w:val="single" w:color="auto" w:sz="4" w:space="0"/>
                    <w:bottom w:val="single" w:color="auto" w:sz="4" w:space="0"/>
                    <w:right w:val="single" w:color="000000" w:sz="8" w:space="0"/>
                  </w:tcBorders>
                  <w:shd w:val="clear" w:color="auto" w:fill="auto"/>
                  <w:tcMar>
                    <w:top w:w="57" w:type="dxa"/>
                    <w:left w:w="108" w:type="dxa"/>
                    <w:bottom w:w="57" w:type="dxa"/>
                    <w:right w:w="108" w:type="dxa"/>
                  </w:tcMar>
                  <w:vAlign w:val="center"/>
                </w:tcPr>
                <w:p w14:paraId="5A491C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w:t>
                  </w:r>
                </w:p>
              </w:tc>
              <w:tc>
                <w:tcPr>
                  <w:tcW w:w="1659" w:type="pct"/>
                  <w:tcBorders>
                    <w:top w:val="single" w:color="auto" w:sz="4" w:space="0"/>
                    <w:left w:val="nil"/>
                    <w:bottom w:val="single" w:color="auto" w:sz="4" w:space="0"/>
                    <w:right w:val="single" w:color="000000" w:sz="8" w:space="0"/>
                  </w:tcBorders>
                  <w:shd w:val="clear" w:color="auto" w:fill="auto"/>
                  <w:tcMar>
                    <w:top w:w="57" w:type="dxa"/>
                    <w:left w:w="108" w:type="dxa"/>
                    <w:bottom w:w="57" w:type="dxa"/>
                    <w:right w:w="108" w:type="dxa"/>
                  </w:tcMar>
                  <w:vAlign w:val="center"/>
                </w:tcPr>
                <w:p w14:paraId="13A08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二级活性炭吸附设备</w:t>
                  </w:r>
                </w:p>
              </w:tc>
              <w:tc>
                <w:tcPr>
                  <w:tcW w:w="676" w:type="pct"/>
                  <w:tcBorders>
                    <w:top w:val="single" w:color="auto" w:sz="4" w:space="0"/>
                    <w:left w:val="single" w:color="000000" w:sz="8" w:space="0"/>
                    <w:bottom w:val="single" w:color="auto" w:sz="4" w:space="0"/>
                    <w:right w:val="single" w:color="000000" w:sz="8" w:space="0"/>
                  </w:tcBorders>
                  <w:shd w:val="clear" w:color="auto" w:fill="auto"/>
                  <w:tcMar>
                    <w:top w:w="57" w:type="dxa"/>
                    <w:left w:w="108" w:type="dxa"/>
                    <w:bottom w:w="57" w:type="dxa"/>
                    <w:right w:w="108" w:type="dxa"/>
                  </w:tcMar>
                  <w:vAlign w:val="center"/>
                </w:tcPr>
                <w:p w14:paraId="2BEFA9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2056" w:type="pct"/>
                  <w:tcBorders>
                    <w:top w:val="single" w:color="auto" w:sz="4" w:space="0"/>
                    <w:left w:val="single" w:color="000000" w:sz="8" w:space="0"/>
                    <w:bottom w:val="single" w:color="auto" w:sz="4" w:space="0"/>
                    <w:right w:val="single" w:color="auto" w:sz="4" w:space="0"/>
                  </w:tcBorders>
                  <w:shd w:val="clear" w:color="auto" w:fill="auto"/>
                  <w:tcMar>
                    <w:top w:w="57" w:type="dxa"/>
                    <w:left w:w="108" w:type="dxa"/>
                    <w:bottom w:w="57" w:type="dxa"/>
                    <w:right w:w="108" w:type="dxa"/>
                  </w:tcMar>
                  <w:vAlign w:val="center"/>
                </w:tcPr>
                <w:p w14:paraId="16E5A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用于处理补漆废气</w:t>
                  </w:r>
                </w:p>
              </w:tc>
            </w:tr>
            <w:tr w14:paraId="37D4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07" w:type="pct"/>
                  <w:tcBorders>
                    <w:top w:val="single" w:color="auto" w:sz="4" w:space="0"/>
                    <w:left w:val="single" w:color="auto" w:sz="4" w:space="0"/>
                    <w:bottom w:val="single" w:color="auto" w:sz="4" w:space="0"/>
                    <w:right w:val="single" w:color="000000" w:sz="8" w:space="0"/>
                  </w:tcBorders>
                  <w:shd w:val="clear" w:color="auto" w:fill="auto"/>
                  <w:tcMar>
                    <w:top w:w="57" w:type="dxa"/>
                    <w:left w:w="108" w:type="dxa"/>
                    <w:bottom w:w="57" w:type="dxa"/>
                    <w:right w:w="108" w:type="dxa"/>
                  </w:tcMar>
                  <w:vAlign w:val="center"/>
                </w:tcPr>
                <w:p w14:paraId="0FFF0FED">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w:t>
                  </w:r>
                </w:p>
              </w:tc>
              <w:tc>
                <w:tcPr>
                  <w:tcW w:w="1659" w:type="pct"/>
                  <w:tcBorders>
                    <w:top w:val="single" w:color="auto" w:sz="4" w:space="0"/>
                    <w:left w:val="nil"/>
                    <w:bottom w:val="single" w:color="auto" w:sz="4" w:space="0"/>
                    <w:right w:val="single" w:color="000000" w:sz="8" w:space="0"/>
                  </w:tcBorders>
                  <w:shd w:val="clear" w:color="auto" w:fill="auto"/>
                  <w:tcMar>
                    <w:top w:w="57" w:type="dxa"/>
                    <w:left w:w="108" w:type="dxa"/>
                    <w:bottom w:w="57" w:type="dxa"/>
                    <w:right w:w="108" w:type="dxa"/>
                  </w:tcMar>
                  <w:vAlign w:val="center"/>
                </w:tcPr>
                <w:p w14:paraId="202BD0C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过滤棉吸附装置</w:t>
                  </w:r>
                </w:p>
              </w:tc>
              <w:tc>
                <w:tcPr>
                  <w:tcW w:w="676" w:type="pct"/>
                  <w:tcBorders>
                    <w:top w:val="single" w:color="auto" w:sz="4" w:space="0"/>
                    <w:left w:val="single" w:color="000000" w:sz="8" w:space="0"/>
                    <w:bottom w:val="single" w:color="auto" w:sz="4" w:space="0"/>
                    <w:right w:val="single" w:color="000000" w:sz="8" w:space="0"/>
                  </w:tcBorders>
                  <w:shd w:val="clear" w:color="auto" w:fill="auto"/>
                  <w:tcMar>
                    <w:top w:w="57" w:type="dxa"/>
                    <w:left w:w="108" w:type="dxa"/>
                    <w:bottom w:w="57" w:type="dxa"/>
                    <w:right w:w="108" w:type="dxa"/>
                  </w:tcMar>
                  <w:vAlign w:val="center"/>
                </w:tcPr>
                <w:p w14:paraId="5977F7DC">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2056" w:type="pct"/>
                  <w:tcBorders>
                    <w:top w:val="single" w:color="auto" w:sz="4" w:space="0"/>
                    <w:left w:val="single" w:color="000000" w:sz="8" w:space="0"/>
                    <w:bottom w:val="single" w:color="auto" w:sz="4" w:space="0"/>
                    <w:right w:val="single" w:color="auto" w:sz="4" w:space="0"/>
                  </w:tcBorders>
                  <w:shd w:val="clear" w:color="auto" w:fill="auto"/>
                  <w:tcMar>
                    <w:top w:w="57" w:type="dxa"/>
                    <w:left w:w="108" w:type="dxa"/>
                    <w:bottom w:w="57" w:type="dxa"/>
                    <w:right w:w="108" w:type="dxa"/>
                  </w:tcMar>
                  <w:vAlign w:val="center"/>
                </w:tcPr>
                <w:p w14:paraId="252517A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用于处理补漆废气</w:t>
                  </w:r>
                </w:p>
              </w:tc>
            </w:tr>
          </w:tbl>
          <w:p w14:paraId="3515385D">
            <w:pPr>
              <w:pStyle w:val="109"/>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482" w:firstLineChars="0"/>
              <w:textAlignment w:val="auto"/>
              <w:rPr>
                <w:rFonts w:hint="default" w:hAnsi="Times New Roman"/>
                <w:b/>
                <w:snapToGrid w:val="0"/>
                <w:color w:val="auto"/>
                <w:u w:val="none"/>
              </w:rPr>
            </w:pPr>
            <w:r>
              <w:rPr>
                <w:rFonts w:hint="eastAsia" w:hAnsi="Times New Roman"/>
                <w:b/>
                <w:snapToGrid w:val="0"/>
                <w:color w:val="auto"/>
                <w:u w:val="none"/>
                <w:lang w:val="en-US" w:eastAsia="zh-CN"/>
              </w:rPr>
              <w:t>6</w:t>
            </w:r>
            <w:r>
              <w:rPr>
                <w:rFonts w:hint="eastAsia" w:hAnsi="Times New Roman"/>
                <w:b/>
                <w:snapToGrid w:val="0"/>
                <w:color w:val="auto"/>
                <w:highlight w:val="none"/>
                <w:u w:val="none"/>
              </w:rPr>
              <w:t>、</w:t>
            </w:r>
            <w:r>
              <w:rPr>
                <w:rFonts w:hint="default" w:hAnsi="Times New Roman"/>
                <w:b/>
                <w:snapToGrid w:val="0"/>
                <w:color w:val="auto"/>
                <w:highlight w:val="none"/>
                <w:u w:val="none"/>
              </w:rPr>
              <w:t>劳动定员及工作制度</w:t>
            </w:r>
          </w:p>
          <w:p w14:paraId="67E567FA">
            <w:pPr>
              <w:pStyle w:val="109"/>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default" w:hAnsi="Times New Roman"/>
                <w:snapToGrid w:val="0"/>
                <w:color w:val="auto"/>
                <w:u w:val="none"/>
              </w:rPr>
              <w:t>劳动定员：劳动定员为</w:t>
            </w:r>
            <w:r>
              <w:rPr>
                <w:rFonts w:hint="eastAsia" w:hAnsi="Times New Roman"/>
                <w:snapToGrid w:val="0"/>
                <w:color w:val="auto"/>
                <w:highlight w:val="none"/>
                <w:u w:val="none"/>
                <w:lang w:val="en-US" w:eastAsia="zh-CN"/>
              </w:rPr>
              <w:t>35名员工，均不在厂区内住宿，食堂每日提供1餐，约35人就餐。</w:t>
            </w:r>
          </w:p>
          <w:p w14:paraId="75A81220">
            <w:pPr>
              <w:pStyle w:val="109"/>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default" w:hAnsi="Times New Roman"/>
                <w:snapToGrid w:val="0"/>
                <w:color w:val="auto"/>
                <w:u w:val="none"/>
              </w:rPr>
              <w:t>工作制度：</w:t>
            </w:r>
            <w:r>
              <w:rPr>
                <w:rFonts w:hint="eastAsia" w:hAnsi="Times New Roman"/>
                <w:snapToGrid w:val="0"/>
                <w:color w:val="auto"/>
                <w:u w:val="none"/>
                <w:lang w:val="en-US" w:eastAsia="zh-CN"/>
              </w:rPr>
              <w:t>每年工作300天，1班制，每班8h</w:t>
            </w:r>
            <w:r>
              <w:rPr>
                <w:rFonts w:hint="default" w:hAnsi="Times New Roman"/>
                <w:snapToGrid w:val="0"/>
                <w:color w:val="auto"/>
                <w:u w:val="none"/>
              </w:rPr>
              <w:t>。</w:t>
            </w:r>
          </w:p>
          <w:p w14:paraId="446A70D4">
            <w:pPr>
              <w:pStyle w:val="109"/>
              <w:keepNext w:val="0"/>
              <w:keepLines w:val="0"/>
              <w:suppressLineNumbers w:val="0"/>
              <w:spacing w:before="0" w:beforeAutospacing="0" w:after="0" w:afterAutospacing="0"/>
              <w:ind w:left="0" w:right="0" w:firstLine="480" w:firstLineChars="0"/>
              <w:rPr>
                <w:rFonts w:hint="default" w:hAnsi="Times New Roman"/>
                <w:b/>
                <w:snapToGrid w:val="0"/>
                <w:color w:val="auto"/>
                <w:u w:val="none"/>
              </w:rPr>
            </w:pPr>
            <w:r>
              <w:rPr>
                <w:rFonts w:hint="eastAsia" w:hAnsi="Times New Roman"/>
                <w:b/>
                <w:snapToGrid w:val="0"/>
                <w:color w:val="auto"/>
                <w:u w:val="none"/>
                <w:lang w:val="en-US" w:eastAsia="zh-CN"/>
              </w:rPr>
              <w:t>7</w:t>
            </w:r>
            <w:r>
              <w:rPr>
                <w:rFonts w:hint="eastAsia" w:hAnsi="Times New Roman"/>
                <w:b/>
                <w:snapToGrid w:val="0"/>
                <w:color w:val="auto"/>
                <w:u w:val="none"/>
              </w:rPr>
              <w:t>、</w:t>
            </w:r>
            <w:r>
              <w:rPr>
                <w:rFonts w:hint="default" w:hAnsi="Times New Roman"/>
                <w:b/>
                <w:snapToGrid w:val="0"/>
                <w:color w:val="auto"/>
                <w:u w:val="none"/>
              </w:rPr>
              <w:t>公用工程</w:t>
            </w:r>
          </w:p>
          <w:p w14:paraId="073ED5D8">
            <w:pPr>
              <w:pStyle w:val="109"/>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eastAsia" w:hAnsi="Times New Roman"/>
                <w:snapToGrid w:val="0"/>
                <w:color w:val="auto"/>
                <w:u w:val="none"/>
              </w:rPr>
              <w:t>（1）</w:t>
            </w:r>
            <w:r>
              <w:rPr>
                <w:rFonts w:hint="default" w:hAnsi="Times New Roman"/>
                <w:snapToGrid w:val="0"/>
                <w:color w:val="auto"/>
                <w:u w:val="none"/>
              </w:rPr>
              <w:t>供电</w:t>
            </w:r>
          </w:p>
          <w:p w14:paraId="3E1F4D33">
            <w:pPr>
              <w:pStyle w:val="109"/>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default" w:hAnsi="Times New Roman"/>
                <w:snapToGrid w:val="0"/>
                <w:color w:val="auto"/>
                <w:u w:val="none"/>
              </w:rPr>
              <w:t>本项目供电</w:t>
            </w:r>
            <w:r>
              <w:rPr>
                <w:rFonts w:hint="eastAsia" w:hAnsi="Times New Roman"/>
                <w:snapToGrid w:val="0"/>
                <w:color w:val="auto"/>
                <w:u w:val="none"/>
                <w:lang w:eastAsia="zh-Hans"/>
              </w:rPr>
              <w:t>由</w:t>
            </w:r>
            <w:r>
              <w:rPr>
                <w:rFonts w:hint="default" w:hAnsi="Times New Roman"/>
                <w:snapToGrid w:val="0"/>
                <w:color w:val="auto"/>
                <w:u w:val="none"/>
              </w:rPr>
              <w:t>市政电网提供。</w:t>
            </w:r>
          </w:p>
          <w:p w14:paraId="5A01C604">
            <w:pPr>
              <w:pStyle w:val="109"/>
              <w:keepNext w:val="0"/>
              <w:keepLines w:val="0"/>
              <w:suppressLineNumbers w:val="0"/>
              <w:spacing w:before="0" w:beforeAutospacing="0" w:after="0" w:afterAutospacing="0"/>
              <w:ind w:left="0" w:right="0" w:firstLine="480"/>
              <w:rPr>
                <w:rFonts w:hint="default"/>
                <w:snapToGrid w:val="0"/>
                <w:color w:val="auto"/>
                <w:highlight w:val="none"/>
                <w:u w:val="none"/>
              </w:rPr>
            </w:pPr>
            <w:r>
              <w:rPr>
                <w:rFonts w:hint="eastAsia"/>
                <w:snapToGrid w:val="0"/>
                <w:color w:val="auto"/>
                <w:highlight w:val="none"/>
                <w:u w:val="none"/>
              </w:rPr>
              <w:t>（2）</w:t>
            </w:r>
            <w:r>
              <w:rPr>
                <w:rFonts w:hint="default"/>
                <w:snapToGrid w:val="0"/>
                <w:color w:val="auto"/>
                <w:highlight w:val="none"/>
                <w:u w:val="none"/>
              </w:rPr>
              <w:t>给排水</w:t>
            </w:r>
          </w:p>
          <w:p w14:paraId="557B26EB">
            <w:pPr>
              <w:pStyle w:val="109"/>
              <w:keepNext w:val="0"/>
              <w:keepLines w:val="0"/>
              <w:suppressLineNumbers w:val="0"/>
              <w:spacing w:before="0" w:beforeAutospacing="0" w:after="0" w:afterAutospacing="0"/>
              <w:ind w:left="0" w:right="0" w:firstLine="480"/>
              <w:rPr>
                <w:rFonts w:hint="default"/>
                <w:color w:val="auto"/>
                <w:u w:val="none"/>
              </w:rPr>
            </w:pPr>
            <w:r>
              <w:rPr>
                <w:rFonts w:hint="default"/>
                <w:color w:val="auto"/>
                <w:u w:val="none"/>
              </w:rPr>
              <w:t>本项目供水来源于</w:t>
            </w:r>
            <w:r>
              <w:rPr>
                <w:rFonts w:hint="eastAsia"/>
                <w:color w:val="auto"/>
                <w:highlight w:val="none"/>
                <w:u w:val="none"/>
                <w:lang w:val="en-US" w:eastAsia="zh-CN"/>
              </w:rPr>
              <w:t>市政管网</w:t>
            </w:r>
            <w:r>
              <w:rPr>
                <w:rFonts w:hint="default"/>
                <w:color w:val="auto"/>
                <w:u w:val="none"/>
              </w:rPr>
              <w:t>。用水主要为员工生活用水。</w:t>
            </w:r>
          </w:p>
          <w:p w14:paraId="29FCB4BE">
            <w:pPr>
              <w:pStyle w:val="109"/>
              <w:keepNext w:val="0"/>
              <w:keepLines w:val="0"/>
              <w:suppressLineNumbers w:val="0"/>
              <w:spacing w:before="0" w:beforeAutospacing="0" w:after="0" w:afterAutospacing="0"/>
              <w:ind w:left="0" w:right="0" w:firstLine="480"/>
              <w:rPr>
                <w:rFonts w:hint="eastAsia"/>
                <w:color w:val="auto"/>
                <w:u w:val="none"/>
                <w:lang w:eastAsia="zh-CN"/>
              </w:rPr>
            </w:pPr>
            <w:r>
              <w:rPr>
                <w:rFonts w:hint="eastAsia"/>
                <w:color w:val="auto"/>
                <w:u w:val="none"/>
              </w:rPr>
              <w:t>本项目劳动定</w:t>
            </w:r>
            <w:r>
              <w:rPr>
                <w:rFonts w:hint="eastAsia"/>
                <w:color w:val="auto"/>
                <w:highlight w:val="none"/>
                <w:u w:val="none"/>
              </w:rPr>
              <w:t>员</w:t>
            </w:r>
            <w:r>
              <w:rPr>
                <w:rFonts w:hint="eastAsia"/>
                <w:color w:val="auto"/>
                <w:highlight w:val="none"/>
                <w:u w:val="none"/>
                <w:lang w:val="en-US" w:eastAsia="zh-CN"/>
              </w:rPr>
              <w:t>35</w:t>
            </w:r>
            <w:r>
              <w:rPr>
                <w:rFonts w:hint="eastAsia"/>
                <w:color w:val="auto"/>
                <w:highlight w:val="none"/>
                <w:u w:val="none"/>
              </w:rPr>
              <w:t>人</w:t>
            </w:r>
            <w:r>
              <w:rPr>
                <w:rFonts w:hint="eastAsia"/>
                <w:color w:val="auto"/>
                <w:highlight w:val="none"/>
                <w:u w:val="none"/>
                <w:lang w:eastAsia="zh-CN"/>
              </w:rPr>
              <w:t>，</w:t>
            </w:r>
            <w:r>
              <w:rPr>
                <w:rFonts w:hint="eastAsia"/>
                <w:color w:val="auto"/>
                <w:highlight w:val="none"/>
                <w:u w:val="none"/>
                <w:lang w:val="en-US" w:eastAsia="zh-CN"/>
              </w:rPr>
              <w:t>均不在厂区内住宿，食堂每日提供1餐</w:t>
            </w:r>
            <w:r>
              <w:rPr>
                <w:rFonts w:hint="eastAsia"/>
                <w:color w:val="auto"/>
                <w:u w:val="none"/>
                <w:lang w:eastAsia="zh-CN"/>
              </w:rPr>
              <w:t>。年工作时间</w:t>
            </w:r>
            <w:r>
              <w:rPr>
                <w:rFonts w:hint="eastAsia"/>
                <w:color w:val="auto"/>
                <w:u w:val="none"/>
                <w:lang w:val="en-US" w:eastAsia="zh-CN"/>
              </w:rPr>
              <w:t>300天</w:t>
            </w:r>
            <w:r>
              <w:rPr>
                <w:rFonts w:hint="eastAsia"/>
                <w:color w:val="auto"/>
                <w:u w:val="none"/>
                <w:lang w:eastAsia="zh-CN"/>
              </w:rPr>
              <w:t>，据查《湖南省用水定额》（DB43/T388-2020），农村地区分散式供水的用水量为90L/人</w:t>
            </w:r>
            <w:r>
              <w:rPr>
                <w:rFonts w:hint="default" w:ascii="Times New Roman" w:hAnsi="Times New Roman" w:cs="Times New Roman"/>
                <w:color w:val="auto"/>
                <w:u w:val="none"/>
                <w:lang w:eastAsia="zh-CN"/>
              </w:rPr>
              <w:t>·</w:t>
            </w:r>
            <w:r>
              <w:rPr>
                <w:rFonts w:hint="eastAsia"/>
                <w:color w:val="auto"/>
                <w:u w:val="none"/>
                <w:lang w:eastAsia="zh-CN"/>
              </w:rPr>
              <w:t>d，职工生活用水量为</w:t>
            </w:r>
            <w:r>
              <w:rPr>
                <w:rFonts w:hint="eastAsia"/>
                <w:color w:val="auto"/>
                <w:u w:val="none"/>
                <w:lang w:val="en-US" w:eastAsia="zh-CN"/>
              </w:rPr>
              <w:t>3.15m³/d</w:t>
            </w:r>
            <w:r>
              <w:rPr>
                <w:rFonts w:hint="eastAsia"/>
                <w:color w:val="auto"/>
                <w:u w:val="none"/>
                <w:lang w:eastAsia="zh-CN"/>
              </w:rPr>
              <w:t>（</w:t>
            </w:r>
            <w:r>
              <w:rPr>
                <w:rFonts w:hint="eastAsia"/>
                <w:color w:val="auto"/>
                <w:u w:val="none"/>
                <w:lang w:val="en-US" w:eastAsia="zh-CN"/>
              </w:rPr>
              <w:t>945m³/a</w:t>
            </w:r>
            <w:r>
              <w:rPr>
                <w:rFonts w:hint="eastAsia"/>
                <w:color w:val="auto"/>
                <w:u w:val="none"/>
                <w:lang w:eastAsia="zh-CN"/>
              </w:rPr>
              <w:t>）。</w:t>
            </w:r>
          </w:p>
          <w:p w14:paraId="3D4061C7">
            <w:pPr>
              <w:pStyle w:val="109"/>
              <w:keepNext w:val="0"/>
              <w:keepLines w:val="0"/>
              <w:suppressLineNumbers w:val="0"/>
              <w:spacing w:before="0" w:beforeAutospacing="0" w:after="0" w:afterAutospacing="0"/>
              <w:ind w:left="0" w:right="0" w:firstLine="480"/>
              <w:rPr>
                <w:rFonts w:hint="eastAsia"/>
                <w:color w:val="auto"/>
                <w:u w:val="none"/>
                <w:lang w:eastAsia="zh-CN"/>
              </w:rPr>
            </w:pPr>
            <w:r>
              <w:rPr>
                <w:rFonts w:hint="eastAsia"/>
                <w:color w:val="auto"/>
                <w:u w:val="none"/>
                <w:lang w:eastAsia="zh-CN"/>
              </w:rPr>
              <w:t>本项目生活污水经厂区隔油池+</w:t>
            </w:r>
            <w:r>
              <w:rPr>
                <w:rFonts w:hint="eastAsia"/>
                <w:color w:val="auto"/>
                <w:u w:val="none"/>
                <w:lang w:val="en-US" w:eastAsia="zh-CN"/>
              </w:rPr>
              <w:t>四格净化池</w:t>
            </w:r>
            <w:r>
              <w:rPr>
                <w:rFonts w:hint="eastAsia"/>
                <w:color w:val="auto"/>
                <w:u w:val="none"/>
                <w:lang w:eastAsia="zh-CN"/>
              </w:rPr>
              <w:t>处理后</w:t>
            </w:r>
            <w:r>
              <w:rPr>
                <w:rFonts w:hint="eastAsia"/>
                <w:color w:val="auto"/>
                <w:u w:val="none"/>
                <w:lang w:val="en-US" w:eastAsia="zh-CN"/>
              </w:rPr>
              <w:t>用作农肥或周边林地灌溉</w:t>
            </w:r>
            <w:r>
              <w:rPr>
                <w:rFonts w:hint="eastAsia"/>
                <w:color w:val="auto"/>
                <w:u w:val="none"/>
                <w:lang w:eastAsia="zh-CN"/>
              </w:rPr>
              <w:t>。生活用水量为945m³/a。生活污水产生系数按照80%计算，则生活污水产生量为756m³/a（2.52m³/d）。</w:t>
            </w:r>
          </w:p>
          <w:p w14:paraId="6136A460">
            <w:pPr>
              <w:pStyle w:val="109"/>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r>
              <w:rPr>
                <w:rFonts w:hint="default" w:hAnsi="Times New Roman"/>
                <w:snapToGrid w:val="0"/>
                <w:color w:val="auto"/>
                <w:highlight w:val="none"/>
                <w:u w:val="none"/>
                <w:lang w:bidi="ar"/>
              </w:rPr>
              <w:t>（3）水平衡</w:t>
            </w:r>
          </w:p>
          <w:p w14:paraId="0D8DC9BF">
            <w:pPr>
              <w:pStyle w:val="109"/>
              <w:keepNext w:val="0"/>
              <w:keepLines w:val="0"/>
              <w:suppressLineNumbers w:val="0"/>
              <w:spacing w:before="0" w:beforeAutospacing="0" w:after="0" w:afterAutospacing="0"/>
              <w:ind w:left="0" w:right="0" w:firstLine="480"/>
              <w:rPr>
                <w:rFonts w:hint="default" w:hAnsi="Times New Roman"/>
                <w:snapToGrid w:val="0"/>
                <w:color w:val="auto"/>
                <w:highlight w:val="none"/>
                <w:u w:val="none"/>
                <w:lang w:bidi="ar"/>
              </w:rPr>
            </w:pPr>
            <w:r>
              <w:rPr>
                <w:rFonts w:hint="default" w:hAnsi="Times New Roman"/>
                <w:snapToGrid w:val="0"/>
                <w:color w:val="auto"/>
                <w:highlight w:val="none"/>
                <w:u w:val="none"/>
                <w:lang w:bidi="ar"/>
              </w:rPr>
              <w:t>项目水平衡图详见图2-1。</w:t>
            </w:r>
          </w:p>
          <w:p w14:paraId="279C088E">
            <w:pPr>
              <w:pStyle w:val="109"/>
              <w:keepNext w:val="0"/>
              <w:keepLines w:val="0"/>
              <w:suppressLineNumbers w:val="0"/>
              <w:spacing w:before="0" w:beforeAutospacing="0" w:after="0" w:afterAutospacing="0"/>
              <w:ind w:left="0" w:right="0" w:firstLine="480"/>
              <w:jc w:val="center"/>
              <w:rPr>
                <w:rFonts w:hint="eastAsia"/>
                <w:b/>
                <w:bCs/>
                <w:snapToGrid w:val="0"/>
                <w:color w:val="auto"/>
                <w:sz w:val="21"/>
                <w:szCs w:val="21"/>
                <w:u w:val="none"/>
                <w:lang w:val="en-US" w:eastAsia="zh-CN" w:bidi="ar"/>
              </w:rPr>
            </w:pPr>
            <w:r>
              <w:rPr>
                <w:rFonts w:hint="default"/>
                <w:sz w:val="21"/>
              </w:rPr>
              <mc:AlternateContent>
                <mc:Choice Requires="wpg">
                  <w:drawing>
                    <wp:anchor distT="0" distB="0" distL="114300" distR="114300" simplePos="0" relativeHeight="251660288" behindDoc="0" locked="0" layoutInCell="1" allowOverlap="1">
                      <wp:simplePos x="0" y="0"/>
                      <wp:positionH relativeFrom="column">
                        <wp:posOffset>95250</wp:posOffset>
                      </wp:positionH>
                      <wp:positionV relativeFrom="paragraph">
                        <wp:posOffset>160655</wp:posOffset>
                      </wp:positionV>
                      <wp:extent cx="4990465" cy="855345"/>
                      <wp:effectExtent l="4445" t="0" r="15240" b="20955"/>
                      <wp:wrapTopAndBottom/>
                      <wp:docPr id="17" name="组合 17"/>
                      <wp:cNvGraphicFramePr/>
                      <a:graphic xmlns:a="http://schemas.openxmlformats.org/drawingml/2006/main">
                        <a:graphicData uri="http://schemas.microsoft.com/office/word/2010/wordprocessingGroup">
                          <wpg:wgp>
                            <wpg:cNvGrpSpPr/>
                            <wpg:grpSpPr>
                              <a:xfrm>
                                <a:off x="0" y="0"/>
                                <a:ext cx="4990465" cy="855345"/>
                                <a:chOff x="2510" y="206445"/>
                                <a:chExt cx="7859" cy="1347"/>
                              </a:xfrm>
                            </wpg:grpSpPr>
                            <wps:wsp>
                              <wps:cNvPr id="3" name="文本框 3"/>
                              <wps:cNvSpPr txBox="1"/>
                              <wps:spPr>
                                <a:xfrm>
                                  <a:off x="2510" y="207200"/>
                                  <a:ext cx="1140" cy="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88E318">
                                    <w:pPr>
                                      <w:jc w:val="center"/>
                                      <w:rPr>
                                        <w:rFonts w:hint="eastAsia"/>
                                        <w:lang w:val="en-US" w:eastAsia="zh-CN"/>
                                      </w:rPr>
                                    </w:pPr>
                                    <w:r>
                                      <w:rPr>
                                        <w:rFonts w:hint="eastAsia"/>
                                        <w:lang w:val="en-US" w:eastAsia="zh-CN"/>
                                      </w:rPr>
                                      <w:t>自来水</w:t>
                                    </w:r>
                                  </w:p>
                                  <w:p w14:paraId="58EF945D">
                                    <w:pPr>
                                      <w:jc w:val="center"/>
                                      <w:rPr>
                                        <w:rFonts w:hint="eastAsia"/>
                                        <w:lang w:val="en-US" w:eastAsia="zh-CN"/>
                                      </w:rPr>
                                    </w:pPr>
                                  </w:p>
                                </w:txbxContent>
                              </wps:txbx>
                              <wps:bodyPr rot="0" spcFirstLastPara="0" vertOverflow="overflow" horzOverflow="overflow" vert="horz" wrap="square" lIns="36000" tIns="46800" rIns="36000" bIns="46800" numCol="1" spcCol="0" rtlCol="0" fromWordArt="0" anchor="t" anchorCtr="0" forceAA="0" compatLnSpc="1">
                                <a:noAutofit/>
                              </wps:bodyPr>
                            </wps:wsp>
                            <wps:wsp>
                              <wps:cNvPr id="4" name="文本框 4"/>
                              <wps:cNvSpPr txBox="1"/>
                              <wps:spPr>
                                <a:xfrm>
                                  <a:off x="4625" y="207184"/>
                                  <a:ext cx="1394" cy="4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32C842">
                                    <w:pPr>
                                      <w:jc w:val="center"/>
                                      <w:rPr>
                                        <w:rFonts w:hint="default"/>
                                        <w:lang w:val="en-US" w:eastAsia="zh-CN"/>
                                      </w:rPr>
                                    </w:pPr>
                                    <w:r>
                                      <w:rPr>
                                        <w:rFonts w:hint="eastAsia"/>
                                        <w:lang w:val="en-US" w:eastAsia="zh-CN"/>
                                      </w:rPr>
                                      <w:t>员工生活用水</w:t>
                                    </w:r>
                                  </w:p>
                                </w:txbxContent>
                              </wps:txbx>
                              <wps:bodyPr rot="0" spcFirstLastPara="0" vertOverflow="overflow" horzOverflow="overflow" vert="horz" wrap="square" lIns="36000" tIns="46800" rIns="36000" bIns="46800" numCol="1" spcCol="0" rtlCol="0" fromWordArt="0" anchor="t" anchorCtr="0" forceAA="0" compatLnSpc="1">
                                <a:noAutofit/>
                              </wps:bodyPr>
                            </wps:wsp>
                            <wps:wsp>
                              <wps:cNvPr id="5" name="文本框 5"/>
                              <wps:cNvSpPr txBox="1"/>
                              <wps:spPr>
                                <a:xfrm>
                                  <a:off x="6800" y="207042"/>
                                  <a:ext cx="1200" cy="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08B689">
                                    <w:pPr>
                                      <w:jc w:val="center"/>
                                      <w:rPr>
                                        <w:rFonts w:hint="default"/>
                                        <w:lang w:val="en-US" w:eastAsia="zh-CN"/>
                                      </w:rPr>
                                    </w:pPr>
                                    <w:r>
                                      <w:rPr>
                                        <w:rFonts w:hint="eastAsia"/>
                                        <w:lang w:val="en-US" w:eastAsia="zh-CN"/>
                                      </w:rPr>
                                      <w:t>隔油池+四格净化池</w:t>
                                    </w:r>
                                  </w:p>
                                </w:txbxContent>
                              </wps:txbx>
                              <wps:bodyPr rot="0" spcFirstLastPara="0" vertOverflow="overflow" horzOverflow="overflow" vert="horz" wrap="square" lIns="36000" tIns="46800" rIns="36000" bIns="46800" numCol="1" spcCol="0" rtlCol="0" fromWordArt="0" anchor="t" anchorCtr="0" forceAA="0" compatLnSpc="1">
                                <a:noAutofit/>
                              </wps:bodyPr>
                            </wps:wsp>
                            <wps:wsp>
                              <wps:cNvPr id="7" name="文本框 7"/>
                              <wps:cNvSpPr txBox="1"/>
                              <wps:spPr>
                                <a:xfrm>
                                  <a:off x="8825" y="207042"/>
                                  <a:ext cx="1545" cy="75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053E2A">
                                    <w:pPr>
                                      <w:jc w:val="center"/>
                                      <w:rPr>
                                        <w:rFonts w:hint="default"/>
                                        <w:lang w:val="en-US" w:eastAsia="zh-CN"/>
                                      </w:rPr>
                                    </w:pPr>
                                    <w:r>
                                      <w:rPr>
                                        <w:rFonts w:hint="eastAsia"/>
                                        <w:lang w:val="en-US" w:eastAsia="zh-CN"/>
                                      </w:rPr>
                                      <w:t>用作农肥或周边林地灌溉</w:t>
                                    </w:r>
                                  </w:p>
                                </w:txbxContent>
                              </wps:txbx>
                              <wps:bodyPr rot="0" spcFirstLastPara="0" vertOverflow="overflow" horzOverflow="overflow" vert="horz" wrap="square" lIns="36000" tIns="46800" rIns="36000" bIns="46800" numCol="1" spcCol="0" rtlCol="0" fromWordArt="0" anchor="t" anchorCtr="0" forceAA="0" compatLnSpc="1">
                                <a:noAutofit/>
                              </wps:bodyPr>
                            </wps:wsp>
                            <wps:wsp>
                              <wps:cNvPr id="8" name="直接箭头连接符 8"/>
                              <wps:cNvCnPr/>
                              <wps:spPr>
                                <a:xfrm flipV="1">
                                  <a:off x="3665" y="207432"/>
                                  <a:ext cx="975" cy="1"/>
                                </a:xfrm>
                                <a:prstGeom prst="straightConnector1">
                                  <a:avLst/>
                                </a:prstGeom>
                                <a:ln w="1270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 name="直接箭头连接符 9"/>
                              <wps:cNvCnPr/>
                              <wps:spPr>
                                <a:xfrm>
                                  <a:off x="6034" y="207432"/>
                                  <a:ext cx="781" cy="0"/>
                                </a:xfrm>
                                <a:prstGeom prst="straightConnector1">
                                  <a:avLst/>
                                </a:prstGeom>
                                <a:ln w="1270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0" name="直接箭头连接符 10"/>
                              <wps:cNvCnPr/>
                              <wps:spPr>
                                <a:xfrm>
                                  <a:off x="8015" y="207447"/>
                                  <a:ext cx="825" cy="1"/>
                                </a:xfrm>
                                <a:prstGeom prst="straightConnector1">
                                  <a:avLst/>
                                </a:prstGeom>
                                <a:ln w="1270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2" name="文本框 12"/>
                              <wps:cNvSpPr txBox="1"/>
                              <wps:spPr>
                                <a:xfrm>
                                  <a:off x="5765" y="206445"/>
                                  <a:ext cx="1080" cy="46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2FB064">
                                    <w:pPr>
                                      <w:jc w:val="center"/>
                                      <w:rPr>
                                        <w:rFonts w:hint="default"/>
                                        <w:lang w:val="en-US" w:eastAsia="zh-CN"/>
                                      </w:rPr>
                                    </w:pPr>
                                    <w:r>
                                      <w:rPr>
                                        <w:rFonts w:hint="eastAsia"/>
                                        <w:lang w:val="en-US" w:eastAsia="zh-CN"/>
                                      </w:rPr>
                                      <w:t>189</w:t>
                                    </w:r>
                                  </w:p>
                                </w:txbxContent>
                              </wps:txbx>
                              <wps:bodyPr rot="0" spcFirstLastPara="0" vertOverflow="overflow" horzOverflow="overflow" vert="horz" wrap="square" lIns="36000" tIns="46800" rIns="36000" bIns="46800" numCol="1" spcCol="0" rtlCol="0" fromWordArt="0" anchor="t" anchorCtr="0" forceAA="0" compatLnSpc="1">
                                <a:noAutofit/>
                              </wps:bodyPr>
                            </wps:wsp>
                            <wps:wsp>
                              <wps:cNvPr id="13" name="曲线连接符 13"/>
                              <wps:cNvCnPr>
                                <a:stCxn id="4" idx="0"/>
                                <a:endCxn id="12" idx="1"/>
                              </wps:cNvCnPr>
                              <wps:spPr>
                                <a:xfrm rot="16200000">
                                  <a:off x="5291" y="206710"/>
                                  <a:ext cx="506" cy="443"/>
                                </a:xfrm>
                                <a:prstGeom prst="curvedConnector2">
                                  <a:avLst/>
                                </a:prstGeom>
                                <a:ln w="12700">
                                  <a:solidFill>
                                    <a:schemeClr val="tx1"/>
                                  </a:solidFill>
                                  <a:prstDash val="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4" name="文本框 14"/>
                              <wps:cNvSpPr txBox="1"/>
                              <wps:spPr>
                                <a:xfrm>
                                  <a:off x="3545" y="207123"/>
                                  <a:ext cx="1080" cy="27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C10C2">
                                    <w:pPr>
                                      <w:jc w:val="center"/>
                                      <w:rPr>
                                        <w:rFonts w:hint="default"/>
                                        <w:lang w:val="en-US" w:eastAsia="zh-CN"/>
                                      </w:rPr>
                                    </w:pPr>
                                    <w:r>
                                      <w:rPr>
                                        <w:rFonts w:hint="eastAsia"/>
                                        <w:lang w:val="en-US" w:eastAsia="zh-CN"/>
                                      </w:rPr>
                                      <w:t>945</w:t>
                                    </w:r>
                                  </w:p>
                                </w:txbxContent>
                              </wps:txbx>
                              <wps:bodyPr rot="0" spcFirstLastPara="0" vertOverflow="overflow" horzOverflow="overflow" vert="horz" wrap="square" lIns="0" tIns="0" rIns="0" bIns="0" numCol="1" spcCol="0" rtlCol="0" fromWordArt="0" anchor="t" anchorCtr="0" forceAA="0" compatLnSpc="1">
                                <a:noAutofit/>
                              </wps:bodyPr>
                            </wps:wsp>
                            <wps:wsp>
                              <wps:cNvPr id="15" name="文本框 15"/>
                              <wps:cNvSpPr txBox="1"/>
                              <wps:spPr>
                                <a:xfrm>
                                  <a:off x="5870" y="207141"/>
                                  <a:ext cx="1080" cy="2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A0F95">
                                    <w:pPr>
                                      <w:jc w:val="center"/>
                                      <w:rPr>
                                        <w:rFonts w:hint="default"/>
                                        <w:lang w:val="en-US" w:eastAsia="zh-CN"/>
                                      </w:rPr>
                                    </w:pPr>
                                    <w:r>
                                      <w:rPr>
                                        <w:rFonts w:hint="eastAsia"/>
                                        <w:lang w:val="en-US" w:eastAsia="zh-CN"/>
                                      </w:rPr>
                                      <w:t>756</w:t>
                                    </w:r>
                                  </w:p>
                                </w:txbxContent>
                              </wps:txbx>
                              <wps:bodyPr rot="0" spcFirstLastPara="0" vertOverflow="overflow" horzOverflow="overflow" vert="horz" wrap="square" lIns="0" tIns="0" rIns="0" bIns="0" numCol="1" spcCol="0" rtlCol="0" fromWordArt="0" anchor="t" anchorCtr="0" forceAA="0" compatLnSpc="1">
                                <a:noAutofit/>
                              </wps:bodyPr>
                            </wps:wsp>
                            <wps:wsp>
                              <wps:cNvPr id="16" name="文本框 16"/>
                              <wps:cNvSpPr txBox="1"/>
                              <wps:spPr>
                                <a:xfrm>
                                  <a:off x="8045" y="207099"/>
                                  <a:ext cx="826" cy="2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DFB4B">
                                    <w:pPr>
                                      <w:jc w:val="center"/>
                                      <w:rPr>
                                        <w:rFonts w:hint="default"/>
                                        <w:lang w:val="en-US" w:eastAsia="zh-CN"/>
                                      </w:rPr>
                                    </w:pPr>
                                    <w:r>
                                      <w:rPr>
                                        <w:rFonts w:hint="eastAsia"/>
                                        <w:lang w:val="en-US" w:eastAsia="zh-CN"/>
                                      </w:rPr>
                                      <w:t>756</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7.5pt;margin-top:12.65pt;height:67.35pt;width:392.95pt;mso-wrap-distance-bottom:0pt;mso-wrap-distance-top:0pt;z-index:251660288;mso-width-relative:page;mso-height-relative:page;" coordorigin="2510,206445" coordsize="7859,1347" o:gfxdata="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H5RYEvXAAAACQEAAA8AAAAAAAAAAQAgAAAAIgAAAGRycy9kb3ducmV2LnhtbFBLAQIUABQA&#10;AAAIAIdO4kDrf3+ZugUAAGkhAAAOAAAAAAAAAAEAIAAAACYBAABkcnMvZTJvRG9jLnhtbFBLBQYA&#10;AAAABgAGAFkBAABSCQAAAAA=&#10;">
                      <o:lock v:ext="edit" aspectratio="f"/>
                      <v:shape id="_x0000_s1026" o:spid="_x0000_s1026" o:spt="202" type="#_x0000_t202" style="position:absolute;left:2510;top:207200;height:435;width:1140;" fillcolor="#FFFFFF [3201]" filled="t" stroked="t" coordsize="21600,21600" o:gfxdata="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kqbsAAADa&#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inset="1mm,1.3mm,1mm,1.3mm">
                          <w:txbxContent>
                            <w:p w14:paraId="2D88E318">
                              <w:pPr>
                                <w:jc w:val="center"/>
                                <w:rPr>
                                  <w:rFonts w:hint="eastAsia"/>
                                  <w:lang w:val="en-US" w:eastAsia="zh-CN"/>
                                </w:rPr>
                              </w:pPr>
                              <w:r>
                                <w:rPr>
                                  <w:rFonts w:hint="eastAsia"/>
                                  <w:lang w:val="en-US" w:eastAsia="zh-CN"/>
                                </w:rPr>
                                <w:t>自来水</w:t>
                              </w:r>
                            </w:p>
                            <w:p w14:paraId="58EF945D">
                              <w:pPr>
                                <w:jc w:val="center"/>
                                <w:rPr>
                                  <w:rFonts w:hint="eastAsia"/>
                                  <w:lang w:val="en-US" w:eastAsia="zh-CN"/>
                                </w:rPr>
                              </w:pPr>
                            </w:p>
                          </w:txbxContent>
                        </v:textbox>
                      </v:shape>
                      <v:shape id="_x0000_s1026" o:spid="_x0000_s1026" o:spt="202" type="#_x0000_t202" style="position:absolute;left:4625;top:207184;height:466;width:1394;" fillcolor="#FFFFFF [3201]" filled="t" stroked="t" coordsize="21600,21600" o:gfxdata="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BU83bsAAADa&#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inset="1mm,1.3mm,1mm,1.3mm">
                          <w:txbxContent>
                            <w:p w14:paraId="7032C842">
                              <w:pPr>
                                <w:jc w:val="center"/>
                                <w:rPr>
                                  <w:rFonts w:hint="default"/>
                                  <w:lang w:val="en-US" w:eastAsia="zh-CN"/>
                                </w:rPr>
                              </w:pPr>
                              <w:r>
                                <w:rPr>
                                  <w:rFonts w:hint="eastAsia"/>
                                  <w:lang w:val="en-US" w:eastAsia="zh-CN"/>
                                </w:rPr>
                                <w:t>员工生活用水</w:t>
                              </w:r>
                            </w:p>
                          </w:txbxContent>
                        </v:textbox>
                      </v:shape>
                      <v:shape id="_x0000_s1026" o:spid="_x0000_s1026" o:spt="202" type="#_x0000_t202" style="position:absolute;left:6800;top:207042;height:750;width:1200;" fillcolor="#FFFFFF [3201]" filled="t" stroked="t" coordsize="21600,21600" o:gfxdata="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1mZRrsAAADa&#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inset="1mm,1.3mm,1mm,1.3mm">
                          <w:txbxContent>
                            <w:p w14:paraId="7508B689">
                              <w:pPr>
                                <w:jc w:val="center"/>
                                <w:rPr>
                                  <w:rFonts w:hint="default"/>
                                  <w:lang w:val="en-US" w:eastAsia="zh-CN"/>
                                </w:rPr>
                              </w:pPr>
                              <w:r>
                                <w:rPr>
                                  <w:rFonts w:hint="eastAsia"/>
                                  <w:lang w:val="en-US" w:eastAsia="zh-CN"/>
                                </w:rPr>
                                <w:t>隔油池+四格净化池</w:t>
                              </w:r>
                            </w:p>
                          </w:txbxContent>
                        </v:textbox>
                      </v:shape>
                      <v:shape id="_x0000_s1026" o:spid="_x0000_s1026" o:spt="202" type="#_x0000_t202" style="position:absolute;left:8825;top:207042;height:751;width:1545;" fillcolor="#FFFFFF [3201]" filled="t" stroked="t" coordsize="21600,21600" o:gfxdata="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Hoqq8AAAA&#10;2g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inset="1mm,1.3mm,1mm,1.3mm">
                          <w:txbxContent>
                            <w:p w14:paraId="71053E2A">
                              <w:pPr>
                                <w:jc w:val="center"/>
                                <w:rPr>
                                  <w:rFonts w:hint="default"/>
                                  <w:lang w:val="en-US" w:eastAsia="zh-CN"/>
                                </w:rPr>
                              </w:pPr>
                              <w:r>
                                <w:rPr>
                                  <w:rFonts w:hint="eastAsia"/>
                                  <w:lang w:val="en-US" w:eastAsia="zh-CN"/>
                                </w:rPr>
                                <w:t>用作农肥或周边林地灌溉</w:t>
                              </w:r>
                            </w:p>
                          </w:txbxContent>
                        </v:textbox>
                      </v:shape>
                      <v:shape id="_x0000_s1026" o:spid="_x0000_s1026" o:spt="32" type="#_x0000_t32" style="position:absolute;left:3665;top:207432;flip:y;height:1;width:975;" filled="f" stroked="t" coordsize="21600,21600" o:gfxdata="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LxDQugAAANoA&#10;AAAPAAAAAAAAAAEAIAAAACIAAABkcnMvZG93bnJldi54bWxQSwECFAAUAAAACACHTuJAMy8FnjsA&#10;AAA5AAAAEAAAAAAAAAABACAAAAAJAQAAZHJzL3NoYXBleG1sLnhtbFBLBQYAAAAABgAGAFsBAACz&#10;AwAAAAA=&#10;">
                        <v:fill on="f" focussize="0,0"/>
                        <v:stroke weight="1pt" color="#000000 [3213]" joinstyle="round" endarrow="block"/>
                        <v:imagedata o:title=""/>
                        <o:lock v:ext="edit" aspectratio="f"/>
                      </v:shape>
                      <v:shape id="_x0000_s1026" o:spid="_x0000_s1026" o:spt="32" type="#_x0000_t32" style="position:absolute;left:6034;top:207432;height:0;width:781;" filled="f" stroked="t" coordsize="21600,21600" o:gfxdata="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7Rf7LsAAADa&#10;AAAADwAAAAAAAAABACAAAAAiAAAAZHJzL2Rvd25yZXYueG1sUEsBAhQAFAAAAAgAh07iQDMvBZ47&#10;AAAAOQAAABAAAAAAAAAAAQAgAAAACgEAAGRycy9zaGFwZXhtbC54bWxQSwUGAAAAAAYABgBbAQAA&#10;tAMAAAAA&#10;">
                        <v:fill on="f" focussize="0,0"/>
                        <v:stroke weight="1pt" color="#000000 [3213]" joinstyle="round" endarrow="block"/>
                        <v:imagedata o:title=""/>
                        <o:lock v:ext="edit" aspectratio="f"/>
                      </v:shape>
                      <v:shape id="_x0000_s1026" o:spid="_x0000_s1026" o:spt="32" type="#_x0000_t32" style="position:absolute;left:8015;top:207447;height:1;width:825;" filled="f" stroked="t" coordsize="21600,21600" o:gfxdata="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lrSLsAAADb&#10;AAAADwAAAAAAAAABACAAAAAiAAAAZHJzL2Rvd25yZXYueG1sUEsBAhQAFAAAAAgAh07iQDMvBZ47&#10;AAAAOQAAABAAAAAAAAAAAQAgAAAACgEAAGRycy9zaGFwZXhtbC54bWxQSwUGAAAAAAYABgBbAQAA&#10;tAMAAAAA&#10;">
                        <v:fill on="f" focussize="0,0"/>
                        <v:stroke weight="1pt" color="#000000 [3213]" joinstyle="round" endarrow="block"/>
                        <v:imagedata o:title=""/>
                        <o:lock v:ext="edit" aspectratio="f"/>
                      </v:shape>
                      <v:shape id="_x0000_s1026" o:spid="_x0000_s1026" o:spt="202" type="#_x0000_t202" style="position:absolute;left:5765;top:206445;height:466;width:1080;" fillcolor="#FFFFFF [3201]" filled="t" stroked="f" coordsize="21600,21600" o:gfxdata="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Esq6L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1mm,1.3mm,1mm,1.3mm">
                          <w:txbxContent>
                            <w:p w14:paraId="7D2FB064">
                              <w:pPr>
                                <w:jc w:val="center"/>
                                <w:rPr>
                                  <w:rFonts w:hint="default"/>
                                  <w:lang w:val="en-US" w:eastAsia="zh-CN"/>
                                </w:rPr>
                              </w:pPr>
                              <w:r>
                                <w:rPr>
                                  <w:rFonts w:hint="eastAsia"/>
                                  <w:lang w:val="en-US" w:eastAsia="zh-CN"/>
                                </w:rPr>
                                <w:t>189</w:t>
                              </w:r>
                            </w:p>
                          </w:txbxContent>
                        </v:textbox>
                      </v:shape>
                      <v:shape id="_x0000_s1026" o:spid="_x0000_s1026" o:spt="37" type="#_x0000_t37" style="position:absolute;left:5291;top:206710;height:443;width:506;rotation:-5898240f;" filled="f" stroked="t" coordsize="21600,21600" o:gfxdata="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8cZAG2AAAA2wAAAA8A&#10;AAAAAAAAAQAgAAAAIgAAAGRycy9kb3ducmV2LnhtbFBLAQIUABQAAAAIAIdO4kAzLwWeOwAAADkA&#10;AAAQAAAAAAAAAAEAIAAAAAUBAABkcnMvc2hhcGV4bWwueG1sUEsFBgAAAAAGAAYAWwEAAK8DAAAA&#10;AA==&#10;">
                        <v:fill on="f" focussize="0,0"/>
                        <v:stroke weight="1pt" color="#000000 [3213]" joinstyle="round" dashstyle="dash" endarrow="block"/>
                        <v:imagedata o:title=""/>
                        <o:lock v:ext="edit" aspectratio="f"/>
                      </v:shape>
                      <v:shape id="_x0000_s1026" o:spid="_x0000_s1026" o:spt="202" type="#_x0000_t202" style="position:absolute;left:3545;top:207123;height:271;width:1080;" filled="f" stroked="f" coordsize="21600,21600" o:gfxdata="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Aka8AAAA&#10;2wAAAA8AAAAAAAAAAQAgAAAAIgAAAGRycy9kb3ducmV2LnhtbFBLAQIUABQAAAAIAIdO4kAzLwWe&#10;OwAAADkAAAAQAAAAAAAAAAEAIAAAAAsBAABkcnMvc2hhcGV4bWwueG1sUEsFBgAAAAAGAAYAWwEA&#10;ALUDAAAAAA==&#10;">
                        <v:fill on="f" focussize="0,0"/>
                        <v:stroke on="f" weight="0.5pt"/>
                        <v:imagedata o:title=""/>
                        <o:lock v:ext="edit" aspectratio="f"/>
                        <v:textbox inset="0mm,0mm,0mm,0mm">
                          <w:txbxContent>
                            <w:p w14:paraId="281C10C2">
                              <w:pPr>
                                <w:jc w:val="center"/>
                                <w:rPr>
                                  <w:rFonts w:hint="default"/>
                                  <w:lang w:val="en-US" w:eastAsia="zh-CN"/>
                                </w:rPr>
                              </w:pPr>
                              <w:r>
                                <w:rPr>
                                  <w:rFonts w:hint="eastAsia"/>
                                  <w:lang w:val="en-US" w:eastAsia="zh-CN"/>
                                </w:rPr>
                                <w:t>945</w:t>
                              </w:r>
                            </w:p>
                          </w:txbxContent>
                        </v:textbox>
                      </v:shape>
                      <v:shape id="_x0000_s1026" o:spid="_x0000_s1026" o:spt="202" type="#_x0000_t202" style="position:absolute;left:5870;top:207141;height:287;width:1080;" filled="f" stroked="f" coordsize="21600,21600" o:gfxdata="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Up928AAAA&#10;2wAAAA8AAAAAAAAAAQAgAAAAIgAAAGRycy9kb3ducmV2LnhtbFBLAQIUABQAAAAIAIdO4kAzLwWe&#10;OwAAADkAAAAQAAAAAAAAAAEAIAAAAAsBAABkcnMvc2hhcGV4bWwueG1sUEsFBgAAAAAGAAYAWwEA&#10;ALUDAAAAAA==&#10;">
                        <v:fill on="f" focussize="0,0"/>
                        <v:stroke on="f" weight="0.5pt"/>
                        <v:imagedata o:title=""/>
                        <o:lock v:ext="edit" aspectratio="f"/>
                        <v:textbox inset="0mm,0mm,0mm,0mm">
                          <w:txbxContent>
                            <w:p w14:paraId="3D0A0F95">
                              <w:pPr>
                                <w:jc w:val="center"/>
                                <w:rPr>
                                  <w:rFonts w:hint="default"/>
                                  <w:lang w:val="en-US" w:eastAsia="zh-CN"/>
                                </w:rPr>
                              </w:pPr>
                              <w:r>
                                <w:rPr>
                                  <w:rFonts w:hint="eastAsia"/>
                                  <w:lang w:val="en-US" w:eastAsia="zh-CN"/>
                                </w:rPr>
                                <w:t>756</w:t>
                              </w:r>
                            </w:p>
                          </w:txbxContent>
                        </v:textbox>
                      </v:shape>
                      <v:shape id="_x0000_s1026" o:spid="_x0000_s1026" o:spt="202" type="#_x0000_t202" style="position:absolute;left:8045;top:207099;height:272;width:826;" filled="f" stroked="f" coordsize="21600,21600" o:gfxdata="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GOaq8AAAA&#10;2wAAAA8AAAAAAAAAAQAgAAAAIgAAAGRycy9kb3ducmV2LnhtbFBLAQIUABQAAAAIAIdO4kAzLwWe&#10;OwAAADkAAAAQAAAAAAAAAAEAIAAAAAsBAABkcnMvc2hhcGV4bWwueG1sUEsFBgAAAAAGAAYAWwEA&#10;ALUDAAAAAA==&#10;">
                        <v:fill on="f" focussize="0,0"/>
                        <v:stroke on="f" weight="0.5pt"/>
                        <v:imagedata o:title=""/>
                        <o:lock v:ext="edit" aspectratio="f"/>
                        <v:textbox inset="0mm,0mm,0mm,0mm">
                          <w:txbxContent>
                            <w:p w14:paraId="05ADFB4B">
                              <w:pPr>
                                <w:jc w:val="center"/>
                                <w:rPr>
                                  <w:rFonts w:hint="default"/>
                                  <w:lang w:val="en-US" w:eastAsia="zh-CN"/>
                                </w:rPr>
                              </w:pPr>
                              <w:r>
                                <w:rPr>
                                  <w:rFonts w:hint="eastAsia"/>
                                  <w:lang w:val="en-US" w:eastAsia="zh-CN"/>
                                </w:rPr>
                                <w:t>756</w:t>
                              </w:r>
                            </w:p>
                          </w:txbxContent>
                        </v:textbox>
                      </v:shape>
                      <w10:wrap type="topAndBottom"/>
                    </v:group>
                  </w:pict>
                </mc:Fallback>
              </mc:AlternateContent>
            </w:r>
          </w:p>
          <w:p w14:paraId="05BF01E8">
            <w:pPr>
              <w:pStyle w:val="109"/>
              <w:keepNext w:val="0"/>
              <w:keepLines w:val="0"/>
              <w:suppressLineNumbers w:val="0"/>
              <w:spacing w:before="0" w:beforeAutospacing="0" w:after="0" w:afterAutospacing="0"/>
              <w:ind w:left="0" w:right="0" w:firstLine="480"/>
              <w:jc w:val="center"/>
              <w:rPr>
                <w:rFonts w:hint="default" w:eastAsia="宋体"/>
                <w:b/>
                <w:bCs/>
                <w:snapToGrid w:val="0"/>
                <w:color w:val="auto"/>
                <w:sz w:val="21"/>
                <w:szCs w:val="21"/>
                <w:u w:val="none"/>
                <w:lang w:val="en-US" w:eastAsia="zh-CN" w:bidi="ar"/>
              </w:rPr>
            </w:pPr>
            <w:r>
              <w:rPr>
                <w:rFonts w:hint="eastAsia"/>
                <w:b/>
                <w:bCs/>
                <w:snapToGrid w:val="0"/>
                <w:color w:val="auto"/>
                <w:sz w:val="21"/>
                <w:szCs w:val="21"/>
                <w:u w:val="none"/>
                <w:lang w:val="en-US" w:eastAsia="zh-CN" w:bidi="ar"/>
              </w:rPr>
              <w:t>图2-1 水平衡图（m³/a）</w:t>
            </w:r>
          </w:p>
          <w:p w14:paraId="0AAD774B">
            <w:pPr>
              <w:pStyle w:val="109"/>
              <w:keepNext w:val="0"/>
              <w:keepLines w:val="0"/>
              <w:suppressLineNumbers w:val="0"/>
              <w:spacing w:before="0" w:beforeAutospacing="0" w:after="0" w:afterAutospacing="0"/>
              <w:ind w:left="0" w:right="0" w:firstLine="480" w:firstLineChars="0"/>
              <w:rPr>
                <w:rFonts w:hint="eastAsia"/>
                <w:snapToGrid w:val="0"/>
                <w:color w:val="auto"/>
                <w:highlight w:val="yellow"/>
                <w:u w:val="none"/>
              </w:rPr>
            </w:pPr>
            <w:r>
              <w:rPr>
                <w:rFonts w:hint="eastAsia"/>
                <w:b/>
                <w:bCs/>
                <w:snapToGrid w:val="0"/>
                <w:color w:val="auto"/>
                <w:highlight w:val="none"/>
                <w:u w:val="none"/>
                <w:lang w:val="en-US" w:eastAsia="zh-CN"/>
              </w:rPr>
              <w:t>8</w:t>
            </w:r>
            <w:r>
              <w:rPr>
                <w:rFonts w:hint="eastAsia"/>
                <w:b/>
                <w:bCs/>
                <w:snapToGrid w:val="0"/>
                <w:color w:val="auto"/>
                <w:highlight w:val="none"/>
                <w:u w:val="none"/>
              </w:rPr>
              <w:t>、工程总平面布置</w:t>
            </w:r>
          </w:p>
          <w:p w14:paraId="45FC99E8">
            <w:pPr>
              <w:pStyle w:val="109"/>
              <w:keepNext w:val="0"/>
              <w:keepLines w:val="0"/>
              <w:suppressLineNumbers w:val="0"/>
              <w:spacing w:before="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本项目平面布置图见</w:t>
            </w:r>
            <w:r>
              <w:rPr>
                <w:rFonts w:hint="eastAsia"/>
                <w:snapToGrid w:val="0"/>
                <w:color w:val="auto"/>
                <w:highlight w:val="none"/>
                <w:u w:val="none"/>
                <w:lang w:val="en-US" w:eastAsia="zh-CN"/>
              </w:rPr>
              <w:t>附图2</w:t>
            </w:r>
            <w:r>
              <w:rPr>
                <w:rFonts w:hint="eastAsia"/>
                <w:snapToGrid w:val="0"/>
                <w:color w:val="auto"/>
                <w:u w:val="none"/>
                <w:lang w:val="en-US" w:eastAsia="zh-CN"/>
              </w:rPr>
              <w:t>。</w:t>
            </w:r>
          </w:p>
          <w:p w14:paraId="19C3E997">
            <w:pPr>
              <w:pStyle w:val="109"/>
              <w:keepNext w:val="0"/>
              <w:keepLines w:val="0"/>
              <w:suppressLineNumbers w:val="0"/>
              <w:spacing w:before="0" w:beforeAutospacing="0" w:after="0" w:afterAutospacing="0"/>
              <w:ind w:left="0" w:right="0" w:firstLine="480"/>
              <w:rPr>
                <w:rFonts w:hint="eastAsia"/>
                <w:snapToGrid w:val="0"/>
                <w:color w:val="auto"/>
                <w:u w:val="none"/>
              </w:rPr>
            </w:pPr>
            <w:r>
              <w:rPr>
                <w:rFonts w:hint="eastAsia"/>
                <w:snapToGrid w:val="0"/>
                <w:color w:val="auto"/>
                <w:highlight w:val="none"/>
                <w:u w:val="none"/>
                <w:lang w:val="en-US" w:eastAsia="zh-CN"/>
              </w:rPr>
              <w:t>本项目建设1栋厂房，厂房外西侧由道路连接106国道，进出便利，厂房内南侧为生产区从南至北依次布设有喷漆区、切割区、焊接区、机加工/组装区、成品暂存区，布设符合生产流程，厂房内北侧为办公区，厂房外北侧临近进出厂道路位置建设1栋办公楼，用于员工就餐、办公、休息。</w:t>
            </w:r>
          </w:p>
          <w:p w14:paraId="566032DB">
            <w:pPr>
              <w:pStyle w:val="109"/>
              <w:keepNext w:val="0"/>
              <w:keepLines w:val="0"/>
              <w:suppressLineNumbers w:val="0"/>
              <w:spacing w:before="0" w:beforeAutospacing="0" w:after="0" w:afterAutospacing="0"/>
              <w:ind w:left="0" w:right="0" w:firstLine="480"/>
              <w:rPr>
                <w:rFonts w:hint="eastAsia"/>
                <w:snapToGrid w:val="0"/>
                <w:color w:val="auto"/>
                <w:u w:val="none"/>
                <w:lang w:val="en-US" w:eastAsia="zh-CN"/>
              </w:rPr>
            </w:pPr>
            <w:r>
              <w:rPr>
                <w:rFonts w:hint="eastAsia"/>
                <w:snapToGrid w:val="0"/>
                <w:color w:val="auto"/>
                <w:u w:val="none"/>
              </w:rPr>
              <w:t>综上所述，本项目全厂布局紧凑，功能分区明确，厂区平面布置合理</w:t>
            </w:r>
            <w:r>
              <w:rPr>
                <w:rFonts w:hint="eastAsia"/>
                <w:snapToGrid w:val="0"/>
                <w:color w:val="auto"/>
                <w:u w:val="none"/>
                <w:lang w:eastAsia="zh-CN"/>
              </w:rPr>
              <w:t>。</w:t>
            </w:r>
            <w:r>
              <w:rPr>
                <w:rFonts w:hint="eastAsia"/>
                <w:snapToGrid w:val="0"/>
                <w:color w:val="auto"/>
                <w:u w:val="none"/>
                <w:lang w:val="en-US" w:eastAsia="zh-CN"/>
              </w:rPr>
              <w:t xml:space="preserve"> </w:t>
            </w:r>
          </w:p>
        </w:tc>
      </w:tr>
      <w:tr w14:paraId="3E1CB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87" w:hRule="atLeast"/>
          <w:jc w:val="center"/>
        </w:trPr>
        <w:tc>
          <w:tcPr>
            <w:tcW w:w="707" w:type="dxa"/>
            <w:noWrap w:val="0"/>
            <w:vAlign w:val="center"/>
          </w:tcPr>
          <w:p w14:paraId="0AEE3A99">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工艺流程和产排污环节</w:t>
            </w:r>
          </w:p>
        </w:tc>
        <w:tc>
          <w:tcPr>
            <w:tcW w:w="8353" w:type="dxa"/>
            <w:noWrap w:val="0"/>
            <w:vAlign w:val="top"/>
          </w:tcPr>
          <w:p w14:paraId="3341278B">
            <w:pPr>
              <w:pStyle w:val="109"/>
              <w:keepNext w:val="0"/>
              <w:keepLines w:val="0"/>
              <w:suppressLineNumbers w:val="0"/>
              <w:spacing w:before="157" w:beforeLines="50" w:beforeAutospacing="0" w:after="0" w:afterAutospacing="0"/>
              <w:ind w:left="0" w:right="0" w:firstLine="482"/>
              <w:rPr>
                <w:rFonts w:hint="default" w:hAnsi="Times New Roman"/>
                <w:b/>
                <w:snapToGrid w:val="0"/>
                <w:color w:val="auto"/>
                <w:u w:val="none"/>
              </w:rPr>
            </w:pPr>
            <w:r>
              <w:rPr>
                <w:rFonts w:hint="eastAsia" w:hAnsi="Times New Roman"/>
                <w:b/>
                <w:color w:val="auto"/>
                <w:u w:val="none"/>
                <w:lang w:val="en-US" w:eastAsia="zh-CN"/>
              </w:rPr>
              <w:t>1</w:t>
            </w:r>
            <w:r>
              <w:rPr>
                <w:rFonts w:hint="eastAsia" w:hAnsi="Times New Roman"/>
                <w:b/>
                <w:snapToGrid w:val="0"/>
                <w:color w:val="auto"/>
                <w:u w:val="none"/>
              </w:rPr>
              <w:t>、</w:t>
            </w:r>
            <w:r>
              <w:rPr>
                <w:rFonts w:hint="default" w:hAnsi="Times New Roman"/>
                <w:b/>
                <w:snapToGrid w:val="0"/>
                <w:color w:val="auto"/>
                <w:u w:val="none"/>
              </w:rPr>
              <w:t>营运期工艺流程</w:t>
            </w:r>
          </w:p>
          <w:p w14:paraId="51B664C3">
            <w:pPr>
              <w:pStyle w:val="109"/>
              <w:keepNext w:val="0"/>
              <w:keepLines w:val="0"/>
              <w:suppressLineNumbers w:val="0"/>
              <w:snapToGrid w:val="0"/>
              <w:spacing w:before="0" w:beforeAutospacing="0" w:after="0" w:afterAutospacing="0"/>
              <w:ind w:left="0" w:right="0" w:firstLine="480"/>
              <w:rPr>
                <w:rFonts w:hint="default" w:hAnsi="Times New Roman"/>
                <w:bCs/>
                <w:snapToGrid w:val="0"/>
                <w:color w:val="auto"/>
                <w:u w:val="none"/>
                <w:lang w:val="en-US" w:eastAsia="zh-CN"/>
              </w:rPr>
            </w:pPr>
            <w:r>
              <w:rPr>
                <w:rFonts w:hint="default" w:hAnsi="Times New Roman"/>
                <w:bCs/>
                <w:snapToGrid w:val="0"/>
                <w:color w:val="auto"/>
                <w:u w:val="none"/>
              </w:rPr>
              <w:t>本项目营运期</w:t>
            </w:r>
            <w:r>
              <w:rPr>
                <w:rFonts w:hint="eastAsia" w:hAnsi="Times New Roman"/>
                <w:bCs/>
                <w:snapToGrid w:val="0"/>
                <w:color w:val="auto"/>
                <w:u w:val="none"/>
                <w:lang w:val="en-US" w:eastAsia="zh-CN"/>
              </w:rPr>
              <w:t>主要生产工艺流程及产污节点如下：</w:t>
            </w:r>
          </w:p>
          <w:p w14:paraId="445DEFC6">
            <w:pPr>
              <w:pStyle w:val="35"/>
              <w:keepNext w:val="0"/>
              <w:keepLines w:val="0"/>
              <w:suppressLineNumbers w:val="0"/>
              <w:spacing w:before="0" w:beforeAutospacing="0" w:after="0" w:afterAutospacing="0" w:line="360" w:lineRule="auto"/>
              <w:ind w:left="0" w:right="0"/>
              <w:rPr>
                <w:rFonts w:hint="eastAsia"/>
                <w:snapToGrid w:val="0"/>
                <w:color w:val="auto"/>
                <w:sz w:val="21"/>
                <w:szCs w:val="21"/>
                <w:u w:val="none"/>
                <w:lang w:val="en-US" w:eastAsia="zh-CN"/>
              </w:rPr>
            </w:pPr>
            <w:r>
              <w:rPr>
                <w:rFonts w:hint="default"/>
              </w:rPr>
              <w:drawing>
                <wp:anchor distT="0" distB="0" distL="114300" distR="114300" simplePos="0" relativeHeight="251662336" behindDoc="0" locked="0" layoutInCell="1" allowOverlap="1">
                  <wp:simplePos x="0" y="0"/>
                  <wp:positionH relativeFrom="column">
                    <wp:posOffset>683260</wp:posOffset>
                  </wp:positionH>
                  <wp:positionV relativeFrom="paragraph">
                    <wp:posOffset>35560</wp:posOffset>
                  </wp:positionV>
                  <wp:extent cx="3699510" cy="3954145"/>
                  <wp:effectExtent l="0" t="0" r="0" b="0"/>
                  <wp:wrapTopAndBottom/>
                  <wp:docPr id="94" name="ECB019B1-382A-4266-B25C-5B523AA43C14-1" descr="C:/Users/Administrator/AppData/Local/Temp/wps.DQAoc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ECB019B1-382A-4266-B25C-5B523AA43C14-1" descr="C:/Users/Administrator/AppData/Local/Temp/wps.DQAocgwps"/>
                          <pic:cNvPicPr>
                            <a:picLocks noChangeAspect="1"/>
                          </pic:cNvPicPr>
                        </pic:nvPicPr>
                        <pic:blipFill>
                          <a:blip r:embed="rId7"/>
                          <a:stretch>
                            <a:fillRect/>
                          </a:stretch>
                        </pic:blipFill>
                        <pic:spPr>
                          <a:xfrm>
                            <a:off x="0" y="0"/>
                            <a:ext cx="3699510" cy="3954145"/>
                          </a:xfrm>
                          <a:prstGeom prst="rect">
                            <a:avLst/>
                          </a:prstGeom>
                        </pic:spPr>
                      </pic:pic>
                    </a:graphicData>
                  </a:graphic>
                </wp:anchor>
              </w:drawing>
            </w:r>
            <w:r>
              <w:rPr>
                <w:rFonts w:hint="default"/>
                <w:snapToGrid w:val="0"/>
                <w:color w:val="auto"/>
                <w:sz w:val="21"/>
                <w:szCs w:val="21"/>
                <w:u w:val="none"/>
              </w:rPr>
              <w:t>图2-</w:t>
            </w:r>
            <w:r>
              <w:rPr>
                <w:rFonts w:hint="eastAsia"/>
                <w:snapToGrid w:val="0"/>
                <w:color w:val="auto"/>
                <w:sz w:val="21"/>
                <w:szCs w:val="21"/>
                <w:u w:val="none"/>
                <w:lang w:val="en-US" w:eastAsia="zh-CN"/>
              </w:rPr>
              <w:t>2</w:t>
            </w:r>
            <w:r>
              <w:rPr>
                <w:rFonts w:hint="default"/>
                <w:snapToGrid w:val="0"/>
                <w:color w:val="auto"/>
                <w:sz w:val="21"/>
                <w:szCs w:val="21"/>
                <w:u w:val="none"/>
              </w:rPr>
              <w:t xml:space="preserve"> </w:t>
            </w:r>
            <w:r>
              <w:rPr>
                <w:rFonts w:hint="eastAsia"/>
                <w:snapToGrid w:val="0"/>
                <w:color w:val="auto"/>
                <w:sz w:val="21"/>
                <w:szCs w:val="21"/>
                <w:u w:val="none"/>
                <w:lang w:val="en-US" w:eastAsia="zh-CN"/>
              </w:rPr>
              <w:t>生产工艺流程及产污节点图</w:t>
            </w:r>
          </w:p>
          <w:p w14:paraId="15724445">
            <w:pPr>
              <w:keepNext w:val="0"/>
              <w:keepLines w:val="0"/>
              <w:suppressLineNumbers w:val="0"/>
              <w:adjustRightInd w:val="0"/>
              <w:snapToGrid w:val="0"/>
              <w:spacing w:before="0" w:beforeAutospacing="0" w:after="0" w:afterAutospacing="0" w:line="360" w:lineRule="auto"/>
              <w:ind w:left="0" w:right="0" w:firstLine="482" w:firstLineChars="200"/>
              <w:rPr>
                <w:rFonts w:hint="default"/>
                <w:b/>
                <w:snapToGrid w:val="0"/>
                <w:color w:val="auto"/>
                <w:kern w:val="0"/>
                <w:sz w:val="24"/>
                <w:szCs w:val="24"/>
                <w:u w:val="none"/>
              </w:rPr>
            </w:pPr>
            <w:r>
              <w:rPr>
                <w:rFonts w:hint="default"/>
                <w:b/>
                <w:snapToGrid w:val="0"/>
                <w:color w:val="auto"/>
                <w:kern w:val="0"/>
                <w:sz w:val="24"/>
                <w:szCs w:val="24"/>
                <w:u w:val="none"/>
              </w:rPr>
              <w:t>工艺流程</w:t>
            </w:r>
            <w:r>
              <w:rPr>
                <w:rFonts w:hint="eastAsia"/>
                <w:b/>
                <w:snapToGrid w:val="0"/>
                <w:color w:val="auto"/>
                <w:kern w:val="0"/>
                <w:sz w:val="24"/>
                <w:szCs w:val="24"/>
                <w:u w:val="none"/>
                <w:lang w:val="en-US" w:eastAsia="zh-CN"/>
              </w:rPr>
              <w:t>及产污节点</w:t>
            </w:r>
            <w:r>
              <w:rPr>
                <w:rFonts w:hint="default"/>
                <w:b/>
                <w:snapToGrid w:val="0"/>
                <w:color w:val="auto"/>
                <w:kern w:val="0"/>
                <w:sz w:val="24"/>
                <w:szCs w:val="24"/>
                <w:u w:val="none"/>
              </w:rPr>
              <w:t>简述：</w:t>
            </w:r>
          </w:p>
          <w:p w14:paraId="3115EA76">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①</w:t>
            </w:r>
            <w:r>
              <w:rPr>
                <w:rFonts w:hint="eastAsia" w:ascii="Times New Roman" w:hAnsi="Times New Roman" w:cs="Times New Roman"/>
                <w:color w:val="auto"/>
                <w:sz w:val="24"/>
                <w:szCs w:val="24"/>
                <w:highlight w:val="none"/>
              </w:rPr>
              <w:t>下料：将外购不同型号大小的钢材送至锯床，直接切割锯断</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此工序产生的污染物为噪声、金属废屑和金属边角料</w:t>
            </w:r>
            <w:r>
              <w:rPr>
                <w:rFonts w:hint="eastAsia" w:ascii="Times New Roman" w:hAnsi="Times New Roman" w:cs="Times New Roman"/>
                <w:color w:val="auto"/>
                <w:sz w:val="24"/>
                <w:szCs w:val="24"/>
                <w:highlight w:val="none"/>
              </w:rPr>
              <w:t>；</w:t>
            </w:r>
          </w:p>
          <w:p w14:paraId="097BDD07">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②</w:t>
            </w:r>
            <w:r>
              <w:rPr>
                <w:rFonts w:hint="eastAsia" w:ascii="Times New Roman" w:hAnsi="Times New Roman" w:cs="Times New Roman"/>
                <w:color w:val="auto"/>
                <w:sz w:val="24"/>
                <w:szCs w:val="24"/>
                <w:highlight w:val="none"/>
              </w:rPr>
              <w:t>零件加工：主要包括车削、铣、钻；a、车削：根据设计要求将钢材转运至车床上，通过车刀对工件进行车削加工；b、铣：针对不同产品的要求在铣床上进行刨削定型；c、钻：根据产品的尺寸及要求，在钻床上对工件进行钻孔操作。</w:t>
            </w:r>
            <w:r>
              <w:rPr>
                <w:rFonts w:hint="eastAsia" w:cs="Times New Roman"/>
                <w:color w:val="auto"/>
                <w:sz w:val="24"/>
                <w:szCs w:val="24"/>
                <w:highlight w:val="none"/>
                <w:lang w:val="en-US" w:eastAsia="zh-CN"/>
              </w:rPr>
              <w:t>此工序产生的污染物为噪声、金属废屑和金属边角料；</w:t>
            </w:r>
          </w:p>
          <w:p w14:paraId="1703F4B2">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③</w:t>
            </w:r>
            <w:r>
              <w:rPr>
                <w:rFonts w:hint="eastAsia" w:ascii="Times New Roman" w:hAnsi="Times New Roman" w:cs="Times New Roman"/>
                <w:color w:val="auto"/>
                <w:sz w:val="24"/>
                <w:szCs w:val="24"/>
                <w:highlight w:val="none"/>
              </w:rPr>
              <w:t>焊接：对部分机件进行焊接处理。</w:t>
            </w:r>
            <w:r>
              <w:rPr>
                <w:rFonts w:hint="eastAsia" w:cs="Times New Roman"/>
                <w:color w:val="auto"/>
                <w:sz w:val="24"/>
                <w:szCs w:val="24"/>
                <w:highlight w:val="none"/>
                <w:lang w:val="en-US" w:eastAsia="zh-CN"/>
              </w:rPr>
              <w:t>此工序产生的污染物为噪声、焊渣及废焊条、焊接废气；</w:t>
            </w:r>
          </w:p>
          <w:p w14:paraId="19BED947">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rPr>
            </w:pPr>
            <w:r>
              <w:rPr>
                <w:rFonts w:hint="eastAsia" w:cs="Times New Roman"/>
                <w:color w:val="auto"/>
                <w:sz w:val="24"/>
                <w:szCs w:val="24"/>
                <w:highlight w:val="none"/>
                <w:lang w:val="en-US" w:eastAsia="zh-CN"/>
              </w:rPr>
              <w:t>④喷塑：对焊接后的钢材表面进行喷塑处理。本项目喷塑处理外包，不在厂区内进行喷塑；</w:t>
            </w:r>
          </w:p>
          <w:p w14:paraId="60305FE2">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rPr>
            </w:pPr>
            <w:r>
              <w:rPr>
                <w:rFonts w:hint="eastAsia" w:cs="Times New Roman"/>
                <w:color w:val="auto"/>
                <w:sz w:val="24"/>
                <w:szCs w:val="24"/>
                <w:highlight w:val="none"/>
                <w:lang w:val="en-US" w:eastAsia="zh-CN"/>
              </w:rPr>
              <w:t>⑤组装：将喷塑后的各零部件与电机等部件进行组装成件。此工序产生的污染物为废包装材料；</w:t>
            </w:r>
          </w:p>
          <w:p w14:paraId="2CAF9B48">
            <w:pPr>
              <w:keepNext w:val="0"/>
              <w:keepLines w:val="0"/>
              <w:widowControl/>
              <w:suppressLineNumbers w:val="0"/>
              <w:spacing w:before="0" w:beforeAutospacing="0" w:after="0" w:afterAutospacing="0" w:line="360" w:lineRule="auto"/>
              <w:ind w:left="0" w:right="0"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⑥补漆：对部分产品喷塑不到位、表面有破损的地方进行补漆。此工序产生的污染物为噪声、补漆废气、漆渣、废漆桶；</w:t>
            </w:r>
          </w:p>
          <w:p w14:paraId="75FEAA21">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⑦</w:t>
            </w:r>
            <w:r>
              <w:rPr>
                <w:rFonts w:hint="eastAsia" w:ascii="Times New Roman" w:hAnsi="Times New Roman" w:cs="Times New Roman"/>
                <w:color w:val="auto"/>
                <w:sz w:val="24"/>
                <w:szCs w:val="24"/>
                <w:highlight w:val="none"/>
              </w:rPr>
              <w:t>整机安装调试：对机件进行整机安装调试后，即可出厂。</w:t>
            </w:r>
          </w:p>
          <w:p w14:paraId="2551A330">
            <w:pPr>
              <w:pStyle w:val="109"/>
              <w:keepNext w:val="0"/>
              <w:keepLines w:val="0"/>
              <w:suppressLineNumbers w:val="0"/>
              <w:spacing w:before="0" w:beforeAutospacing="0" w:after="0" w:afterAutospacing="0"/>
              <w:ind w:left="0" w:right="0" w:firstLine="480"/>
              <w:rPr>
                <w:rFonts w:hint="eastAsia"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（2）运营期主要污染工序</w:t>
            </w:r>
          </w:p>
          <w:p w14:paraId="510C3E7E">
            <w:pPr>
              <w:pStyle w:val="109"/>
              <w:keepNext w:val="0"/>
              <w:keepLines w:val="0"/>
              <w:suppressLineNumbers w:val="0"/>
              <w:spacing w:before="0" w:beforeAutospacing="0" w:after="0" w:afterAutospacing="0"/>
              <w:ind w:left="0" w:right="0" w:firstLine="480"/>
              <w:rPr>
                <w:rFonts w:hint="default"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本项目、生产工序相同，</w:t>
            </w:r>
            <w:r>
              <w:rPr>
                <w:rFonts w:hint="default" w:hAnsi="Times New Roman"/>
                <w:b w:val="0"/>
                <w:bCs/>
                <w:snapToGrid w:val="0"/>
                <w:color w:val="auto"/>
                <w:kern w:val="2"/>
                <w:sz w:val="24"/>
                <w:u w:val="none"/>
                <w:lang w:val="en-US" w:eastAsia="zh-CN"/>
              </w:rPr>
              <w:t>营运期主要污染工序及产生污染物详见下表：</w:t>
            </w:r>
          </w:p>
          <w:p w14:paraId="5FAFA252">
            <w:pPr>
              <w:pStyle w:val="109"/>
              <w:keepNext w:val="0"/>
              <w:keepLines w:val="0"/>
              <w:suppressLineNumbers w:val="0"/>
              <w:spacing w:before="0" w:beforeAutospacing="0" w:after="0" w:afterAutospacing="0"/>
              <w:ind w:left="0" w:right="0" w:firstLine="480"/>
              <w:jc w:val="center"/>
              <w:rPr>
                <w:rFonts w:hint="default" w:hAnsi="Times New Roman"/>
                <w:b/>
                <w:bCs w:val="0"/>
                <w:snapToGrid w:val="0"/>
                <w:color w:val="auto"/>
                <w:kern w:val="2"/>
                <w:sz w:val="21"/>
                <w:szCs w:val="21"/>
                <w:u w:val="none"/>
                <w:lang w:val="en-US" w:eastAsia="zh-CN"/>
              </w:rPr>
            </w:pPr>
            <w:r>
              <w:rPr>
                <w:rFonts w:hint="default" w:hAnsi="Times New Roman"/>
                <w:b/>
                <w:bCs w:val="0"/>
                <w:snapToGrid w:val="0"/>
                <w:color w:val="auto"/>
                <w:kern w:val="2"/>
                <w:sz w:val="21"/>
                <w:szCs w:val="21"/>
                <w:u w:val="none"/>
                <w:lang w:val="en-US" w:eastAsia="zh-CN"/>
              </w:rPr>
              <w:t>表2-</w:t>
            </w:r>
            <w:r>
              <w:rPr>
                <w:rFonts w:hint="eastAsia" w:hAnsi="Times New Roman"/>
                <w:b/>
                <w:bCs w:val="0"/>
                <w:snapToGrid w:val="0"/>
                <w:color w:val="auto"/>
                <w:kern w:val="2"/>
                <w:sz w:val="21"/>
                <w:szCs w:val="21"/>
                <w:u w:val="none"/>
                <w:lang w:val="en-US" w:eastAsia="zh-CN"/>
              </w:rPr>
              <w:t>5</w:t>
            </w:r>
            <w:r>
              <w:rPr>
                <w:rFonts w:hint="default" w:hAnsi="Times New Roman"/>
                <w:b/>
                <w:bCs w:val="0"/>
                <w:snapToGrid w:val="0"/>
                <w:color w:val="auto"/>
                <w:kern w:val="2"/>
                <w:sz w:val="21"/>
                <w:szCs w:val="21"/>
                <w:u w:val="none"/>
                <w:lang w:val="en-US" w:eastAsia="zh-CN"/>
              </w:rPr>
              <w:t xml:space="preserve"> 营运期产污情况一览表</w:t>
            </w:r>
          </w:p>
          <w:tbl>
            <w:tblPr>
              <w:tblStyle w:val="24"/>
              <w:tblW w:w="4998" w:type="pct"/>
              <w:tblInd w:w="-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28" w:type="dxa"/>
                <w:left w:w="108" w:type="dxa"/>
                <w:bottom w:w="28" w:type="dxa"/>
                <w:right w:w="108" w:type="dxa"/>
              </w:tblCellMar>
            </w:tblPr>
            <w:tblGrid>
              <w:gridCol w:w="1181"/>
              <w:gridCol w:w="2991"/>
              <w:gridCol w:w="3953"/>
            </w:tblGrid>
            <w:tr w14:paraId="61344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726" w:type="pct"/>
                  <w:tcBorders>
                    <w:bottom w:val="single" w:color="000000" w:sz="4" w:space="0"/>
                    <w:right w:val="single" w:color="000000" w:sz="4" w:space="0"/>
                  </w:tcBorders>
                  <w:shd w:val="clear" w:color="auto" w:fill="auto"/>
                  <w:vAlign w:val="center"/>
                </w:tcPr>
                <w:p w14:paraId="4E154C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w:t>
                  </w:r>
                </w:p>
              </w:tc>
              <w:tc>
                <w:tcPr>
                  <w:tcW w:w="1840" w:type="pct"/>
                  <w:tcBorders>
                    <w:left w:val="single" w:color="000000" w:sz="4" w:space="0"/>
                    <w:bottom w:val="single" w:color="000000" w:sz="4" w:space="0"/>
                    <w:right w:val="single" w:color="000000" w:sz="4" w:space="0"/>
                  </w:tcBorders>
                  <w:shd w:val="clear" w:color="auto" w:fill="auto"/>
                  <w:vAlign w:val="center"/>
                </w:tcPr>
                <w:p w14:paraId="6F77F5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污染来源</w:t>
                  </w:r>
                </w:p>
              </w:tc>
              <w:tc>
                <w:tcPr>
                  <w:tcW w:w="2432" w:type="pct"/>
                  <w:tcBorders>
                    <w:left w:val="single" w:color="000000" w:sz="4" w:space="0"/>
                    <w:bottom w:val="single" w:color="000000" w:sz="4" w:space="0"/>
                  </w:tcBorders>
                  <w:shd w:val="clear" w:color="auto" w:fill="auto"/>
                  <w:vAlign w:val="center"/>
                </w:tcPr>
                <w:p w14:paraId="6A2908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主要污染因子</w:t>
                  </w:r>
                </w:p>
              </w:tc>
            </w:tr>
            <w:tr w14:paraId="330C8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726" w:type="pct"/>
                  <w:tcBorders>
                    <w:top w:val="nil"/>
                    <w:bottom w:val="nil"/>
                    <w:right w:val="nil"/>
                  </w:tcBorders>
                  <w:shd w:val="clear" w:color="auto" w:fill="auto"/>
                  <w:noWrap/>
                  <w:vAlign w:val="center"/>
                </w:tcPr>
                <w:p w14:paraId="1B3A77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废水</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90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职工生活污水</w:t>
                  </w:r>
                </w:p>
              </w:tc>
              <w:tc>
                <w:tcPr>
                  <w:tcW w:w="2432" w:type="pct"/>
                  <w:tcBorders>
                    <w:top w:val="single" w:color="000000" w:sz="4" w:space="0"/>
                    <w:left w:val="single" w:color="000000" w:sz="4" w:space="0"/>
                    <w:bottom w:val="single" w:color="000000" w:sz="4" w:space="0"/>
                  </w:tcBorders>
                  <w:shd w:val="clear" w:color="auto" w:fill="auto"/>
                  <w:vAlign w:val="center"/>
                </w:tcPr>
                <w:p w14:paraId="6AD6AB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COD</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Cr</w:t>
                  </w:r>
                  <w:r>
                    <w:rPr>
                      <w:rStyle w:val="116"/>
                      <w:rFonts w:ascii="Times New Roman" w:hAnsi="Times New Roman" w:cs="Times New Roman"/>
                      <w:b w:val="0"/>
                      <w:bCs w:val="0"/>
                      <w:sz w:val="21"/>
                      <w:szCs w:val="21"/>
                      <w:lang w:val="en-US" w:eastAsia="zh-CN" w:bidi="ar"/>
                    </w:rPr>
                    <w:t>、</w:t>
                  </w:r>
                  <w:r>
                    <w:rPr>
                      <w:rStyle w:val="113"/>
                      <w:rFonts w:ascii="Times New Roman" w:hAnsi="Times New Roman" w:eastAsia="宋体" w:cs="Times New Roman"/>
                      <w:b w:val="0"/>
                      <w:bCs w:val="0"/>
                      <w:sz w:val="21"/>
                      <w:szCs w:val="21"/>
                      <w:lang w:val="en-US" w:eastAsia="zh-CN" w:bidi="ar"/>
                    </w:rPr>
                    <w:t>BOD</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5</w:t>
                  </w:r>
                  <w:r>
                    <w:rPr>
                      <w:rStyle w:val="116"/>
                      <w:rFonts w:ascii="Times New Roman" w:hAnsi="Times New Roman" w:cs="Times New Roman"/>
                      <w:b w:val="0"/>
                      <w:bCs w:val="0"/>
                      <w:sz w:val="21"/>
                      <w:szCs w:val="21"/>
                      <w:lang w:val="en-US" w:eastAsia="zh-CN" w:bidi="ar"/>
                    </w:rPr>
                    <w:t>、氨氮、</w:t>
                  </w:r>
                  <w:r>
                    <w:rPr>
                      <w:rStyle w:val="113"/>
                      <w:rFonts w:ascii="Times New Roman" w:hAnsi="Times New Roman" w:eastAsia="宋体" w:cs="Times New Roman"/>
                      <w:b w:val="0"/>
                      <w:bCs w:val="0"/>
                      <w:sz w:val="21"/>
                      <w:szCs w:val="21"/>
                      <w:lang w:val="en-US" w:eastAsia="zh-CN" w:bidi="ar"/>
                    </w:rPr>
                    <w:t>SS</w:t>
                  </w:r>
                  <w:r>
                    <w:rPr>
                      <w:rStyle w:val="116"/>
                      <w:rFonts w:ascii="Times New Roman" w:hAnsi="Times New Roman" w:cs="Times New Roman"/>
                      <w:b w:val="0"/>
                      <w:bCs w:val="0"/>
                      <w:sz w:val="21"/>
                      <w:szCs w:val="21"/>
                      <w:lang w:val="en-US" w:eastAsia="zh-CN" w:bidi="ar"/>
                    </w:rPr>
                    <w:t>、动植物油</w:t>
                  </w:r>
                </w:p>
              </w:tc>
            </w:tr>
            <w:tr w14:paraId="0EEB8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726" w:type="pct"/>
                  <w:vMerge w:val="restart"/>
                  <w:tcBorders>
                    <w:top w:val="single" w:color="000000" w:sz="4" w:space="0"/>
                    <w:right w:val="single" w:color="000000" w:sz="4" w:space="0"/>
                  </w:tcBorders>
                  <w:shd w:val="clear" w:color="auto" w:fill="auto"/>
                  <w:vAlign w:val="center"/>
                </w:tcPr>
                <w:p w14:paraId="6BFA5F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废气</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C0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下料</w:t>
                  </w:r>
                </w:p>
              </w:tc>
              <w:tc>
                <w:tcPr>
                  <w:tcW w:w="2432" w:type="pct"/>
                  <w:tcBorders>
                    <w:top w:val="single" w:color="000000" w:sz="4" w:space="0"/>
                    <w:left w:val="single" w:color="000000" w:sz="4" w:space="0"/>
                    <w:bottom w:val="single" w:color="000000" w:sz="4" w:space="0"/>
                  </w:tcBorders>
                  <w:shd w:val="clear" w:color="auto" w:fill="auto"/>
                  <w:vAlign w:val="center"/>
                </w:tcPr>
                <w:p w14:paraId="47509A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颗粒物</w:t>
                  </w:r>
                </w:p>
              </w:tc>
            </w:tr>
            <w:tr w14:paraId="4F115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0AE77F1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D7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零件加工</w:t>
                  </w:r>
                </w:p>
              </w:tc>
              <w:tc>
                <w:tcPr>
                  <w:tcW w:w="2432" w:type="pct"/>
                  <w:tcBorders>
                    <w:top w:val="single" w:color="000000" w:sz="4" w:space="0"/>
                    <w:left w:val="single" w:color="000000" w:sz="4" w:space="0"/>
                    <w:bottom w:val="single" w:color="000000" w:sz="4" w:space="0"/>
                  </w:tcBorders>
                  <w:shd w:val="clear" w:color="auto" w:fill="auto"/>
                  <w:vAlign w:val="center"/>
                </w:tcPr>
                <w:p w14:paraId="5755D3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颗粒物</w:t>
                  </w:r>
                </w:p>
              </w:tc>
            </w:tr>
            <w:tr w14:paraId="54AE2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1199130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焊接</w:t>
                  </w:r>
                </w:p>
              </w:tc>
              <w:tc>
                <w:tcPr>
                  <w:tcW w:w="2432" w:type="pct"/>
                  <w:tcBorders>
                    <w:top w:val="single" w:color="000000" w:sz="4" w:space="0"/>
                    <w:left w:val="single" w:color="000000" w:sz="4" w:space="0"/>
                    <w:bottom w:val="single" w:color="000000" w:sz="4" w:space="0"/>
                  </w:tcBorders>
                  <w:shd w:val="clear" w:color="auto" w:fill="auto"/>
                  <w:vAlign w:val="center"/>
                </w:tcPr>
                <w:p w14:paraId="467420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颗粒物</w:t>
                  </w:r>
                </w:p>
              </w:tc>
            </w:tr>
            <w:tr w14:paraId="3761E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185C593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E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补漆</w:t>
                  </w:r>
                </w:p>
              </w:tc>
              <w:tc>
                <w:tcPr>
                  <w:tcW w:w="2432" w:type="pct"/>
                  <w:tcBorders>
                    <w:top w:val="single" w:color="000000" w:sz="4" w:space="0"/>
                    <w:left w:val="single" w:color="000000" w:sz="4" w:space="0"/>
                    <w:bottom w:val="single" w:color="000000" w:sz="4" w:space="0"/>
                  </w:tcBorders>
                  <w:shd w:val="clear" w:color="auto" w:fill="auto"/>
                  <w:vAlign w:val="center"/>
                </w:tcPr>
                <w:p w14:paraId="15EB5E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kern w:val="0"/>
                      <w:sz w:val="21"/>
                      <w:szCs w:val="21"/>
                      <w:u w:val="none"/>
                      <w:lang w:val="en-US" w:eastAsia="zh-CN" w:bidi="ar"/>
                    </w:rPr>
                    <w:t>颗粒物、</w:t>
                  </w:r>
                  <w:r>
                    <w:rPr>
                      <w:rFonts w:hint="default" w:ascii="Times New Roman" w:hAnsi="Times New Roman" w:eastAsia="宋体" w:cs="Times New Roman"/>
                      <w:i w:val="0"/>
                      <w:iCs w:val="0"/>
                      <w:color w:val="000000"/>
                      <w:kern w:val="0"/>
                      <w:sz w:val="21"/>
                      <w:szCs w:val="21"/>
                      <w:u w:val="none"/>
                      <w:lang w:val="en-US" w:eastAsia="zh-CN" w:bidi="ar"/>
                    </w:rPr>
                    <w:t>VOCs</w:t>
                  </w:r>
                  <w:r>
                    <w:rPr>
                      <w:rFonts w:hint="eastAsia"/>
                      <w:sz w:val="21"/>
                      <w:szCs w:val="21"/>
                      <w:lang w:eastAsia="zh-CN"/>
                    </w:rPr>
                    <w:t>、</w:t>
                  </w:r>
                  <w:r>
                    <w:rPr>
                      <w:rFonts w:hint="eastAsia"/>
                      <w:sz w:val="21"/>
                      <w:szCs w:val="21"/>
                      <w:lang w:val="en-US" w:eastAsia="zh-CN"/>
                    </w:rPr>
                    <w:t>非甲烷总烃</w:t>
                  </w:r>
                </w:p>
              </w:tc>
            </w:tr>
            <w:tr w14:paraId="60D69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bottom w:val="single" w:color="000000" w:sz="4" w:space="0"/>
                    <w:right w:val="single" w:color="000000" w:sz="4" w:space="0"/>
                  </w:tcBorders>
                  <w:shd w:val="clear" w:color="auto" w:fill="auto"/>
                  <w:vAlign w:val="center"/>
                </w:tcPr>
                <w:p w14:paraId="39B0927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6F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员工用餐</w:t>
                  </w:r>
                </w:p>
              </w:tc>
              <w:tc>
                <w:tcPr>
                  <w:tcW w:w="2432" w:type="pct"/>
                  <w:tcBorders>
                    <w:top w:val="single" w:color="000000" w:sz="4" w:space="0"/>
                    <w:left w:val="single" w:color="000000" w:sz="4" w:space="0"/>
                    <w:bottom w:val="single" w:color="000000" w:sz="4" w:space="0"/>
                  </w:tcBorders>
                  <w:shd w:val="clear" w:color="auto" w:fill="auto"/>
                  <w:vAlign w:val="center"/>
                </w:tcPr>
                <w:p w14:paraId="6FAC9C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食堂油烟</w:t>
                  </w:r>
                </w:p>
              </w:tc>
            </w:tr>
            <w:tr w14:paraId="205A7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tcBorders>
                    <w:top w:val="single" w:color="000000" w:sz="4" w:space="0"/>
                    <w:bottom w:val="single" w:color="000000" w:sz="4" w:space="0"/>
                    <w:right w:val="single" w:color="000000" w:sz="4" w:space="0"/>
                  </w:tcBorders>
                  <w:shd w:val="clear" w:color="auto" w:fill="auto"/>
                  <w:vAlign w:val="center"/>
                </w:tcPr>
                <w:p w14:paraId="6B0269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噪声</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67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设备运行</w:t>
                  </w:r>
                </w:p>
              </w:tc>
              <w:tc>
                <w:tcPr>
                  <w:tcW w:w="2432" w:type="pct"/>
                  <w:tcBorders>
                    <w:top w:val="single" w:color="000000" w:sz="4" w:space="0"/>
                    <w:left w:val="single" w:color="000000" w:sz="4" w:space="0"/>
                    <w:bottom w:val="single" w:color="000000" w:sz="4" w:space="0"/>
                  </w:tcBorders>
                  <w:shd w:val="clear" w:color="auto" w:fill="auto"/>
                  <w:vAlign w:val="center"/>
                </w:tcPr>
                <w:p w14:paraId="712EE5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噪声</w:t>
                  </w:r>
                </w:p>
              </w:tc>
            </w:tr>
            <w:tr w14:paraId="712D5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restart"/>
                  <w:tcBorders>
                    <w:top w:val="single" w:color="000000" w:sz="4" w:space="0"/>
                    <w:right w:val="single" w:color="000000" w:sz="4" w:space="0"/>
                  </w:tcBorders>
                  <w:shd w:val="clear" w:color="auto" w:fill="auto"/>
                  <w:vAlign w:val="center"/>
                </w:tcPr>
                <w:p w14:paraId="01C1C0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固废</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65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职工生活垃圾</w:t>
                  </w:r>
                </w:p>
              </w:tc>
              <w:tc>
                <w:tcPr>
                  <w:tcW w:w="2432" w:type="pct"/>
                  <w:tcBorders>
                    <w:top w:val="single" w:color="000000" w:sz="4" w:space="0"/>
                    <w:left w:val="single" w:color="000000" w:sz="4" w:space="0"/>
                    <w:bottom w:val="single" w:color="000000" w:sz="4" w:space="0"/>
                  </w:tcBorders>
                  <w:shd w:val="clear" w:color="auto" w:fill="auto"/>
                  <w:vAlign w:val="center"/>
                </w:tcPr>
                <w:p w14:paraId="2887F1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w:t>
                  </w:r>
                </w:p>
              </w:tc>
            </w:tr>
            <w:tr w14:paraId="69E49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2C7FB54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33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下料</w:t>
                  </w:r>
                </w:p>
              </w:tc>
              <w:tc>
                <w:tcPr>
                  <w:tcW w:w="2432" w:type="pct"/>
                  <w:tcBorders>
                    <w:top w:val="single" w:color="000000" w:sz="4" w:space="0"/>
                    <w:left w:val="single" w:color="000000" w:sz="4" w:space="0"/>
                    <w:bottom w:val="single" w:color="000000" w:sz="4" w:space="0"/>
                  </w:tcBorders>
                  <w:shd w:val="clear" w:color="auto" w:fill="auto"/>
                  <w:vAlign w:val="center"/>
                </w:tcPr>
                <w:p w14:paraId="76994F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金属废屑和金属边角料</w:t>
                  </w:r>
                </w:p>
              </w:tc>
            </w:tr>
            <w:tr w14:paraId="5E923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557DDAB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AA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零件加工</w:t>
                  </w:r>
                </w:p>
              </w:tc>
              <w:tc>
                <w:tcPr>
                  <w:tcW w:w="2432" w:type="pct"/>
                  <w:tcBorders>
                    <w:top w:val="single" w:color="000000" w:sz="4" w:space="0"/>
                    <w:left w:val="single" w:color="000000" w:sz="4" w:space="0"/>
                    <w:bottom w:val="single" w:color="000000" w:sz="4" w:space="0"/>
                  </w:tcBorders>
                  <w:shd w:val="clear" w:color="auto" w:fill="auto"/>
                  <w:vAlign w:val="center"/>
                </w:tcPr>
                <w:p w14:paraId="4B11DF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金属废屑和金属边角料</w:t>
                  </w:r>
                </w:p>
              </w:tc>
            </w:tr>
            <w:tr w14:paraId="54233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721C78A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4E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w:t>
                  </w:r>
                </w:p>
              </w:tc>
              <w:tc>
                <w:tcPr>
                  <w:tcW w:w="2432" w:type="pct"/>
                  <w:tcBorders>
                    <w:top w:val="single" w:color="000000" w:sz="4" w:space="0"/>
                    <w:left w:val="single" w:color="000000" w:sz="4" w:space="0"/>
                    <w:bottom w:val="single" w:color="000000" w:sz="4" w:space="0"/>
                  </w:tcBorders>
                  <w:shd w:val="clear" w:color="auto" w:fill="auto"/>
                  <w:vAlign w:val="center"/>
                </w:tcPr>
                <w:p w14:paraId="01BF75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焊渣及废焊条</w:t>
                  </w:r>
                </w:p>
              </w:tc>
            </w:tr>
            <w:tr w14:paraId="5983B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09C60B8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7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补漆</w:t>
                  </w:r>
                </w:p>
              </w:tc>
              <w:tc>
                <w:tcPr>
                  <w:tcW w:w="2432" w:type="pct"/>
                  <w:tcBorders>
                    <w:top w:val="single" w:color="000000" w:sz="4" w:space="0"/>
                    <w:left w:val="single" w:color="000000" w:sz="4" w:space="0"/>
                    <w:bottom w:val="single" w:color="000000" w:sz="4" w:space="0"/>
                  </w:tcBorders>
                  <w:shd w:val="clear" w:color="auto" w:fill="auto"/>
                  <w:noWrap/>
                  <w:vAlign w:val="center"/>
                </w:tcPr>
                <w:p w14:paraId="2167F6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漆渣、废漆桶</w:t>
                  </w:r>
                </w:p>
              </w:tc>
            </w:tr>
            <w:tr w14:paraId="32255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0064098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8F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废气处理</w:t>
                  </w:r>
                </w:p>
              </w:tc>
              <w:tc>
                <w:tcPr>
                  <w:tcW w:w="2432" w:type="pct"/>
                  <w:tcBorders>
                    <w:top w:val="single" w:color="000000" w:sz="4" w:space="0"/>
                    <w:left w:val="single" w:color="000000" w:sz="4" w:space="0"/>
                    <w:bottom w:val="single" w:color="000000" w:sz="4" w:space="0"/>
                  </w:tcBorders>
                  <w:shd w:val="clear" w:color="auto" w:fill="auto"/>
                  <w:noWrap/>
                  <w:vAlign w:val="center"/>
                </w:tcPr>
                <w:p w14:paraId="39EFE1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废活性炭、废过滤棉</w:t>
                  </w:r>
                </w:p>
              </w:tc>
            </w:tr>
            <w:tr w14:paraId="40BD5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0D5AEA0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4F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组装</w:t>
                  </w:r>
                </w:p>
              </w:tc>
              <w:tc>
                <w:tcPr>
                  <w:tcW w:w="2432" w:type="pct"/>
                  <w:tcBorders>
                    <w:top w:val="single" w:color="000000" w:sz="4" w:space="0"/>
                    <w:left w:val="single" w:color="000000" w:sz="4" w:space="0"/>
                    <w:bottom w:val="single" w:color="000000" w:sz="4" w:space="0"/>
                  </w:tcBorders>
                  <w:shd w:val="clear" w:color="auto" w:fill="auto"/>
                  <w:noWrap/>
                  <w:vAlign w:val="center"/>
                </w:tcPr>
                <w:p w14:paraId="4B73E5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废包装材料</w:t>
                  </w:r>
                </w:p>
              </w:tc>
            </w:tr>
            <w:tr w14:paraId="28B9B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28" w:type="dxa"/>
                  <w:left w:w="108" w:type="dxa"/>
                  <w:bottom w:w="28" w:type="dxa"/>
                  <w:right w:w="108" w:type="dxa"/>
                </w:tblCellMar>
              </w:tblPrEx>
              <w:trPr>
                <w:trHeight w:val="57" w:hRule="atLeast"/>
              </w:trPr>
              <w:tc>
                <w:tcPr>
                  <w:tcW w:w="726" w:type="pct"/>
                  <w:vMerge w:val="continue"/>
                  <w:tcBorders>
                    <w:right w:val="single" w:color="000000" w:sz="4" w:space="0"/>
                  </w:tcBorders>
                  <w:shd w:val="clear" w:color="auto" w:fill="auto"/>
                  <w:vAlign w:val="center"/>
                </w:tcPr>
                <w:p w14:paraId="6D13F41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62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生产过程</w:t>
                  </w:r>
                </w:p>
              </w:tc>
              <w:tc>
                <w:tcPr>
                  <w:tcW w:w="2432" w:type="pct"/>
                  <w:tcBorders>
                    <w:top w:val="single" w:color="000000" w:sz="4" w:space="0"/>
                    <w:left w:val="single" w:color="000000" w:sz="4" w:space="0"/>
                    <w:bottom w:val="single" w:color="000000" w:sz="4" w:space="0"/>
                  </w:tcBorders>
                  <w:shd w:val="clear" w:color="auto" w:fill="auto"/>
                  <w:noWrap/>
                  <w:vAlign w:val="center"/>
                </w:tcPr>
                <w:p w14:paraId="7028CD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含油废包装桶</w:t>
                  </w:r>
                </w:p>
              </w:tc>
            </w:tr>
            <w:tr w14:paraId="5E8C2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726" w:type="pct"/>
                  <w:vMerge w:val="continue"/>
                  <w:tcBorders>
                    <w:bottom w:val="single" w:color="000000" w:sz="4" w:space="0"/>
                    <w:right w:val="single" w:color="000000" w:sz="4" w:space="0"/>
                  </w:tcBorders>
                  <w:shd w:val="clear" w:color="auto" w:fill="auto"/>
                  <w:vAlign w:val="center"/>
                </w:tcPr>
                <w:p w14:paraId="1587C5D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8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0A4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2432" w:type="pct"/>
                  <w:tcBorders>
                    <w:top w:val="single" w:color="000000" w:sz="4" w:space="0"/>
                    <w:left w:val="single" w:color="000000" w:sz="4" w:space="0"/>
                    <w:bottom w:val="single" w:color="000000" w:sz="4" w:space="0"/>
                  </w:tcBorders>
                  <w:shd w:val="clear" w:color="auto" w:fill="auto"/>
                  <w:noWrap/>
                  <w:vAlign w:val="center"/>
                </w:tcPr>
                <w:p w14:paraId="24BA99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废抹布、废手套和废棉布等废弃物</w:t>
                  </w:r>
                </w:p>
              </w:tc>
            </w:tr>
          </w:tbl>
          <w:p w14:paraId="1BA5F332">
            <w:pPr>
              <w:pStyle w:val="109"/>
              <w:keepNext w:val="0"/>
              <w:keepLines w:val="0"/>
              <w:suppressLineNumbers w:val="0"/>
              <w:spacing w:before="0" w:beforeAutospacing="0" w:after="0" w:afterAutospacing="0"/>
              <w:ind w:left="0" w:right="0" w:firstLine="0" w:firstLineChars="0"/>
              <w:rPr>
                <w:rFonts w:hint="default" w:eastAsia="宋体"/>
                <w:b/>
                <w:bCs/>
                <w:snapToGrid w:val="0"/>
                <w:color w:val="auto"/>
                <w:kern w:val="0"/>
                <w:sz w:val="24"/>
                <w:u w:val="none"/>
                <w:lang w:val="en-US" w:eastAsia="zh-CN"/>
              </w:rPr>
            </w:pPr>
          </w:p>
        </w:tc>
      </w:tr>
      <w:tr w14:paraId="30D54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39654BB5">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与项目有关的原有环境污染问题</w:t>
            </w:r>
          </w:p>
        </w:tc>
        <w:tc>
          <w:tcPr>
            <w:tcW w:w="8353" w:type="dxa"/>
            <w:noWrap w:val="0"/>
            <w:vAlign w:val="top"/>
          </w:tcPr>
          <w:p w14:paraId="080F2772">
            <w:pPr>
              <w:pStyle w:val="109"/>
              <w:keepNext w:val="0"/>
              <w:keepLines w:val="0"/>
              <w:suppressLineNumbers w:val="0"/>
              <w:adjustRightInd w:val="0"/>
              <w:snapToGrid w:val="0"/>
              <w:spacing w:before="157" w:beforeLines="50" w:beforeAutospacing="0" w:after="0" w:afterAutospacing="0"/>
              <w:ind w:left="0" w:right="0" w:firstLine="480" w:firstLineChars="200"/>
              <w:rPr>
                <w:rFonts w:hint="default" w:ascii="Times New Roman" w:hAnsi="Times New Roman" w:cs="Times New Roman"/>
                <w:snapToGrid w:val="0"/>
                <w:color w:val="auto"/>
                <w:u w:val="none"/>
                <w:lang w:val="en-US" w:eastAsia="zh-CN"/>
              </w:rPr>
            </w:pPr>
            <w:r>
              <w:rPr>
                <w:rFonts w:hint="default" w:ascii="Times New Roman" w:hAnsi="Times New Roman" w:cs="Times New Roman"/>
                <w:snapToGrid w:val="0"/>
                <w:color w:val="auto"/>
                <w:u w:val="none"/>
                <w:lang w:val="en-US" w:eastAsia="zh-CN"/>
              </w:rPr>
              <w:t>本项目</w:t>
            </w:r>
            <w:r>
              <w:rPr>
                <w:rFonts w:hint="eastAsia" w:hAnsi="Times New Roman" w:cs="Times New Roman"/>
                <w:snapToGrid w:val="0"/>
                <w:color w:val="auto"/>
                <w:u w:val="none"/>
                <w:lang w:val="en-US" w:eastAsia="zh-CN"/>
              </w:rPr>
              <w:t>所在地原为空地，现已建设空置厂房</w:t>
            </w:r>
            <w:r>
              <w:rPr>
                <w:rFonts w:hint="default" w:ascii="Times New Roman" w:hAnsi="Times New Roman" w:cs="Times New Roman"/>
                <w:snapToGrid w:val="0"/>
                <w:color w:val="auto"/>
                <w:u w:val="none"/>
                <w:lang w:val="en-US" w:eastAsia="zh-CN"/>
              </w:rPr>
              <w:t>，无原有环境污染问题。</w:t>
            </w:r>
          </w:p>
          <w:p w14:paraId="6A36EF95">
            <w:pPr>
              <w:pStyle w:val="109"/>
              <w:keepNext w:val="0"/>
              <w:keepLines w:val="0"/>
              <w:suppressLineNumbers w:val="0"/>
              <w:spacing w:before="157" w:beforeLines="50" w:beforeAutospacing="0" w:after="0" w:afterAutospacing="0"/>
              <w:ind w:left="0" w:right="0" w:firstLine="482" w:firstLineChars="0"/>
              <w:rPr>
                <w:rFonts w:hint="default"/>
                <w:snapToGrid w:val="0"/>
                <w:color w:val="auto"/>
                <w:u w:val="none"/>
                <w:lang w:val="en-US" w:eastAsia="zh-CN"/>
              </w:rPr>
            </w:pPr>
          </w:p>
        </w:tc>
      </w:tr>
    </w:tbl>
    <w:p w14:paraId="60B8A6BF">
      <w:pPr>
        <w:pStyle w:val="20"/>
        <w:ind w:firstLine="720"/>
        <w:jc w:val="center"/>
        <w:rPr>
          <w:rFonts w:ascii="Times New Roman" w:hAnsi="Times New Roman" w:eastAsia="黑体"/>
          <w:snapToGrid w:val="0"/>
          <w:color w:val="auto"/>
          <w:sz w:val="36"/>
          <w:szCs w:val="36"/>
        </w:rPr>
        <w:sectPr>
          <w:pgSz w:w="11906" w:h="16838"/>
          <w:pgMar w:top="1440" w:right="1531" w:bottom="1440" w:left="1531" w:header="851" w:footer="851" w:gutter="0"/>
          <w:pgNumType w:fmt="decimal"/>
          <w:cols w:space="720" w:num="1"/>
          <w:docGrid w:linePitch="312" w:charSpace="0"/>
        </w:sectPr>
      </w:pPr>
    </w:p>
    <w:p w14:paraId="20EBE404">
      <w:pPr>
        <w:pStyle w:val="20"/>
        <w:spacing w:before="105" w:beforeAutospacing="0" w:after="0" w:afterAutospacing="0" w:line="360" w:lineRule="auto"/>
        <w:jc w:val="center"/>
        <w:outlineLvl w:val="0"/>
        <w:rPr>
          <w:rFonts w:ascii="Times New Roman" w:hAnsi="Times New Roman"/>
          <w:b/>
          <w:bCs/>
          <w:snapToGrid w:val="0"/>
          <w:color w:val="auto"/>
          <w:sz w:val="30"/>
          <w:szCs w:val="30"/>
        </w:rPr>
      </w:pPr>
      <w:bookmarkStart w:id="6" w:name="_Toc13014"/>
      <w:bookmarkStart w:id="7" w:name="_Toc72704841"/>
      <w:r>
        <w:rPr>
          <w:rFonts w:ascii="Times New Roman" w:hAnsi="Times New Roman"/>
          <w:b/>
          <w:bCs/>
          <w:snapToGrid w:val="0"/>
          <w:color w:val="auto"/>
          <w:sz w:val="30"/>
          <w:szCs w:val="30"/>
        </w:rPr>
        <w:t>三、区域环境质量现状、环境保护目标及评价标准</w:t>
      </w:r>
      <w:bookmarkEnd w:id="6"/>
      <w:bookmarkEnd w:id="7"/>
    </w:p>
    <w:tbl>
      <w:tblPr>
        <w:tblStyle w:val="24"/>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9"/>
        <w:gridCol w:w="8977"/>
      </w:tblGrid>
      <w:tr w14:paraId="26DB8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dxa"/>
            <w:noWrap w:val="0"/>
            <w:vAlign w:val="center"/>
          </w:tcPr>
          <w:p w14:paraId="4A8161FC">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区域环境质量现状</w:t>
            </w:r>
          </w:p>
        </w:tc>
        <w:tc>
          <w:tcPr>
            <w:tcW w:w="8977" w:type="dxa"/>
            <w:noWrap w:val="0"/>
            <w:vAlign w:val="top"/>
          </w:tcPr>
          <w:p w14:paraId="7129C64E">
            <w:pPr>
              <w:pStyle w:val="109"/>
              <w:keepNext w:val="0"/>
              <w:keepLines w:val="0"/>
              <w:suppressLineNumbers w:val="0"/>
              <w:spacing w:before="0" w:beforeAutospacing="0" w:after="0" w:afterAutospacing="0"/>
              <w:ind w:left="0" w:right="0" w:firstLine="480"/>
              <w:rPr>
                <w:rFonts w:hint="default"/>
                <w:snapToGrid w:val="0"/>
                <w:color w:val="auto"/>
                <w:u w:val="none"/>
              </w:rPr>
            </w:pPr>
            <w:r>
              <w:rPr>
                <w:rFonts w:hint="default"/>
                <w:snapToGrid w:val="0"/>
                <w:color w:val="auto"/>
                <w:u w:val="none"/>
              </w:rPr>
              <w:t>1、大气环境质量现状</w:t>
            </w:r>
          </w:p>
          <w:p w14:paraId="6ACB168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92" w:firstLineChars="200"/>
              <w:jc w:val="left"/>
              <w:textAlignment w:val="auto"/>
              <w:rPr>
                <w:rFonts w:hint="default" w:ascii="Times New Roman" w:hAnsi="Times New Roman" w:eastAsia="宋体" w:cs="Times New Roman"/>
                <w:spacing w:val="3"/>
                <w:kern w:val="0"/>
                <w:sz w:val="24"/>
                <w:szCs w:val="20"/>
                <w:u w:val="none"/>
                <w:lang w:val="en-US" w:eastAsia="zh-CN" w:bidi="ar-SA"/>
              </w:rPr>
            </w:pPr>
            <w:r>
              <w:rPr>
                <w:rFonts w:hint="eastAsia" w:cs="Times New Roman"/>
                <w:spacing w:val="3"/>
                <w:kern w:val="0"/>
                <w:sz w:val="24"/>
                <w:szCs w:val="20"/>
                <w:u w:val="none"/>
                <w:lang w:val="en-US" w:eastAsia="zh-CN" w:bidi="ar-SA"/>
              </w:rPr>
              <w:t>（1）常规污染物</w:t>
            </w:r>
          </w:p>
          <w:p w14:paraId="7459F8C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92" w:firstLineChars="200"/>
              <w:jc w:val="left"/>
              <w:textAlignment w:val="auto"/>
              <w:rPr>
                <w:rFonts w:hint="default" w:ascii="Times New Roman" w:hAnsi="Times New Roman" w:eastAsia="宋体" w:cs="Times New Roman"/>
                <w:kern w:val="0"/>
                <w:sz w:val="24"/>
                <w:szCs w:val="20"/>
                <w:u w:val="none"/>
                <w:lang w:val="en-US" w:eastAsia="zh-CN" w:bidi="ar-SA"/>
              </w:rPr>
            </w:pPr>
            <w:r>
              <w:rPr>
                <w:rFonts w:hint="default" w:ascii="Times New Roman" w:hAnsi="Times New Roman" w:eastAsia="宋体" w:cs="Times New Roman"/>
                <w:spacing w:val="3"/>
                <w:kern w:val="0"/>
                <w:sz w:val="24"/>
                <w:szCs w:val="20"/>
                <w:u w:val="none"/>
                <w:lang w:val="en-US" w:eastAsia="zh-CN" w:bidi="ar-SA"/>
              </w:rPr>
              <w:t>本项目厂址位于株洲市醴陵市浦口镇浦口村。根据《环境影响评价技术导则 大气环境》（HJ2.2-2018）第6.2.1.1条规定：项目所在区域达标判定，优先采用国家或地方生态环境主管部门公开发布的评价基准年环境质量公告或环境质量报告中的数据或结论，并能满足项目评价要求的，可不再进行现状监测。因此，</w:t>
            </w:r>
            <w:r>
              <w:rPr>
                <w:rFonts w:hint="default" w:ascii="Times New Roman" w:hAnsi="Times New Roman" w:eastAsia="宋体" w:cs="Times New Roman"/>
                <w:kern w:val="0"/>
                <w:sz w:val="24"/>
                <w:szCs w:val="20"/>
                <w:u w:val="none"/>
                <w:lang w:val="en-US" w:eastAsia="zh-CN" w:bidi="ar"/>
              </w:rPr>
              <w:t>本次评价收集了</w:t>
            </w:r>
            <w:r>
              <w:rPr>
                <w:rFonts w:hint="default" w:ascii="Times New Roman" w:hAnsi="Times New Roman" w:eastAsia="宋体" w:cs="Times New Roman"/>
                <w:kern w:val="0"/>
                <w:sz w:val="24"/>
                <w:szCs w:val="20"/>
                <w:u w:val="none"/>
                <w:lang w:val="en-US" w:eastAsia="zh-CN" w:bidi="ar-SA"/>
              </w:rPr>
              <w:t>株洲市生态环境局公布的《2024年12月及1-12月全市环境空气质量、地表水环境质量状况》</w:t>
            </w:r>
            <w:r>
              <w:rPr>
                <w:rFonts w:hint="default" w:ascii="Times New Roman" w:hAnsi="Times New Roman" w:eastAsia="宋体" w:cs="Times New Roman"/>
                <w:kern w:val="0"/>
                <w:sz w:val="24"/>
                <w:szCs w:val="20"/>
                <w:highlight w:val="none"/>
                <w:u w:val="none"/>
                <w:lang w:val="en-US" w:eastAsia="zh-CN" w:bidi="ar"/>
              </w:rPr>
              <w:t>（</w:t>
            </w:r>
            <w:r>
              <w:rPr>
                <w:rFonts w:hint="default" w:ascii="Times New Roman" w:hAnsi="Times New Roman" w:eastAsia="宋体" w:cs="Times New Roman"/>
                <w:color w:val="auto"/>
                <w:kern w:val="0"/>
                <w:sz w:val="24"/>
                <w:szCs w:val="20"/>
                <w:highlight w:val="none"/>
                <w:u w:val="none"/>
                <w:lang w:val="en-US" w:eastAsia="zh-CN" w:bidi="ar-SA"/>
              </w:rPr>
              <w:t>http://sthjj.zhuzhou.gov.cn/c8625/20250124/i2309869.html</w:t>
            </w:r>
            <w:r>
              <w:rPr>
                <w:rFonts w:hint="default" w:ascii="Times New Roman" w:hAnsi="Times New Roman" w:eastAsia="宋体" w:cs="Times New Roman"/>
                <w:kern w:val="0"/>
                <w:sz w:val="24"/>
                <w:szCs w:val="20"/>
                <w:u w:val="none"/>
                <w:lang w:val="en-US" w:eastAsia="zh-CN" w:bidi="ar"/>
              </w:rPr>
              <w:t>）中202</w:t>
            </w:r>
            <w:r>
              <w:rPr>
                <w:rFonts w:hint="eastAsia" w:ascii="Times New Roman" w:hAnsi="Times New Roman" w:eastAsia="宋体" w:cs="Times New Roman"/>
                <w:kern w:val="0"/>
                <w:sz w:val="24"/>
                <w:szCs w:val="20"/>
                <w:u w:val="none"/>
                <w:lang w:val="en-US" w:eastAsia="zh-CN" w:bidi="ar"/>
              </w:rPr>
              <w:t>4</w:t>
            </w:r>
            <w:r>
              <w:rPr>
                <w:rFonts w:hint="default" w:ascii="Times New Roman" w:hAnsi="Times New Roman" w:eastAsia="宋体" w:cs="Times New Roman"/>
                <w:kern w:val="0"/>
                <w:sz w:val="24"/>
                <w:szCs w:val="20"/>
                <w:u w:val="none"/>
                <w:lang w:val="en-US" w:eastAsia="zh-CN" w:bidi="ar"/>
              </w:rPr>
              <w:t>年醴陵市环境空气质量年报数据，</w:t>
            </w:r>
            <w:r>
              <w:rPr>
                <w:rFonts w:hint="default" w:ascii="Times New Roman" w:hAnsi="Times New Roman" w:eastAsia="宋体" w:cs="Times New Roman"/>
                <w:kern w:val="0"/>
                <w:sz w:val="24"/>
                <w:szCs w:val="20"/>
                <w:u w:val="none"/>
                <w:lang w:val="en-US" w:eastAsia="zh-CN" w:bidi="ar-SA"/>
              </w:rPr>
              <w:t>检测因子为SO</w:t>
            </w:r>
            <w:r>
              <w:rPr>
                <w:rFonts w:hint="default" w:ascii="Times New Roman" w:hAnsi="Times New Roman" w:eastAsia="宋体" w:cs="Times New Roman"/>
                <w:kern w:val="0"/>
                <w:sz w:val="24"/>
                <w:szCs w:val="20"/>
                <w:u w:val="none"/>
                <w:vertAlign w:val="subscript"/>
                <w:lang w:val="en-US" w:eastAsia="zh-CN" w:bidi="ar-SA"/>
              </w:rPr>
              <w:t>2</w:t>
            </w:r>
            <w:r>
              <w:rPr>
                <w:rFonts w:hint="default" w:ascii="Times New Roman" w:hAnsi="Times New Roman" w:eastAsia="宋体" w:cs="Times New Roman"/>
                <w:kern w:val="0"/>
                <w:sz w:val="24"/>
                <w:szCs w:val="20"/>
                <w:u w:val="none"/>
                <w:lang w:val="en-US" w:eastAsia="zh-CN" w:bidi="ar-SA"/>
              </w:rPr>
              <w:t>、NO</w:t>
            </w:r>
            <w:r>
              <w:rPr>
                <w:rFonts w:hint="default" w:ascii="Times New Roman" w:hAnsi="Times New Roman" w:eastAsia="宋体" w:cs="Times New Roman"/>
                <w:kern w:val="0"/>
                <w:sz w:val="24"/>
                <w:szCs w:val="20"/>
                <w:u w:val="none"/>
                <w:vertAlign w:val="subscript"/>
                <w:lang w:val="en-US" w:eastAsia="zh-CN" w:bidi="ar-SA"/>
              </w:rPr>
              <w:t>2</w:t>
            </w:r>
            <w:r>
              <w:rPr>
                <w:rFonts w:hint="default" w:ascii="Times New Roman" w:hAnsi="Times New Roman" w:eastAsia="宋体" w:cs="Times New Roman"/>
                <w:kern w:val="0"/>
                <w:sz w:val="24"/>
                <w:szCs w:val="20"/>
                <w:u w:val="none"/>
                <w:lang w:val="en-US" w:eastAsia="zh-CN" w:bidi="ar-SA"/>
              </w:rPr>
              <w:t>、PM</w:t>
            </w:r>
            <w:r>
              <w:rPr>
                <w:rFonts w:hint="default" w:ascii="Times New Roman" w:hAnsi="Times New Roman" w:eastAsia="宋体" w:cs="Times New Roman"/>
                <w:kern w:val="0"/>
                <w:sz w:val="24"/>
                <w:szCs w:val="20"/>
                <w:u w:val="none"/>
                <w:vertAlign w:val="subscript"/>
                <w:lang w:val="en-US" w:eastAsia="zh-CN" w:bidi="ar-SA"/>
              </w:rPr>
              <w:t>10</w:t>
            </w:r>
            <w:r>
              <w:rPr>
                <w:rFonts w:hint="default" w:ascii="Times New Roman" w:hAnsi="Times New Roman" w:eastAsia="宋体" w:cs="Times New Roman"/>
                <w:kern w:val="0"/>
                <w:sz w:val="24"/>
                <w:szCs w:val="20"/>
                <w:u w:val="none"/>
                <w:lang w:val="en-US" w:eastAsia="zh-CN" w:bidi="ar-SA"/>
              </w:rPr>
              <w:t>、PM</w:t>
            </w:r>
            <w:r>
              <w:rPr>
                <w:rFonts w:hint="default" w:ascii="Times New Roman" w:hAnsi="Times New Roman" w:eastAsia="宋体" w:cs="Times New Roman"/>
                <w:kern w:val="0"/>
                <w:sz w:val="24"/>
                <w:szCs w:val="20"/>
                <w:u w:val="none"/>
                <w:vertAlign w:val="subscript"/>
                <w:lang w:val="en-US" w:eastAsia="zh-CN" w:bidi="ar-SA"/>
              </w:rPr>
              <w:t>2.5</w:t>
            </w:r>
            <w:r>
              <w:rPr>
                <w:rFonts w:hint="default" w:ascii="Times New Roman" w:hAnsi="Times New Roman" w:eastAsia="宋体" w:cs="Times New Roman"/>
                <w:kern w:val="0"/>
                <w:sz w:val="24"/>
                <w:szCs w:val="20"/>
                <w:u w:val="none"/>
                <w:lang w:val="en-US" w:eastAsia="zh-CN" w:bidi="ar-SA"/>
              </w:rPr>
              <w:t>、CO、O</w:t>
            </w:r>
            <w:r>
              <w:rPr>
                <w:rFonts w:hint="default" w:ascii="Times New Roman" w:hAnsi="Times New Roman" w:eastAsia="宋体" w:cs="Times New Roman"/>
                <w:kern w:val="0"/>
                <w:sz w:val="24"/>
                <w:szCs w:val="20"/>
                <w:u w:val="none"/>
                <w:vertAlign w:val="subscript"/>
                <w:lang w:val="en-US" w:eastAsia="zh-CN" w:bidi="ar-SA"/>
              </w:rPr>
              <w:t>3</w:t>
            </w:r>
            <w:r>
              <w:rPr>
                <w:rFonts w:hint="default" w:ascii="Times New Roman" w:hAnsi="Times New Roman" w:eastAsia="宋体" w:cs="Times New Roman"/>
                <w:kern w:val="0"/>
                <w:sz w:val="24"/>
                <w:szCs w:val="20"/>
                <w:u w:val="none"/>
                <w:lang w:val="en-US" w:eastAsia="zh-CN" w:bidi="ar-SA"/>
              </w:rPr>
              <w:t>（日最大8小时平均值）。环境空气质量监测结果详见</w:t>
            </w:r>
            <w:r>
              <w:rPr>
                <w:rFonts w:hint="eastAsia" w:cs="Times New Roman"/>
                <w:kern w:val="0"/>
                <w:sz w:val="24"/>
                <w:szCs w:val="20"/>
                <w:u w:val="none"/>
                <w:lang w:val="en-US" w:eastAsia="zh-CN" w:bidi="ar-SA"/>
              </w:rPr>
              <w:t>下表</w:t>
            </w:r>
            <w:r>
              <w:rPr>
                <w:rFonts w:hint="default" w:ascii="Times New Roman" w:hAnsi="Times New Roman" w:eastAsia="宋体" w:cs="Times New Roman"/>
                <w:kern w:val="0"/>
                <w:sz w:val="24"/>
                <w:szCs w:val="20"/>
                <w:u w:val="none"/>
                <w:lang w:val="en-US" w:eastAsia="zh-CN" w:bidi="ar-SA"/>
              </w:rPr>
              <w:t>。</w:t>
            </w:r>
          </w:p>
          <w:p w14:paraId="55CB4FA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Times New Roman" w:hAnsi="Times New Roman" w:eastAsia="宋体" w:cs="Times New Roman"/>
                <w:sz w:val="24"/>
                <w:u w:val="none"/>
              </w:rPr>
              <w:t>评价标准：本项目大气环境质量评价执行</w:t>
            </w:r>
            <w:r>
              <w:rPr>
                <w:rFonts w:hint="default" w:ascii="Times New Roman" w:hAnsi="Times New Roman" w:eastAsia="宋体" w:cs="Times New Roman"/>
                <w:sz w:val="24"/>
                <w:u w:val="none"/>
                <w:lang w:val="de-AT"/>
              </w:rPr>
              <w:t>《环境空气质量标准》</w:t>
            </w:r>
            <w:r>
              <w:rPr>
                <w:rFonts w:hint="default" w:ascii="Times New Roman" w:hAnsi="Times New Roman" w:eastAsia="宋体" w:cs="Times New Roman"/>
                <w:sz w:val="24"/>
                <w:u w:val="none"/>
              </w:rPr>
              <w:t>（GB3095-2012）二级标准。</w:t>
            </w:r>
          </w:p>
          <w:p w14:paraId="352943A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sz w:val="21"/>
                <w:szCs w:val="21"/>
                <w:u w:val="none"/>
                <w:vertAlign w:val="superscript"/>
                <w:lang w:val="en-US" w:eastAsia="zh-CN" w:bidi="ar-SA"/>
              </w:rPr>
            </w:pPr>
            <w:r>
              <w:rPr>
                <w:rFonts w:hint="default" w:ascii="Times New Roman" w:hAnsi="Times New Roman" w:eastAsia="宋体" w:cs="Times New Roman"/>
                <w:b/>
                <w:sz w:val="21"/>
                <w:szCs w:val="21"/>
                <w:u w:val="none"/>
                <w:lang w:val="en-US" w:eastAsia="zh-CN" w:bidi="ar-SA"/>
              </w:rPr>
              <w:t>表3</w:t>
            </w:r>
            <w:r>
              <w:rPr>
                <w:rFonts w:hint="eastAsia" w:ascii="Times New Roman" w:hAnsi="Times New Roman" w:eastAsia="宋体" w:cs="Times New Roman"/>
                <w:b/>
                <w:sz w:val="21"/>
                <w:szCs w:val="21"/>
                <w:u w:val="none"/>
                <w:lang w:val="en-US" w:eastAsia="zh-CN" w:bidi="ar-SA"/>
              </w:rPr>
              <w:t>-</w:t>
            </w:r>
            <w:r>
              <w:rPr>
                <w:rFonts w:hint="default" w:ascii="Times New Roman" w:hAnsi="Times New Roman" w:eastAsia="宋体" w:cs="Times New Roman"/>
                <w:b/>
                <w:sz w:val="21"/>
                <w:szCs w:val="21"/>
                <w:u w:val="none"/>
                <w:lang w:val="en-US" w:eastAsia="zh-CN" w:bidi="ar-SA"/>
              </w:rPr>
              <w:t xml:space="preserve">1  </w:t>
            </w:r>
            <w:r>
              <w:rPr>
                <w:rFonts w:hint="eastAsia" w:ascii="Times New Roman" w:hAnsi="Times New Roman" w:eastAsia="宋体" w:cs="Times New Roman"/>
                <w:b/>
                <w:sz w:val="21"/>
                <w:szCs w:val="21"/>
                <w:u w:val="none"/>
                <w:lang w:val="en-US" w:eastAsia="zh-CN" w:bidi="ar-SA"/>
              </w:rPr>
              <w:t>醴陵市2024年环境空气基本污染物统计表</w:t>
            </w:r>
            <w:r>
              <w:rPr>
                <w:rFonts w:hint="default" w:ascii="Times New Roman" w:hAnsi="Times New Roman" w:eastAsia="宋体" w:cs="Times New Roman"/>
                <w:b/>
                <w:sz w:val="21"/>
                <w:szCs w:val="21"/>
                <w:u w:val="none"/>
                <w:lang w:val="en-US" w:eastAsia="zh-CN" w:bidi="ar-SA"/>
              </w:rPr>
              <w:t xml:space="preserve">   </w:t>
            </w:r>
            <w:r>
              <w:rPr>
                <w:rFonts w:hint="default" w:ascii="Times New Roman" w:hAnsi="Times New Roman" w:eastAsia="宋体" w:cs="Times New Roman"/>
                <w:b/>
                <w:bCs w:val="0"/>
                <w:kern w:val="2"/>
                <w:sz w:val="21"/>
                <w:szCs w:val="24"/>
                <w:u w:val="none"/>
                <w:lang w:val="en-US" w:eastAsia="zh-CN" w:bidi="ar-SA"/>
              </w:rPr>
              <w:t>单位：ug/m</w:t>
            </w:r>
            <w:r>
              <w:rPr>
                <w:rFonts w:hint="default" w:ascii="Times New Roman" w:hAnsi="Times New Roman" w:eastAsia="宋体" w:cs="Times New Roman"/>
                <w:b/>
                <w:bCs w:val="0"/>
                <w:kern w:val="2"/>
                <w:sz w:val="21"/>
                <w:szCs w:val="24"/>
                <w:u w:val="none"/>
                <w:vertAlign w:val="superscript"/>
                <w:lang w:val="en-US" w:eastAsia="zh-CN" w:bidi="ar-SA"/>
              </w:rPr>
              <w:t>3</w:t>
            </w:r>
          </w:p>
          <w:tbl>
            <w:tblPr>
              <w:tblStyle w:val="24"/>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925"/>
              <w:gridCol w:w="1489"/>
              <w:gridCol w:w="1440"/>
              <w:gridCol w:w="1433"/>
              <w:gridCol w:w="1305"/>
            </w:tblGrid>
            <w:tr w14:paraId="3866FE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pct"/>
                  <w:tcBorders>
                    <w:tl2br w:val="nil"/>
                    <w:tr2bl w:val="nil"/>
                  </w:tcBorders>
                  <w:noWrap w:val="0"/>
                  <w:vAlign w:val="center"/>
                </w:tcPr>
                <w:p w14:paraId="069B32E5">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污染物</w:t>
                  </w:r>
                </w:p>
              </w:tc>
              <w:tc>
                <w:tcPr>
                  <w:tcW w:w="1100" w:type="pct"/>
                  <w:tcBorders>
                    <w:tl2br w:val="nil"/>
                    <w:tr2bl w:val="nil"/>
                  </w:tcBorders>
                  <w:noWrap w:val="0"/>
                  <w:vAlign w:val="center"/>
                </w:tcPr>
                <w:p w14:paraId="5A4FA75C">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年评价指标</w:t>
                  </w:r>
                </w:p>
              </w:tc>
              <w:tc>
                <w:tcPr>
                  <w:tcW w:w="851" w:type="pct"/>
                  <w:tcBorders>
                    <w:tl2br w:val="nil"/>
                    <w:tr2bl w:val="nil"/>
                  </w:tcBorders>
                  <w:noWrap w:val="0"/>
                  <w:vAlign w:val="center"/>
                </w:tcPr>
                <w:p w14:paraId="65A6C2FF">
                  <w:pPr>
                    <w:keepNext w:val="0"/>
                    <w:keepLines w:val="0"/>
                    <w:widowControl w:val="0"/>
                    <w:suppressLineNumbers w:val="0"/>
                    <w:spacing w:before="0" w:beforeLines="0" w:beforeAutospacing="0" w:after="0" w:afterLines="0" w:afterAutospacing="0"/>
                    <w:ind w:left="0" w:right="0"/>
                    <w:jc w:val="center"/>
                    <w:rPr>
                      <w:rFonts w:hint="eastAsia" w:ascii="Times New Roman" w:hAnsi="Times New Roman" w:eastAsia="宋体" w:cs="宋体"/>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现状浓度</w:t>
                  </w:r>
                  <w:r>
                    <w:rPr>
                      <w:rFonts w:hint="eastAsia" w:ascii="Times New Roman" w:hAnsi="Times New Roman" w:eastAsia="宋体" w:cs="Times New Roman"/>
                      <w:b/>
                      <w:kern w:val="2"/>
                      <w:sz w:val="21"/>
                      <w:szCs w:val="21"/>
                      <w:u w:val="none"/>
                      <w:lang w:val="en-US" w:eastAsia="zh-CN" w:bidi="ar"/>
                    </w:rPr>
                    <w:t>均值</w:t>
                  </w:r>
                </w:p>
              </w:tc>
              <w:tc>
                <w:tcPr>
                  <w:tcW w:w="823" w:type="pct"/>
                  <w:tcBorders>
                    <w:tl2br w:val="nil"/>
                    <w:tr2bl w:val="nil"/>
                  </w:tcBorders>
                  <w:noWrap w:val="0"/>
                  <w:vAlign w:val="center"/>
                </w:tcPr>
                <w:p w14:paraId="7591ECD8">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宋体"/>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标准值</w:t>
                  </w:r>
                </w:p>
              </w:tc>
              <w:tc>
                <w:tcPr>
                  <w:tcW w:w="819" w:type="pct"/>
                  <w:tcBorders>
                    <w:tl2br w:val="nil"/>
                    <w:tr2bl w:val="nil"/>
                  </w:tcBorders>
                  <w:noWrap w:val="0"/>
                  <w:vAlign w:val="center"/>
                </w:tcPr>
                <w:p w14:paraId="22EAB360">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宋体"/>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占标率</w:t>
                  </w:r>
                  <w:r>
                    <w:rPr>
                      <w:rFonts w:hint="eastAsia" w:ascii="Times New Roman" w:hAnsi="Times New Roman" w:eastAsia="宋体" w:cs="宋体"/>
                      <w:b/>
                      <w:kern w:val="2"/>
                      <w:sz w:val="21"/>
                      <w:szCs w:val="21"/>
                      <w:u w:val="none"/>
                      <w:lang w:val="en-US" w:eastAsia="zh-CN" w:bidi="ar"/>
                    </w:rPr>
                    <w:t>（</w:t>
                  </w:r>
                  <w:r>
                    <w:rPr>
                      <w:rFonts w:hint="default" w:ascii="Times New Roman" w:hAnsi="Times New Roman" w:eastAsia="宋体" w:cs="Times New Roman"/>
                      <w:b/>
                      <w:kern w:val="2"/>
                      <w:sz w:val="21"/>
                      <w:szCs w:val="21"/>
                      <w:u w:val="none"/>
                      <w:lang w:val="en-US" w:eastAsia="zh-CN" w:bidi="ar"/>
                    </w:rPr>
                    <w:t>%</w:t>
                  </w:r>
                  <w:r>
                    <w:rPr>
                      <w:rFonts w:hint="eastAsia" w:ascii="宋体" w:hAnsi="宋体" w:eastAsia="宋体" w:cs="宋体"/>
                      <w:b/>
                      <w:kern w:val="2"/>
                      <w:sz w:val="21"/>
                      <w:szCs w:val="21"/>
                      <w:u w:val="none"/>
                      <w:lang w:val="en-US" w:eastAsia="zh-CN" w:bidi="ar"/>
                    </w:rPr>
                    <w:t>）</w:t>
                  </w:r>
                </w:p>
              </w:tc>
              <w:tc>
                <w:tcPr>
                  <w:tcW w:w="746" w:type="pct"/>
                  <w:tcBorders>
                    <w:tl2br w:val="nil"/>
                    <w:tr2bl w:val="nil"/>
                  </w:tcBorders>
                  <w:noWrap w:val="0"/>
                  <w:vAlign w:val="center"/>
                </w:tcPr>
                <w:p w14:paraId="384BDC94">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b/>
                      <w:kern w:val="2"/>
                      <w:sz w:val="21"/>
                      <w:szCs w:val="21"/>
                      <w:u w:val="none"/>
                      <w:lang w:val="en-US" w:eastAsia="zh-CN" w:bidi="ar-SA"/>
                    </w:rPr>
                  </w:pPr>
                  <w:r>
                    <w:rPr>
                      <w:rFonts w:hint="default" w:ascii="Times New Roman" w:hAnsi="Times New Roman" w:eastAsia="宋体" w:cs="Times New Roman"/>
                      <w:b/>
                      <w:kern w:val="2"/>
                      <w:sz w:val="21"/>
                      <w:szCs w:val="21"/>
                      <w:u w:val="none"/>
                      <w:lang w:val="en-US" w:eastAsia="zh-CN" w:bidi="ar"/>
                    </w:rPr>
                    <w:t>达标情况</w:t>
                  </w:r>
                </w:p>
              </w:tc>
            </w:tr>
            <w:tr w14:paraId="459B0C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pct"/>
                  <w:tcBorders>
                    <w:tl2br w:val="nil"/>
                    <w:tr2bl w:val="nil"/>
                  </w:tcBorders>
                  <w:noWrap w:val="0"/>
                  <w:vAlign w:val="center"/>
                </w:tcPr>
                <w:p w14:paraId="63F489CF">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S</w:t>
                  </w:r>
                  <w:r>
                    <w:rPr>
                      <w:rFonts w:hint="default" w:ascii="Times New Roman" w:hAnsi="Times New Roman" w:eastAsia="宋体" w:cs="Times New Roman"/>
                      <w:kern w:val="2"/>
                      <w:sz w:val="21"/>
                      <w:szCs w:val="21"/>
                      <w:u w:val="none"/>
                      <w:lang w:val="en-US" w:eastAsia="zh-CN" w:bidi="ar"/>
                    </w:rPr>
                    <w:t>O</w:t>
                  </w:r>
                  <w:r>
                    <w:rPr>
                      <w:rFonts w:hint="default" w:ascii="Times New Roman" w:hAnsi="Times New Roman" w:eastAsia="宋体" w:cs="Times New Roman"/>
                      <w:kern w:val="2"/>
                      <w:sz w:val="21"/>
                      <w:szCs w:val="21"/>
                      <w:u w:val="none"/>
                      <w:vertAlign w:val="subscript"/>
                      <w:lang w:val="en-US" w:eastAsia="zh-CN" w:bidi="ar"/>
                    </w:rPr>
                    <w:t>2</w:t>
                  </w:r>
                </w:p>
              </w:tc>
              <w:tc>
                <w:tcPr>
                  <w:tcW w:w="1100" w:type="pct"/>
                  <w:tcBorders>
                    <w:tl2br w:val="nil"/>
                    <w:tr2bl w:val="nil"/>
                  </w:tcBorders>
                  <w:noWrap w:val="0"/>
                  <w:vAlign w:val="center"/>
                </w:tcPr>
                <w:p w14:paraId="5A83B0F6">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年平均质量浓度</w:t>
                  </w:r>
                </w:p>
              </w:tc>
              <w:tc>
                <w:tcPr>
                  <w:tcW w:w="851" w:type="pct"/>
                  <w:tcBorders>
                    <w:tl2br w:val="nil"/>
                    <w:tr2bl w:val="nil"/>
                  </w:tcBorders>
                  <w:noWrap w:val="0"/>
                  <w:vAlign w:val="center"/>
                </w:tcPr>
                <w:p w14:paraId="5CAED9B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宋体" w:cs="宋体"/>
                      <w:b w:val="0"/>
                      <w:bCs/>
                      <w:color w:val="auto"/>
                      <w:kern w:val="2"/>
                      <w:sz w:val="21"/>
                      <w:szCs w:val="21"/>
                      <w:highlight w:val="none"/>
                      <w:u w:val="none"/>
                      <w:lang w:val="en-US" w:eastAsia="zh-CN" w:bidi="ar-SA"/>
                    </w:rPr>
                  </w:pPr>
                  <w:r>
                    <w:rPr>
                      <w:rFonts w:hint="eastAsia" w:ascii="Times New Roman" w:hAnsi="Times New Roman" w:eastAsia="宋体" w:cs="宋体"/>
                      <w:b w:val="0"/>
                      <w:bCs/>
                      <w:color w:val="auto"/>
                      <w:kern w:val="2"/>
                      <w:sz w:val="21"/>
                      <w:szCs w:val="21"/>
                      <w:highlight w:val="none"/>
                      <w:u w:val="none"/>
                      <w:lang w:val="en-US" w:eastAsia="zh-CN" w:bidi="ar-SA"/>
                    </w:rPr>
                    <w:t>10</w:t>
                  </w:r>
                </w:p>
              </w:tc>
              <w:tc>
                <w:tcPr>
                  <w:tcW w:w="823" w:type="pct"/>
                  <w:tcBorders>
                    <w:tl2br w:val="nil"/>
                    <w:tr2bl w:val="nil"/>
                  </w:tcBorders>
                  <w:noWrap w:val="0"/>
                  <w:vAlign w:val="center"/>
                </w:tcPr>
                <w:p w14:paraId="54D67EB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60</w:t>
                  </w:r>
                </w:p>
              </w:tc>
              <w:tc>
                <w:tcPr>
                  <w:tcW w:w="819" w:type="pct"/>
                  <w:tcBorders>
                    <w:tl2br w:val="nil"/>
                    <w:tr2bl w:val="nil"/>
                  </w:tcBorders>
                  <w:noWrap w:val="0"/>
                  <w:vAlign w:val="center"/>
                </w:tcPr>
                <w:p w14:paraId="3B5912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16.7</w:t>
                  </w:r>
                </w:p>
              </w:tc>
              <w:tc>
                <w:tcPr>
                  <w:tcW w:w="746" w:type="pct"/>
                  <w:tcBorders>
                    <w:tl2br w:val="nil"/>
                    <w:tr2bl w:val="nil"/>
                  </w:tcBorders>
                  <w:noWrap w:val="0"/>
                  <w:vAlign w:val="center"/>
                </w:tcPr>
                <w:p w14:paraId="2672BB3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4"/>
                      <w:sz w:val="21"/>
                      <w:szCs w:val="21"/>
                      <w:u w:val="none"/>
                      <w:lang w:val="en-US" w:eastAsia="zh-CN" w:bidi="ar-SA"/>
                    </w:rPr>
                    <w:t>达标</w:t>
                  </w:r>
                </w:p>
              </w:tc>
            </w:tr>
            <w:tr w14:paraId="5F8274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pct"/>
                  <w:tcBorders>
                    <w:tl2br w:val="nil"/>
                    <w:tr2bl w:val="nil"/>
                  </w:tcBorders>
                  <w:noWrap w:val="0"/>
                  <w:vAlign w:val="center"/>
                </w:tcPr>
                <w:p w14:paraId="353B6BD1">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N</w:t>
                  </w:r>
                  <w:r>
                    <w:rPr>
                      <w:rFonts w:hint="default" w:ascii="Times New Roman" w:hAnsi="Times New Roman" w:eastAsia="宋体" w:cs="Times New Roman"/>
                      <w:kern w:val="2"/>
                      <w:sz w:val="21"/>
                      <w:szCs w:val="21"/>
                      <w:u w:val="none"/>
                      <w:lang w:val="en-US" w:eastAsia="zh-CN" w:bidi="ar"/>
                    </w:rPr>
                    <w:t>O</w:t>
                  </w:r>
                  <w:r>
                    <w:rPr>
                      <w:rFonts w:hint="default" w:ascii="Times New Roman" w:hAnsi="Times New Roman" w:eastAsia="宋体" w:cs="Times New Roman"/>
                      <w:kern w:val="2"/>
                      <w:sz w:val="21"/>
                      <w:szCs w:val="21"/>
                      <w:u w:val="none"/>
                      <w:vertAlign w:val="subscript"/>
                      <w:lang w:val="en-US" w:eastAsia="zh-CN" w:bidi="ar"/>
                    </w:rPr>
                    <w:t>2</w:t>
                  </w:r>
                </w:p>
              </w:tc>
              <w:tc>
                <w:tcPr>
                  <w:tcW w:w="1100" w:type="pct"/>
                  <w:tcBorders>
                    <w:tl2br w:val="nil"/>
                    <w:tr2bl w:val="nil"/>
                  </w:tcBorders>
                  <w:noWrap w:val="0"/>
                  <w:vAlign w:val="center"/>
                </w:tcPr>
                <w:p w14:paraId="06B722D2">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年平均质量浓度</w:t>
                  </w:r>
                </w:p>
              </w:tc>
              <w:tc>
                <w:tcPr>
                  <w:tcW w:w="851" w:type="pct"/>
                  <w:tcBorders>
                    <w:tl2br w:val="nil"/>
                    <w:tr2bl w:val="nil"/>
                  </w:tcBorders>
                  <w:noWrap w:val="0"/>
                  <w:vAlign w:val="center"/>
                </w:tcPr>
                <w:p w14:paraId="5C784A1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宋体" w:cs="宋体"/>
                      <w:b w:val="0"/>
                      <w:bCs/>
                      <w:color w:val="auto"/>
                      <w:kern w:val="2"/>
                      <w:sz w:val="21"/>
                      <w:szCs w:val="21"/>
                      <w:highlight w:val="none"/>
                      <w:u w:val="none"/>
                      <w:lang w:val="en-US" w:eastAsia="zh-CN" w:bidi="ar-SA"/>
                    </w:rPr>
                  </w:pPr>
                  <w:r>
                    <w:rPr>
                      <w:rFonts w:hint="eastAsia" w:ascii="Times New Roman" w:hAnsi="Times New Roman" w:eastAsia="宋体" w:cs="宋体"/>
                      <w:b w:val="0"/>
                      <w:bCs/>
                      <w:color w:val="auto"/>
                      <w:kern w:val="2"/>
                      <w:sz w:val="21"/>
                      <w:szCs w:val="21"/>
                      <w:highlight w:val="none"/>
                      <w:u w:val="none"/>
                      <w:lang w:val="en-US" w:eastAsia="zh-CN" w:bidi="ar-SA"/>
                    </w:rPr>
                    <w:t>16</w:t>
                  </w:r>
                </w:p>
              </w:tc>
              <w:tc>
                <w:tcPr>
                  <w:tcW w:w="823" w:type="pct"/>
                  <w:tcBorders>
                    <w:tl2br w:val="nil"/>
                    <w:tr2bl w:val="nil"/>
                  </w:tcBorders>
                  <w:noWrap w:val="0"/>
                  <w:vAlign w:val="center"/>
                </w:tcPr>
                <w:p w14:paraId="5DAD3F9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40</w:t>
                  </w:r>
                </w:p>
              </w:tc>
              <w:tc>
                <w:tcPr>
                  <w:tcW w:w="819" w:type="pct"/>
                  <w:tcBorders>
                    <w:tl2br w:val="nil"/>
                    <w:tr2bl w:val="nil"/>
                  </w:tcBorders>
                  <w:noWrap w:val="0"/>
                  <w:vAlign w:val="center"/>
                </w:tcPr>
                <w:p w14:paraId="13E8DE9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40</w:t>
                  </w:r>
                </w:p>
              </w:tc>
              <w:tc>
                <w:tcPr>
                  <w:tcW w:w="746" w:type="pct"/>
                  <w:tcBorders>
                    <w:tl2br w:val="nil"/>
                    <w:tr2bl w:val="nil"/>
                  </w:tcBorders>
                  <w:noWrap w:val="0"/>
                  <w:vAlign w:val="center"/>
                </w:tcPr>
                <w:p w14:paraId="5E8DCC7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4"/>
                      <w:sz w:val="21"/>
                      <w:szCs w:val="21"/>
                      <w:u w:val="none"/>
                      <w:lang w:val="en-US" w:eastAsia="zh-CN" w:bidi="ar-SA"/>
                    </w:rPr>
                    <w:t>达标</w:t>
                  </w:r>
                </w:p>
              </w:tc>
            </w:tr>
            <w:tr w14:paraId="31BC32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pct"/>
                  <w:tcBorders>
                    <w:tl2br w:val="nil"/>
                    <w:tr2bl w:val="nil"/>
                  </w:tcBorders>
                  <w:noWrap w:val="0"/>
                  <w:vAlign w:val="center"/>
                </w:tcPr>
                <w:p w14:paraId="35E0BA3B">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P</w:t>
                  </w:r>
                  <w:r>
                    <w:rPr>
                      <w:rFonts w:hint="default" w:ascii="Times New Roman" w:hAnsi="Times New Roman" w:eastAsia="宋体" w:cs="Times New Roman"/>
                      <w:kern w:val="2"/>
                      <w:sz w:val="21"/>
                      <w:szCs w:val="21"/>
                      <w:u w:val="none"/>
                      <w:lang w:val="en-US" w:eastAsia="zh-CN" w:bidi="ar"/>
                    </w:rPr>
                    <w:t>M</w:t>
                  </w:r>
                  <w:r>
                    <w:rPr>
                      <w:rFonts w:hint="default" w:ascii="Times New Roman" w:hAnsi="Times New Roman" w:eastAsia="宋体" w:cs="Times New Roman"/>
                      <w:kern w:val="2"/>
                      <w:sz w:val="21"/>
                      <w:szCs w:val="21"/>
                      <w:u w:val="none"/>
                      <w:vertAlign w:val="subscript"/>
                      <w:lang w:val="en-US" w:eastAsia="zh-CN" w:bidi="ar"/>
                    </w:rPr>
                    <w:t>10</w:t>
                  </w:r>
                </w:p>
              </w:tc>
              <w:tc>
                <w:tcPr>
                  <w:tcW w:w="1100" w:type="pct"/>
                  <w:tcBorders>
                    <w:tl2br w:val="nil"/>
                    <w:tr2bl w:val="nil"/>
                  </w:tcBorders>
                  <w:noWrap w:val="0"/>
                  <w:vAlign w:val="center"/>
                </w:tcPr>
                <w:p w14:paraId="2A59496A">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年平均质量浓度</w:t>
                  </w:r>
                </w:p>
              </w:tc>
              <w:tc>
                <w:tcPr>
                  <w:tcW w:w="851" w:type="pct"/>
                  <w:tcBorders>
                    <w:tl2br w:val="nil"/>
                    <w:tr2bl w:val="nil"/>
                  </w:tcBorders>
                  <w:noWrap w:val="0"/>
                  <w:vAlign w:val="center"/>
                </w:tcPr>
                <w:p w14:paraId="27115A27">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宋体" w:cs="宋体"/>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4"/>
                      <w:highlight w:val="none"/>
                      <w:u w:val="none"/>
                      <w:lang w:val="en-US" w:eastAsia="zh-CN" w:bidi="ar-SA"/>
                    </w:rPr>
                    <w:t>60</w:t>
                  </w:r>
                </w:p>
              </w:tc>
              <w:tc>
                <w:tcPr>
                  <w:tcW w:w="823" w:type="pct"/>
                  <w:tcBorders>
                    <w:tl2br w:val="nil"/>
                    <w:tr2bl w:val="nil"/>
                  </w:tcBorders>
                  <w:noWrap w:val="0"/>
                  <w:vAlign w:val="center"/>
                </w:tcPr>
                <w:p w14:paraId="42B547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70</w:t>
                  </w:r>
                </w:p>
              </w:tc>
              <w:tc>
                <w:tcPr>
                  <w:tcW w:w="819" w:type="pct"/>
                  <w:tcBorders>
                    <w:tl2br w:val="nil"/>
                    <w:tr2bl w:val="nil"/>
                  </w:tcBorders>
                  <w:noWrap w:val="0"/>
                  <w:vAlign w:val="center"/>
                </w:tcPr>
                <w:p w14:paraId="5E5F84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85.71</w:t>
                  </w:r>
                </w:p>
              </w:tc>
              <w:tc>
                <w:tcPr>
                  <w:tcW w:w="746" w:type="pct"/>
                  <w:tcBorders>
                    <w:tl2br w:val="nil"/>
                    <w:tr2bl w:val="nil"/>
                  </w:tcBorders>
                  <w:noWrap w:val="0"/>
                  <w:vAlign w:val="center"/>
                </w:tcPr>
                <w:p w14:paraId="027A6E8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4"/>
                      <w:sz w:val="21"/>
                      <w:szCs w:val="21"/>
                      <w:u w:val="none"/>
                      <w:lang w:val="en-US" w:eastAsia="zh-CN" w:bidi="ar-SA"/>
                    </w:rPr>
                    <w:t>达标</w:t>
                  </w:r>
                </w:p>
              </w:tc>
            </w:tr>
            <w:tr w14:paraId="74ABA7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pct"/>
                  <w:tcBorders>
                    <w:tl2br w:val="nil"/>
                    <w:tr2bl w:val="nil"/>
                  </w:tcBorders>
                  <w:noWrap w:val="0"/>
                  <w:vAlign w:val="center"/>
                </w:tcPr>
                <w:p w14:paraId="4DBC1E39">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P</w:t>
                  </w:r>
                  <w:r>
                    <w:rPr>
                      <w:rFonts w:hint="default" w:ascii="Times New Roman" w:hAnsi="Times New Roman" w:eastAsia="宋体" w:cs="Times New Roman"/>
                      <w:kern w:val="2"/>
                      <w:sz w:val="21"/>
                      <w:szCs w:val="21"/>
                      <w:u w:val="none"/>
                      <w:lang w:val="en-US" w:eastAsia="zh-CN" w:bidi="ar"/>
                    </w:rPr>
                    <w:t>M</w:t>
                  </w:r>
                  <w:r>
                    <w:rPr>
                      <w:rFonts w:hint="default" w:ascii="Times New Roman" w:hAnsi="Times New Roman" w:eastAsia="宋体" w:cs="Times New Roman"/>
                      <w:kern w:val="2"/>
                      <w:sz w:val="21"/>
                      <w:szCs w:val="21"/>
                      <w:u w:val="none"/>
                      <w:vertAlign w:val="subscript"/>
                      <w:lang w:val="en-US" w:eastAsia="zh-CN" w:bidi="ar"/>
                    </w:rPr>
                    <w:t>2.5</w:t>
                  </w:r>
                </w:p>
              </w:tc>
              <w:tc>
                <w:tcPr>
                  <w:tcW w:w="1100" w:type="pct"/>
                  <w:tcBorders>
                    <w:tl2br w:val="nil"/>
                    <w:tr2bl w:val="nil"/>
                  </w:tcBorders>
                  <w:noWrap w:val="0"/>
                  <w:vAlign w:val="center"/>
                </w:tcPr>
                <w:p w14:paraId="28C22507">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年平均质量浓度</w:t>
                  </w:r>
                </w:p>
              </w:tc>
              <w:tc>
                <w:tcPr>
                  <w:tcW w:w="851" w:type="pct"/>
                  <w:tcBorders>
                    <w:tl2br w:val="nil"/>
                    <w:tr2bl w:val="nil"/>
                  </w:tcBorders>
                  <w:noWrap w:val="0"/>
                  <w:vAlign w:val="center"/>
                </w:tcPr>
                <w:p w14:paraId="1A7474D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宋体" w:cs="宋体"/>
                      <w:b w:val="0"/>
                      <w:bCs/>
                      <w:color w:val="auto"/>
                      <w:kern w:val="2"/>
                      <w:sz w:val="21"/>
                      <w:szCs w:val="21"/>
                      <w:highlight w:val="none"/>
                      <w:u w:val="none"/>
                      <w:lang w:val="en-US" w:eastAsia="zh-CN" w:bidi="ar-SA"/>
                    </w:rPr>
                  </w:pPr>
                  <w:r>
                    <w:rPr>
                      <w:rFonts w:hint="eastAsia" w:ascii="Times New Roman" w:hAnsi="Times New Roman" w:eastAsia="宋体" w:cs="Times New Roman"/>
                      <w:b/>
                      <w:bCs w:val="0"/>
                      <w:color w:val="auto"/>
                      <w:sz w:val="21"/>
                      <w:szCs w:val="21"/>
                      <w:highlight w:val="none"/>
                      <w:u w:val="none"/>
                      <w:lang w:val="en-US" w:eastAsia="zh-CN" w:bidi="ar-SA"/>
                    </w:rPr>
                    <w:t>37</w:t>
                  </w:r>
                </w:p>
              </w:tc>
              <w:tc>
                <w:tcPr>
                  <w:tcW w:w="823" w:type="pct"/>
                  <w:tcBorders>
                    <w:tl2br w:val="nil"/>
                    <w:tr2bl w:val="nil"/>
                  </w:tcBorders>
                  <w:noWrap w:val="0"/>
                  <w:vAlign w:val="center"/>
                </w:tcPr>
                <w:p w14:paraId="4110CCA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35</w:t>
                  </w:r>
                </w:p>
              </w:tc>
              <w:tc>
                <w:tcPr>
                  <w:tcW w:w="819" w:type="pct"/>
                  <w:tcBorders>
                    <w:tl2br w:val="nil"/>
                    <w:tr2bl w:val="nil"/>
                  </w:tcBorders>
                  <w:noWrap w:val="0"/>
                  <w:vAlign w:val="center"/>
                </w:tcPr>
                <w:p w14:paraId="289C7F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105.71</w:t>
                  </w:r>
                </w:p>
              </w:tc>
              <w:tc>
                <w:tcPr>
                  <w:tcW w:w="746" w:type="pct"/>
                  <w:tcBorders>
                    <w:tl2br w:val="nil"/>
                    <w:tr2bl w:val="nil"/>
                  </w:tcBorders>
                  <w:noWrap w:val="0"/>
                  <w:vAlign w:val="center"/>
                </w:tcPr>
                <w:p w14:paraId="2F19AA54">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b/>
                      <w:bCs/>
                      <w:color w:val="auto"/>
                      <w:kern w:val="24"/>
                      <w:sz w:val="21"/>
                      <w:szCs w:val="21"/>
                      <w:u w:val="none"/>
                      <w:lang w:val="en-US" w:eastAsia="zh-CN" w:bidi="ar-SA"/>
                    </w:rPr>
                    <w:t>超标</w:t>
                  </w:r>
                </w:p>
              </w:tc>
            </w:tr>
            <w:tr w14:paraId="1E686E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pct"/>
                  <w:tcBorders>
                    <w:tl2br w:val="nil"/>
                    <w:tr2bl w:val="nil"/>
                  </w:tcBorders>
                  <w:noWrap w:val="0"/>
                  <w:vAlign w:val="center"/>
                </w:tcPr>
                <w:p w14:paraId="69E9548D">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
                    </w:rPr>
                    <w:t>CO</w:t>
                  </w:r>
                </w:p>
              </w:tc>
              <w:tc>
                <w:tcPr>
                  <w:tcW w:w="1100" w:type="pct"/>
                  <w:tcBorders>
                    <w:tl2br w:val="nil"/>
                    <w:tr2bl w:val="nil"/>
                  </w:tcBorders>
                  <w:noWrap w:val="0"/>
                  <w:vAlign w:val="center"/>
                </w:tcPr>
                <w:p w14:paraId="04CDF210">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百分位数（</w:t>
                  </w:r>
                  <w:r>
                    <w:rPr>
                      <w:rFonts w:hint="default" w:ascii="Times New Roman" w:hAnsi="Times New Roman" w:eastAsia="宋体" w:cs="Times New Roman"/>
                      <w:kern w:val="2"/>
                      <w:sz w:val="21"/>
                      <w:szCs w:val="21"/>
                      <w:u w:val="none"/>
                      <w:lang w:val="en-US" w:eastAsia="zh-CN" w:bidi="ar"/>
                    </w:rPr>
                    <w:t>95</w:t>
                  </w:r>
                  <w:r>
                    <w:rPr>
                      <w:rFonts w:hint="eastAsia" w:ascii="Times New Roman" w:hAnsi="Times New Roman" w:eastAsia="宋体" w:cs="宋体"/>
                      <w:kern w:val="2"/>
                      <w:sz w:val="21"/>
                      <w:szCs w:val="21"/>
                      <w:u w:val="none"/>
                      <w:lang w:val="en-US" w:eastAsia="zh-CN" w:bidi="ar"/>
                    </w:rPr>
                    <w:t>%</w:t>
                  </w:r>
                  <w:r>
                    <w:rPr>
                      <w:rFonts w:hint="eastAsia" w:ascii="宋体" w:hAnsi="宋体" w:eastAsia="宋体" w:cs="宋体"/>
                      <w:kern w:val="2"/>
                      <w:sz w:val="21"/>
                      <w:szCs w:val="21"/>
                      <w:u w:val="none"/>
                      <w:lang w:val="en-US" w:eastAsia="zh-CN" w:bidi="ar"/>
                    </w:rPr>
                    <w:t>）</w:t>
                  </w:r>
                </w:p>
                <w:p w14:paraId="0EFF770F">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宋体"/>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日平均质量浓度</w:t>
                  </w:r>
                </w:p>
              </w:tc>
              <w:tc>
                <w:tcPr>
                  <w:tcW w:w="851" w:type="pct"/>
                  <w:tcBorders>
                    <w:tl2br w:val="nil"/>
                    <w:tr2bl w:val="nil"/>
                  </w:tcBorders>
                  <w:noWrap w:val="0"/>
                  <w:vAlign w:val="center"/>
                </w:tcPr>
                <w:p w14:paraId="05C4CD0F">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宋体" w:cs="宋体"/>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4"/>
                      <w:highlight w:val="none"/>
                      <w:u w:val="none"/>
                      <w:lang w:val="en-US" w:eastAsia="zh-CN" w:bidi="ar-SA"/>
                    </w:rPr>
                    <w:t>0.9mg/m</w:t>
                  </w:r>
                  <w:r>
                    <w:rPr>
                      <w:rFonts w:hint="eastAsia" w:ascii="Times New Roman" w:hAnsi="Times New Roman" w:eastAsia="宋体" w:cs="Times New Roman"/>
                      <w:b w:val="0"/>
                      <w:bCs/>
                      <w:color w:val="auto"/>
                      <w:kern w:val="2"/>
                      <w:sz w:val="21"/>
                      <w:szCs w:val="24"/>
                      <w:highlight w:val="none"/>
                      <w:u w:val="none"/>
                      <w:vertAlign w:val="superscript"/>
                      <w:lang w:val="en-US" w:eastAsia="zh-CN" w:bidi="ar-SA"/>
                    </w:rPr>
                    <w:t>3</w:t>
                  </w:r>
                </w:p>
              </w:tc>
              <w:tc>
                <w:tcPr>
                  <w:tcW w:w="823" w:type="pct"/>
                  <w:tcBorders>
                    <w:tl2br w:val="nil"/>
                    <w:tr2bl w:val="nil"/>
                  </w:tcBorders>
                  <w:noWrap w:val="0"/>
                  <w:vAlign w:val="center"/>
                </w:tcPr>
                <w:p w14:paraId="5728B3B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u w:val="none"/>
                      <w:lang w:eastAsia="zh-CN"/>
                    </w:rPr>
                  </w:pPr>
                  <w:r>
                    <w:rPr>
                      <w:rFonts w:hint="default" w:ascii="Times New Roman" w:hAnsi="Times New Roman" w:eastAsia="宋体" w:cs="Times New Roman"/>
                      <w:b w:val="0"/>
                      <w:bCs/>
                      <w:color w:val="auto"/>
                      <w:szCs w:val="21"/>
                      <w:u w:val="none"/>
                    </w:rPr>
                    <w:t>4</w:t>
                  </w:r>
                  <w:r>
                    <w:rPr>
                      <w:rFonts w:hint="eastAsia" w:ascii="Times New Roman" w:hAnsi="Times New Roman" w:eastAsia="宋体" w:cs="Times New Roman"/>
                      <w:b w:val="0"/>
                      <w:bCs/>
                      <w:color w:val="auto"/>
                      <w:u w:val="none"/>
                      <w:lang w:val="en-US" w:eastAsia="zh-CN"/>
                    </w:rPr>
                    <w:t>mg/m</w:t>
                  </w:r>
                  <w:r>
                    <w:rPr>
                      <w:rFonts w:hint="eastAsia" w:ascii="Times New Roman" w:hAnsi="Times New Roman" w:eastAsia="宋体" w:cs="Times New Roman"/>
                      <w:b w:val="0"/>
                      <w:bCs/>
                      <w:color w:val="auto"/>
                      <w:u w:val="none"/>
                      <w:vertAlign w:val="superscript"/>
                      <w:lang w:val="en-US" w:eastAsia="zh-CN"/>
                    </w:rPr>
                    <w:t>3</w:t>
                  </w:r>
                </w:p>
              </w:tc>
              <w:tc>
                <w:tcPr>
                  <w:tcW w:w="819" w:type="pct"/>
                  <w:tcBorders>
                    <w:tl2br w:val="nil"/>
                    <w:tr2bl w:val="nil"/>
                  </w:tcBorders>
                  <w:noWrap w:val="0"/>
                  <w:vAlign w:val="center"/>
                </w:tcPr>
                <w:p w14:paraId="51F04C0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22.5</w:t>
                  </w:r>
                </w:p>
              </w:tc>
              <w:tc>
                <w:tcPr>
                  <w:tcW w:w="746" w:type="pct"/>
                  <w:tcBorders>
                    <w:tl2br w:val="nil"/>
                    <w:tr2bl w:val="nil"/>
                  </w:tcBorders>
                  <w:noWrap w:val="0"/>
                  <w:vAlign w:val="center"/>
                </w:tcPr>
                <w:p w14:paraId="6603CA9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4"/>
                      <w:sz w:val="21"/>
                      <w:szCs w:val="21"/>
                      <w:u w:val="none"/>
                      <w:lang w:val="en-US" w:eastAsia="zh-CN" w:bidi="ar-SA"/>
                    </w:rPr>
                    <w:t>达标</w:t>
                  </w:r>
                </w:p>
              </w:tc>
            </w:tr>
            <w:tr w14:paraId="64BE29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pct"/>
                  <w:tcBorders>
                    <w:tl2br w:val="nil"/>
                    <w:tr2bl w:val="nil"/>
                  </w:tcBorders>
                  <w:noWrap w:val="0"/>
                  <w:vAlign w:val="center"/>
                </w:tcPr>
                <w:p w14:paraId="4C388A8C">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
                    </w:rPr>
                    <w:t>O</w:t>
                  </w:r>
                  <w:r>
                    <w:rPr>
                      <w:rFonts w:hint="default" w:ascii="Times New Roman" w:hAnsi="Times New Roman" w:eastAsia="宋体" w:cs="Times New Roman"/>
                      <w:kern w:val="2"/>
                      <w:sz w:val="21"/>
                      <w:szCs w:val="21"/>
                      <w:u w:val="none"/>
                      <w:vertAlign w:val="subscript"/>
                      <w:lang w:val="en-US" w:eastAsia="zh-CN" w:bidi="ar"/>
                    </w:rPr>
                    <w:t>3</w:t>
                  </w:r>
                </w:p>
              </w:tc>
              <w:tc>
                <w:tcPr>
                  <w:tcW w:w="1100" w:type="pct"/>
                  <w:tcBorders>
                    <w:tl2br w:val="nil"/>
                    <w:tr2bl w:val="nil"/>
                  </w:tcBorders>
                  <w:noWrap w:val="0"/>
                  <w:vAlign w:val="center"/>
                </w:tcPr>
                <w:p w14:paraId="3CC9123E">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百分位数（</w:t>
                  </w:r>
                  <w:r>
                    <w:rPr>
                      <w:rFonts w:hint="default" w:ascii="Times New Roman" w:hAnsi="Times New Roman" w:eastAsia="宋体" w:cs="Times New Roman"/>
                      <w:kern w:val="2"/>
                      <w:sz w:val="21"/>
                      <w:szCs w:val="21"/>
                      <w:u w:val="none"/>
                      <w:lang w:val="en-US" w:eastAsia="zh-CN" w:bidi="ar"/>
                    </w:rPr>
                    <w:t>90</w:t>
                  </w:r>
                  <w:r>
                    <w:rPr>
                      <w:rFonts w:hint="eastAsia" w:ascii="Times New Roman" w:hAnsi="Times New Roman" w:eastAsia="宋体" w:cs="宋体"/>
                      <w:kern w:val="2"/>
                      <w:sz w:val="21"/>
                      <w:szCs w:val="21"/>
                      <w:u w:val="none"/>
                      <w:lang w:val="en-US" w:eastAsia="zh-CN" w:bidi="ar"/>
                    </w:rPr>
                    <w:t>%</w:t>
                  </w:r>
                  <w:r>
                    <w:rPr>
                      <w:rFonts w:hint="eastAsia" w:ascii="宋体" w:hAnsi="宋体" w:eastAsia="宋体" w:cs="宋体"/>
                      <w:kern w:val="2"/>
                      <w:sz w:val="21"/>
                      <w:szCs w:val="21"/>
                      <w:u w:val="none"/>
                      <w:lang w:val="en-US" w:eastAsia="zh-CN" w:bidi="ar"/>
                    </w:rPr>
                    <w:t>）</w:t>
                  </w:r>
                </w:p>
                <w:p w14:paraId="0A9C5EE9">
                  <w:pPr>
                    <w:keepNext w:val="0"/>
                    <w:keepLines w:val="0"/>
                    <w:widowControl w:val="0"/>
                    <w:suppressLineNumbers w:val="0"/>
                    <w:spacing w:before="0" w:beforeLines="0" w:beforeAutospacing="0" w:after="0" w:afterLines="0" w:afterAutospacing="0"/>
                    <w:ind w:left="0" w:right="0"/>
                    <w:jc w:val="center"/>
                    <w:rPr>
                      <w:rFonts w:hint="default" w:ascii="Times New Roman" w:hAnsi="Times New Roman" w:eastAsia="宋体" w:cs="宋体"/>
                      <w:kern w:val="2"/>
                      <w:sz w:val="21"/>
                      <w:szCs w:val="21"/>
                      <w:u w:val="none"/>
                      <w:lang w:val="en-US" w:eastAsia="zh-CN" w:bidi="ar-SA"/>
                    </w:rPr>
                  </w:pPr>
                  <w:r>
                    <w:rPr>
                      <w:rFonts w:hint="eastAsia" w:ascii="Times New Roman" w:hAnsi="Times New Roman" w:eastAsia="宋体" w:cs="宋体"/>
                      <w:kern w:val="2"/>
                      <w:sz w:val="21"/>
                      <w:szCs w:val="21"/>
                      <w:u w:val="none"/>
                      <w:lang w:val="en-US" w:eastAsia="zh-CN" w:bidi="ar"/>
                    </w:rPr>
                    <w:t>8</w:t>
                  </w:r>
                  <w:r>
                    <w:rPr>
                      <w:rFonts w:hint="default" w:ascii="Times New Roman" w:hAnsi="Times New Roman" w:eastAsia="宋体" w:cs="Times New Roman"/>
                      <w:kern w:val="2"/>
                      <w:sz w:val="21"/>
                      <w:szCs w:val="21"/>
                      <w:u w:val="none"/>
                      <w:lang w:val="en-US" w:eastAsia="zh-CN" w:bidi="ar"/>
                    </w:rPr>
                    <w:t>h</w:t>
                  </w:r>
                  <w:r>
                    <w:rPr>
                      <w:rFonts w:hint="eastAsia" w:ascii="Times New Roman" w:hAnsi="Times New Roman" w:eastAsia="宋体" w:cs="宋体"/>
                      <w:kern w:val="2"/>
                      <w:sz w:val="21"/>
                      <w:szCs w:val="21"/>
                      <w:u w:val="none"/>
                      <w:lang w:val="en-US" w:eastAsia="zh-CN" w:bidi="ar"/>
                    </w:rPr>
                    <w:t>平均质量浓度</w:t>
                  </w:r>
                </w:p>
              </w:tc>
              <w:tc>
                <w:tcPr>
                  <w:tcW w:w="851" w:type="pct"/>
                  <w:tcBorders>
                    <w:tl2br w:val="nil"/>
                    <w:tr2bl w:val="nil"/>
                  </w:tcBorders>
                  <w:noWrap w:val="0"/>
                  <w:vAlign w:val="center"/>
                </w:tcPr>
                <w:p w14:paraId="68E9926B">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宋体" w:cs="宋体"/>
                      <w:b w:val="0"/>
                      <w:bCs/>
                      <w:color w:val="auto"/>
                      <w:kern w:val="2"/>
                      <w:sz w:val="21"/>
                      <w:szCs w:val="21"/>
                      <w:highlight w:val="none"/>
                      <w:u w:val="none"/>
                      <w:lang w:val="en-US" w:eastAsia="zh-CN" w:bidi="ar-SA"/>
                    </w:rPr>
                  </w:pPr>
                  <w:r>
                    <w:rPr>
                      <w:rFonts w:hint="eastAsia" w:ascii="Times New Roman" w:hAnsi="Times New Roman" w:eastAsia="宋体" w:cs="Times New Roman"/>
                      <w:b w:val="0"/>
                      <w:bCs/>
                      <w:color w:val="auto"/>
                      <w:kern w:val="2"/>
                      <w:sz w:val="21"/>
                      <w:szCs w:val="24"/>
                      <w:highlight w:val="none"/>
                      <w:u w:val="none"/>
                      <w:lang w:val="en-US" w:eastAsia="zh-CN" w:bidi="ar-SA"/>
                    </w:rPr>
                    <w:t>136</w:t>
                  </w:r>
                </w:p>
              </w:tc>
              <w:tc>
                <w:tcPr>
                  <w:tcW w:w="823" w:type="pct"/>
                  <w:tcBorders>
                    <w:tl2br w:val="nil"/>
                    <w:tr2bl w:val="nil"/>
                  </w:tcBorders>
                  <w:noWrap w:val="0"/>
                  <w:vAlign w:val="center"/>
                </w:tcPr>
                <w:p w14:paraId="3C28B4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szCs w:val="21"/>
                      <w:u w:val="none"/>
                    </w:rPr>
                    <w:t>160</w:t>
                  </w:r>
                </w:p>
              </w:tc>
              <w:tc>
                <w:tcPr>
                  <w:tcW w:w="819" w:type="pct"/>
                  <w:tcBorders>
                    <w:tl2br w:val="nil"/>
                    <w:tr2bl w:val="nil"/>
                  </w:tcBorders>
                  <w:noWrap w:val="0"/>
                  <w:vAlign w:val="center"/>
                </w:tcPr>
                <w:p w14:paraId="73334E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u w:val="none"/>
                      <w:lang w:val="en-US" w:eastAsia="zh-CN"/>
                    </w:rPr>
                  </w:pPr>
                  <w:r>
                    <w:rPr>
                      <w:rFonts w:hint="eastAsia" w:ascii="Times New Roman" w:hAnsi="Times New Roman" w:eastAsia="宋体" w:cs="Times New Roman"/>
                      <w:color w:val="auto"/>
                      <w:szCs w:val="21"/>
                      <w:u w:val="none"/>
                      <w:lang w:val="en-US" w:eastAsia="zh-CN"/>
                    </w:rPr>
                    <w:t>85</w:t>
                  </w:r>
                </w:p>
              </w:tc>
              <w:tc>
                <w:tcPr>
                  <w:tcW w:w="746" w:type="pct"/>
                  <w:tcBorders>
                    <w:tl2br w:val="nil"/>
                    <w:tr2bl w:val="nil"/>
                  </w:tcBorders>
                  <w:noWrap w:val="0"/>
                  <w:vAlign w:val="center"/>
                </w:tcPr>
                <w:p w14:paraId="7A3053A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4"/>
                      <w:sz w:val="21"/>
                      <w:szCs w:val="21"/>
                      <w:u w:val="none"/>
                      <w:lang w:val="en-US" w:eastAsia="zh-CN" w:bidi="ar-SA"/>
                    </w:rPr>
                    <w:t>达标</w:t>
                  </w:r>
                </w:p>
              </w:tc>
            </w:tr>
          </w:tbl>
          <w:p w14:paraId="718B725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u w:val="none"/>
                <w:lang w:bidi="ar"/>
              </w:rPr>
              <w:t>从表3-</w:t>
            </w:r>
            <w:r>
              <w:rPr>
                <w:rFonts w:hint="eastAsia" w:ascii="Times New Roman" w:hAnsi="Times New Roman" w:eastAsia="宋体" w:cs="Times New Roman"/>
                <w:sz w:val="24"/>
                <w:u w:val="none"/>
                <w:lang w:val="en-US" w:eastAsia="zh-CN" w:bidi="ar"/>
              </w:rPr>
              <w:t>1</w:t>
            </w:r>
            <w:r>
              <w:rPr>
                <w:rFonts w:hint="default" w:ascii="Times New Roman" w:hAnsi="Times New Roman" w:eastAsia="宋体" w:cs="Times New Roman"/>
                <w:sz w:val="24"/>
                <w:u w:val="none"/>
                <w:lang w:bidi="ar"/>
              </w:rPr>
              <w:t>可知，</w:t>
            </w:r>
            <w:r>
              <w:rPr>
                <w:rFonts w:hint="default" w:ascii="Times New Roman" w:hAnsi="Times New Roman" w:eastAsia="宋体" w:cs="Times New Roman"/>
                <w:sz w:val="24"/>
                <w:szCs w:val="24"/>
                <w:u w:val="none"/>
              </w:rPr>
              <w:t>区域内空气质量监测因子中SO</w:t>
            </w:r>
            <w:r>
              <w:rPr>
                <w:rFonts w:hint="default" w:ascii="Times New Roman" w:hAnsi="Times New Roman" w:eastAsia="宋体" w:cs="Times New Roman"/>
                <w:sz w:val="24"/>
                <w:szCs w:val="24"/>
                <w:u w:val="none"/>
                <w:vertAlign w:val="subscript"/>
              </w:rPr>
              <w:t>2</w:t>
            </w:r>
            <w:r>
              <w:rPr>
                <w:rFonts w:hint="default" w:ascii="Times New Roman" w:hAnsi="Times New Roman" w:eastAsia="宋体" w:cs="Times New Roman"/>
                <w:sz w:val="24"/>
                <w:szCs w:val="24"/>
                <w:u w:val="none"/>
              </w:rPr>
              <w:t>、NO</w:t>
            </w:r>
            <w:r>
              <w:rPr>
                <w:rFonts w:hint="default" w:ascii="Times New Roman" w:hAnsi="Times New Roman" w:eastAsia="宋体" w:cs="Times New Roman"/>
                <w:sz w:val="24"/>
                <w:szCs w:val="24"/>
                <w:u w:val="none"/>
                <w:vertAlign w:val="subscript"/>
              </w:rPr>
              <w:t>2</w:t>
            </w:r>
            <w:r>
              <w:rPr>
                <w:rFonts w:hint="default" w:ascii="Times New Roman" w:hAnsi="Times New Roman" w:eastAsia="宋体" w:cs="Times New Roman"/>
                <w:sz w:val="24"/>
                <w:szCs w:val="24"/>
                <w:u w:val="none"/>
              </w:rPr>
              <w:t>、PM</w:t>
            </w:r>
            <w:r>
              <w:rPr>
                <w:rFonts w:hint="default" w:ascii="Times New Roman" w:hAnsi="Times New Roman" w:eastAsia="宋体" w:cs="Times New Roman"/>
                <w:sz w:val="24"/>
                <w:szCs w:val="24"/>
                <w:u w:val="none"/>
                <w:vertAlign w:val="subscript"/>
              </w:rPr>
              <w:t>10</w:t>
            </w:r>
            <w:r>
              <w:rPr>
                <w:rFonts w:hint="default" w:ascii="Times New Roman" w:hAnsi="Times New Roman" w:eastAsia="宋体" w:cs="Times New Roman"/>
                <w:sz w:val="24"/>
                <w:szCs w:val="24"/>
                <w:u w:val="none"/>
              </w:rPr>
              <w:t>年均浓度、O</w:t>
            </w:r>
            <w:r>
              <w:rPr>
                <w:rFonts w:hint="default" w:ascii="Times New Roman" w:hAnsi="Times New Roman" w:eastAsia="宋体" w:cs="Times New Roman"/>
                <w:sz w:val="24"/>
                <w:szCs w:val="24"/>
                <w:u w:val="none"/>
                <w:vertAlign w:val="subscript"/>
              </w:rPr>
              <w:t>3</w:t>
            </w:r>
            <w:r>
              <w:rPr>
                <w:rFonts w:hint="default" w:ascii="Times New Roman" w:hAnsi="Times New Roman" w:eastAsia="宋体" w:cs="Times New Roman"/>
                <w:sz w:val="24"/>
                <w:szCs w:val="24"/>
                <w:u w:val="none"/>
              </w:rPr>
              <w:t xml:space="preserve"> 90百分位数最大8h平均浓度、CO 95百分位数日平均浓度均符合《环境空气质量标准》（GB3095-2012）中的二级标准要求，PM</w:t>
            </w:r>
            <w:r>
              <w:rPr>
                <w:rFonts w:hint="default" w:ascii="Times New Roman" w:hAnsi="Times New Roman" w:eastAsia="宋体" w:cs="Times New Roman"/>
                <w:sz w:val="24"/>
                <w:szCs w:val="24"/>
                <w:u w:val="none"/>
                <w:vertAlign w:val="subscript"/>
              </w:rPr>
              <w:t>2.5</w:t>
            </w:r>
            <w:r>
              <w:rPr>
                <w:rFonts w:hint="default" w:ascii="Times New Roman" w:hAnsi="Times New Roman" w:eastAsia="宋体" w:cs="Times New Roman"/>
                <w:sz w:val="24"/>
                <w:szCs w:val="24"/>
                <w:u w:val="none"/>
              </w:rPr>
              <w:t>年均浓度</w:t>
            </w:r>
            <w:r>
              <w:rPr>
                <w:rFonts w:hint="eastAsia" w:ascii="Times New Roman" w:hAnsi="Times New Roman" w:eastAsia="宋体" w:cs="Times New Roman"/>
                <w:sz w:val="24"/>
                <w:szCs w:val="24"/>
                <w:u w:val="none"/>
                <w:lang w:val="en-US" w:eastAsia="zh-CN"/>
              </w:rPr>
              <w:t>未达到</w:t>
            </w:r>
            <w:r>
              <w:rPr>
                <w:rFonts w:hint="default" w:ascii="Times New Roman" w:hAnsi="Times New Roman" w:eastAsia="宋体" w:cs="Times New Roman"/>
                <w:sz w:val="24"/>
                <w:szCs w:val="24"/>
                <w:u w:val="none"/>
              </w:rPr>
              <w:t>《环境空气质量标准》（GB3095-2012）中的二级标准要求。因此，判断该区域属于环境空气质量不达标区。</w:t>
            </w:r>
          </w:p>
          <w:p w14:paraId="5330BE3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PM</w:t>
            </w:r>
            <w:r>
              <w:rPr>
                <w:rFonts w:hint="default" w:ascii="Times New Roman" w:hAnsi="Times New Roman" w:eastAsia="宋体" w:cs="Times New Roman"/>
                <w:sz w:val="24"/>
                <w:szCs w:val="24"/>
                <w:u w:val="none"/>
                <w:vertAlign w:val="subscript"/>
              </w:rPr>
              <w:t>2.5</w:t>
            </w:r>
            <w:r>
              <w:rPr>
                <w:rFonts w:hint="default" w:ascii="Times New Roman" w:hAnsi="Times New Roman" w:eastAsia="宋体" w:cs="Times New Roman"/>
                <w:sz w:val="24"/>
                <w:szCs w:val="24"/>
                <w:u w:val="none"/>
              </w:rPr>
              <w:t>超标原因主要是醴陵市近年来基础设施建设项目较多，土方开挖、场地平整等造成的土地裸露易产生扬尘污染所致，随着株洲市环境综合整治工作的不断深入，大气环境质量将有所改善。</w:t>
            </w:r>
          </w:p>
          <w:p w14:paraId="512279FB">
            <w:pPr>
              <w:pStyle w:val="88"/>
              <w:keepNext w:val="0"/>
              <w:keepLines w:val="0"/>
              <w:widowControl/>
              <w:suppressLineNumbers w:val="0"/>
              <w:spacing w:before="0" w:beforeLines="0" w:beforeAutospacing="0" w:after="0" w:afterAutospacing="0"/>
              <w:ind w:left="0" w:right="0" w:firstLine="480"/>
              <w:rPr>
                <w:rFonts w:hint="eastAsia" w:ascii="Times New Roman" w:hAnsi="Times New Roman" w:eastAsia="宋体" w:cs="Times New Roman"/>
                <w:sz w:val="24"/>
                <w:u w:val="none"/>
                <w:lang w:eastAsia="zh-CN" w:bidi="ar"/>
              </w:rPr>
            </w:pPr>
            <w:r>
              <w:rPr>
                <w:rFonts w:hint="default" w:ascii="Times New Roman" w:hAnsi="Times New Roman" w:eastAsia="宋体" w:cs="Times New Roman"/>
                <w:sz w:val="24"/>
                <w:szCs w:val="24"/>
                <w:u w:val="none"/>
              </w:rPr>
              <w:t>株洲市生态环境保护委员会办公室于2020年7月15日发布了《株洲市环境空气质量限期达标规划》（株生环委办[2020]36号）， 以2017年为规划基准年，2025年为中期规划目标年，2027年为中远期规划目标年。结合株洲市大气环境特征和空气质量改善需求，从调整产业、能源结构，深化重点污染源减排及加强面源、扬尘污染治理的角度出发，对</w:t>
            </w:r>
            <w:r>
              <w:rPr>
                <w:rFonts w:hint="eastAsia" w:cs="Times New Roman"/>
                <w:sz w:val="24"/>
                <w:szCs w:val="24"/>
                <w:u w:val="none"/>
                <w:lang w:eastAsia="zh-CN"/>
              </w:rPr>
              <w:t>“</w:t>
            </w:r>
            <w:r>
              <w:rPr>
                <w:rFonts w:hint="default" w:ascii="Times New Roman" w:hAnsi="Times New Roman" w:eastAsia="宋体" w:cs="Times New Roman"/>
                <w:sz w:val="24"/>
                <w:szCs w:val="24"/>
                <w:u w:val="none"/>
              </w:rPr>
              <w:t>十四五</w:t>
            </w:r>
            <w:r>
              <w:rPr>
                <w:rFonts w:hint="eastAsia" w:cs="Times New Roman"/>
                <w:sz w:val="24"/>
                <w:szCs w:val="24"/>
                <w:u w:val="none"/>
                <w:lang w:eastAsia="zh-CN"/>
              </w:rPr>
              <w:t>”</w:t>
            </w:r>
            <w:r>
              <w:rPr>
                <w:rFonts w:hint="default" w:ascii="Times New Roman" w:hAnsi="Times New Roman" w:eastAsia="宋体" w:cs="Times New Roman"/>
                <w:sz w:val="24"/>
                <w:szCs w:val="24"/>
                <w:u w:val="none"/>
              </w:rPr>
              <w:t>、</w:t>
            </w:r>
            <w:r>
              <w:rPr>
                <w:rFonts w:hint="eastAsia" w:cs="Times New Roman"/>
                <w:sz w:val="24"/>
                <w:szCs w:val="24"/>
                <w:u w:val="none"/>
                <w:lang w:eastAsia="zh-CN"/>
              </w:rPr>
              <w:t>“</w:t>
            </w:r>
            <w:r>
              <w:rPr>
                <w:rFonts w:hint="default" w:ascii="Times New Roman" w:hAnsi="Times New Roman" w:eastAsia="宋体" w:cs="Times New Roman"/>
                <w:sz w:val="24"/>
                <w:szCs w:val="24"/>
                <w:u w:val="none"/>
              </w:rPr>
              <w:t>十五五</w:t>
            </w:r>
            <w:r>
              <w:rPr>
                <w:rFonts w:hint="eastAsia" w:cs="Times New Roman"/>
                <w:sz w:val="24"/>
                <w:szCs w:val="24"/>
                <w:u w:val="none"/>
                <w:lang w:eastAsia="zh-CN"/>
              </w:rPr>
              <w:t>”</w:t>
            </w:r>
            <w:r>
              <w:rPr>
                <w:rFonts w:hint="default" w:ascii="Times New Roman" w:hAnsi="Times New Roman" w:eastAsia="宋体" w:cs="Times New Roman"/>
                <w:sz w:val="24"/>
                <w:szCs w:val="24"/>
                <w:u w:val="none"/>
              </w:rPr>
              <w:t>开展分阶段管控，实施大气污染物控制战略。到2025年，中心城区PM</w:t>
            </w:r>
            <w:r>
              <w:rPr>
                <w:rFonts w:hint="default" w:ascii="Times New Roman" w:hAnsi="Times New Roman" w:eastAsia="宋体" w:cs="Times New Roman"/>
                <w:sz w:val="24"/>
                <w:szCs w:val="24"/>
                <w:u w:val="none"/>
                <w:vertAlign w:val="subscript"/>
              </w:rPr>
              <w:t>2.5</w:t>
            </w:r>
            <w:r>
              <w:rPr>
                <w:rFonts w:hint="default" w:ascii="Times New Roman" w:hAnsi="Times New Roman" w:eastAsia="宋体" w:cs="Times New Roman"/>
                <w:sz w:val="24"/>
                <w:szCs w:val="24"/>
                <w:u w:val="none"/>
              </w:rPr>
              <w:t>年均浓度不高于37微克/立方米，渌口区和醴陵市PM</w:t>
            </w:r>
            <w:r>
              <w:rPr>
                <w:rFonts w:hint="default" w:ascii="Times New Roman" w:hAnsi="Times New Roman" w:eastAsia="宋体" w:cs="Times New Roman"/>
                <w:sz w:val="24"/>
                <w:szCs w:val="24"/>
                <w:u w:val="none"/>
                <w:vertAlign w:val="subscript"/>
              </w:rPr>
              <w:t>2.5</w:t>
            </w:r>
            <w:r>
              <w:rPr>
                <w:rFonts w:hint="default" w:ascii="Times New Roman" w:hAnsi="Times New Roman" w:eastAsia="宋体" w:cs="Times New Roman"/>
                <w:sz w:val="24"/>
                <w:szCs w:val="24"/>
                <w:u w:val="none"/>
              </w:rPr>
              <w:t>年均浓度达到国家空气质量二级标准，全市PM</w:t>
            </w:r>
            <w:r>
              <w:rPr>
                <w:rFonts w:hint="default" w:ascii="Times New Roman" w:hAnsi="Times New Roman" w:eastAsia="宋体" w:cs="Times New Roman"/>
                <w:sz w:val="24"/>
                <w:szCs w:val="24"/>
                <w:u w:val="none"/>
                <w:vertAlign w:val="subscript"/>
              </w:rPr>
              <w:t>10</w:t>
            </w:r>
            <w:r>
              <w:rPr>
                <w:rFonts w:hint="default" w:ascii="Times New Roman" w:hAnsi="Times New Roman" w:eastAsia="宋体" w:cs="Times New Roman"/>
                <w:sz w:val="24"/>
                <w:szCs w:val="24"/>
                <w:u w:val="none"/>
              </w:rPr>
              <w:t>年均浓度持续改善，SO</w:t>
            </w:r>
            <w:r>
              <w:rPr>
                <w:rFonts w:hint="default" w:ascii="Times New Roman" w:hAnsi="Times New Roman" w:eastAsia="宋体" w:cs="Times New Roman"/>
                <w:sz w:val="24"/>
                <w:szCs w:val="24"/>
                <w:u w:val="none"/>
                <w:vertAlign w:val="subscript"/>
              </w:rPr>
              <w:t>2</w:t>
            </w:r>
            <w:r>
              <w:rPr>
                <w:rFonts w:hint="default" w:ascii="Times New Roman" w:hAnsi="Times New Roman" w:eastAsia="宋体" w:cs="Times New Roman"/>
                <w:sz w:val="24"/>
                <w:szCs w:val="24"/>
                <w:u w:val="none"/>
              </w:rPr>
              <w:t>、NO</w:t>
            </w:r>
            <w:r>
              <w:rPr>
                <w:rFonts w:hint="default" w:ascii="Times New Roman" w:hAnsi="Times New Roman" w:eastAsia="宋体" w:cs="Times New Roman"/>
                <w:sz w:val="24"/>
                <w:szCs w:val="24"/>
                <w:u w:val="none"/>
                <w:vertAlign w:val="subscript"/>
              </w:rPr>
              <w:t>2</w:t>
            </w:r>
            <w:r>
              <w:rPr>
                <w:rFonts w:hint="default" w:ascii="Times New Roman" w:hAnsi="Times New Roman" w:eastAsia="宋体" w:cs="Times New Roman"/>
                <w:sz w:val="24"/>
                <w:szCs w:val="24"/>
                <w:u w:val="none"/>
              </w:rPr>
              <w:t>和CO年均浓度稳定达标，臭氧污染恶化的趋势初步减缓。到2027 年，中心城区及其余区县六项空气质量指标均达到国家二级标准，具体任务目标应根据省市要求，结合株洲实际进行调整。且目前株洲市正大力开展蓝天保卫战工作，督促各工程项目落实环境保护相关措施，加强环境管理，区域的大气环境质量将得到进一步的改善</w:t>
            </w:r>
            <w:r>
              <w:rPr>
                <w:rFonts w:hint="eastAsia" w:ascii="Times New Roman" w:hAnsi="Times New Roman" w:eastAsia="宋体" w:cs="Times New Roman"/>
                <w:sz w:val="24"/>
                <w:u w:val="none"/>
                <w:lang w:eastAsia="zh-CN" w:bidi="ar"/>
              </w:rPr>
              <w:t>。</w:t>
            </w:r>
          </w:p>
          <w:p w14:paraId="471A8738">
            <w:pPr>
              <w:pStyle w:val="88"/>
              <w:keepNext w:val="0"/>
              <w:keepLines w:val="0"/>
              <w:widowControl/>
              <w:suppressLineNumbers w:val="0"/>
              <w:spacing w:before="0" w:beforeLines="0" w:beforeAutospacing="0" w:after="0" w:afterAutospacing="0"/>
              <w:ind w:left="0" w:right="0" w:firstLine="480"/>
              <w:rPr>
                <w:rFonts w:hint="eastAsia"/>
                <w:snapToGrid w:val="0"/>
                <w:color w:val="auto"/>
                <w:u w:val="none"/>
                <w:lang w:val="en-US" w:eastAsia="zh-CN"/>
              </w:rPr>
            </w:pPr>
            <w:r>
              <w:rPr>
                <w:rFonts w:hint="eastAsia"/>
                <w:snapToGrid w:val="0"/>
                <w:color w:val="auto"/>
                <w:u w:val="none"/>
                <w:lang w:eastAsia="zh-CN"/>
              </w:rPr>
              <w:t>（</w:t>
            </w:r>
            <w:r>
              <w:rPr>
                <w:rFonts w:hint="eastAsia"/>
                <w:snapToGrid w:val="0"/>
                <w:color w:val="auto"/>
                <w:u w:val="none"/>
                <w:lang w:val="en-US" w:eastAsia="zh-CN"/>
              </w:rPr>
              <w:t>2</w:t>
            </w:r>
            <w:r>
              <w:rPr>
                <w:rFonts w:hint="eastAsia"/>
                <w:snapToGrid w:val="0"/>
                <w:color w:val="auto"/>
                <w:u w:val="none"/>
                <w:lang w:eastAsia="zh-CN"/>
              </w:rPr>
              <w:t>）</w:t>
            </w:r>
            <w:r>
              <w:rPr>
                <w:rFonts w:hint="eastAsia"/>
                <w:snapToGrid w:val="0"/>
                <w:color w:val="auto"/>
                <w:u w:val="none"/>
                <w:lang w:val="en-US" w:eastAsia="zh-CN"/>
              </w:rPr>
              <w:t>特殊污染物环境质量现状</w:t>
            </w:r>
          </w:p>
          <w:p w14:paraId="6B24D9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0"/>
                <w:u w:val="none"/>
                <w:lang w:val="en-US" w:eastAsia="zh-CN" w:bidi="ar-SA"/>
              </w:rPr>
            </w:pPr>
            <w:r>
              <w:rPr>
                <w:rFonts w:hint="eastAsia" w:ascii="Times New Roman" w:hAnsi="Times New Roman" w:eastAsia="宋体" w:cs="Times New Roman"/>
                <w:kern w:val="0"/>
                <w:sz w:val="24"/>
                <w:szCs w:val="20"/>
                <w:u w:val="none"/>
                <w:lang w:val="en-US" w:eastAsia="zh-CN" w:bidi="ar-SA"/>
              </w:rPr>
              <w:t>TSP：</w:t>
            </w:r>
            <w:r>
              <w:rPr>
                <w:rFonts w:hint="default" w:ascii="Times New Roman" w:hAnsi="Times New Roman" w:eastAsia="宋体" w:cs="Times New Roman"/>
                <w:kern w:val="0"/>
                <w:sz w:val="24"/>
                <w:szCs w:val="20"/>
                <w:u w:val="none"/>
                <w:lang w:val="en-US" w:eastAsia="zh-CN" w:bidi="ar-SA"/>
              </w:rPr>
              <w:t>为了</w:t>
            </w:r>
            <w:r>
              <w:rPr>
                <w:rFonts w:hint="default" w:ascii="Times New Roman" w:hAnsi="Times New Roman" w:eastAsia="宋体" w:cs="Times New Roman"/>
                <w:color w:val="auto"/>
                <w:kern w:val="0"/>
                <w:sz w:val="24"/>
                <w:szCs w:val="20"/>
                <w:u w:val="none"/>
                <w:lang w:val="en-US" w:eastAsia="zh-CN" w:bidi="ar-SA"/>
              </w:rPr>
              <w:t>解本项目所在地环境质量现状，本次环评</w:t>
            </w:r>
            <w:r>
              <w:rPr>
                <w:rFonts w:hint="eastAsia" w:ascii="Times New Roman" w:hAnsi="Times New Roman" w:eastAsia="宋体" w:cs="Times New Roman"/>
                <w:color w:val="auto"/>
                <w:kern w:val="0"/>
                <w:sz w:val="24"/>
                <w:szCs w:val="20"/>
                <w:u w:val="none"/>
                <w:lang w:val="en-US" w:eastAsia="zh-CN" w:bidi="ar-SA"/>
              </w:rPr>
              <w:t>引用《报废汽车拆解项目》中，醴陵市鼎盛报废汽车回收拆解有限公司委托</w:t>
            </w:r>
            <w:r>
              <w:rPr>
                <w:rFonts w:hint="eastAsia" w:ascii="Times New Roman" w:hAnsi="Times New Roman" w:eastAsia="宋体" w:cs="Times New Roman"/>
                <w:bCs/>
                <w:color w:val="auto"/>
                <w:kern w:val="0"/>
                <w:sz w:val="24"/>
                <w:szCs w:val="20"/>
                <w:u w:val="none"/>
                <w:lang w:val="en-US" w:eastAsia="zh-CN" w:bidi="ar-SA"/>
              </w:rPr>
              <w:t>湖南中额环保科技有限公司2024年11月5日~7日对大气环境质量现状进行检测</w:t>
            </w:r>
            <w:r>
              <w:rPr>
                <w:rFonts w:hint="eastAsia" w:ascii="Times New Roman" w:hAnsi="Times New Roman" w:eastAsia="宋体" w:cs="Times New Roman"/>
                <w:color w:val="auto"/>
                <w:kern w:val="0"/>
                <w:sz w:val="24"/>
                <w:szCs w:val="20"/>
                <w:u w:val="none"/>
                <w:lang w:val="en-US" w:eastAsia="zh-CN" w:bidi="ar-SA"/>
              </w:rPr>
              <w:t>，监测因子为TSP，监测点位位于本项目东北侧约1km，可以表征该区域大气环境质量，监测时间在三年内，符合时效性，详细监测数据见下表：</w:t>
            </w:r>
          </w:p>
          <w:p w14:paraId="0173A03C">
            <w:pPr>
              <w:pStyle w:val="135"/>
              <w:keepNext w:val="0"/>
              <w:keepLines w:val="0"/>
              <w:numPr>
                <w:ilvl w:val="0"/>
                <w:numId w:val="0"/>
              </w:numPr>
              <w:suppressLineNumbers w:val="0"/>
              <w:spacing w:before="0" w:beforeLines="0" w:beforeAutospacing="0" w:after="0" w:afterAutospacing="0" w:line="360" w:lineRule="exact"/>
              <w:ind w:left="0" w:leftChars="0" w:right="0"/>
              <w:rPr>
                <w:rFonts w:hint="default" w:ascii="Times New Roman" w:hAnsi="Times New Roman" w:eastAsia="宋体" w:cs="Times New Roman"/>
                <w:sz w:val="21"/>
                <w:szCs w:val="21"/>
                <w:u w:val="none"/>
                <w:lang w:val="en-US" w:eastAsia="zh-CN"/>
              </w:rPr>
            </w:pPr>
            <w:r>
              <w:rPr>
                <w:rFonts w:hint="eastAsia" w:ascii="Times New Roman" w:hAnsi="Times New Roman" w:cs="Times New Roman"/>
                <w:sz w:val="21"/>
                <w:szCs w:val="21"/>
                <w:u w:val="none"/>
                <w:lang w:eastAsia="zh-CN"/>
              </w:rPr>
              <w:t>表</w:t>
            </w:r>
            <w:r>
              <w:rPr>
                <w:rFonts w:hint="eastAsia" w:ascii="Times New Roman" w:hAnsi="Times New Roman" w:cs="Times New Roman"/>
                <w:sz w:val="21"/>
                <w:szCs w:val="21"/>
                <w:u w:val="none"/>
                <w:lang w:val="en-US" w:eastAsia="zh-CN"/>
              </w:rPr>
              <w:t>3-</w:t>
            </w:r>
            <w:r>
              <w:rPr>
                <w:rFonts w:hint="eastAsia" w:cs="Times New Roman"/>
                <w:sz w:val="21"/>
                <w:szCs w:val="21"/>
                <w:u w:val="none"/>
                <w:lang w:val="en-US" w:eastAsia="zh-CN"/>
              </w:rPr>
              <w:t>2</w:t>
            </w:r>
            <w:r>
              <w:rPr>
                <w:rFonts w:hint="default" w:ascii="Times New Roman" w:hAnsi="Times New Roman" w:cs="Times New Roman"/>
                <w:sz w:val="21"/>
                <w:szCs w:val="21"/>
                <w:u w:val="none"/>
              </w:rPr>
              <w:t>特征污染物监测数据统计结果及评价表</w:t>
            </w:r>
            <w:r>
              <w:rPr>
                <w:rFonts w:hint="eastAsia" w:ascii="Times New Roman" w:hAnsi="Times New Roman" w:cs="Times New Roman"/>
                <w:sz w:val="21"/>
                <w:szCs w:val="21"/>
                <w:u w:val="none"/>
                <w:lang w:val="en-US" w:eastAsia="zh-CN"/>
              </w:rPr>
              <w:t xml:space="preserve">       单位：</w:t>
            </w:r>
            <w:r>
              <w:rPr>
                <w:rFonts w:hint="eastAsia" w:ascii="Times New Roman" w:hAnsi="Times New Roman" w:eastAsia="宋体" w:cs="Times New Roman"/>
                <w:sz w:val="21"/>
                <w:szCs w:val="21"/>
                <w:u w:val="none"/>
                <w:lang w:val="en-US" w:eastAsia="zh-CN"/>
              </w:rPr>
              <w:t>m</w:t>
            </w:r>
            <w:r>
              <w:rPr>
                <w:rFonts w:hint="eastAsia" w:ascii="Times New Roman" w:hAnsi="Times New Roman" w:cs="Times New Roman"/>
                <w:sz w:val="21"/>
                <w:szCs w:val="21"/>
                <w:u w:val="none"/>
                <w:lang w:val="en-US" w:eastAsia="zh-CN"/>
              </w:rPr>
              <w:t>g/m</w:t>
            </w:r>
            <w:r>
              <w:rPr>
                <w:rFonts w:hint="eastAsia" w:ascii="Times New Roman" w:hAnsi="Times New Roman" w:cs="Times New Roman"/>
                <w:sz w:val="21"/>
                <w:szCs w:val="21"/>
                <w:u w:val="none"/>
                <w:vertAlign w:val="superscript"/>
                <w:lang w:val="en-US" w:eastAsia="zh-CN"/>
              </w:rPr>
              <w:t>3</w:t>
            </w:r>
          </w:p>
          <w:tbl>
            <w:tblPr>
              <w:tblStyle w:val="25"/>
              <w:tblW w:w="499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5"/>
              <w:gridCol w:w="1310"/>
              <w:gridCol w:w="1283"/>
              <w:gridCol w:w="1283"/>
              <w:gridCol w:w="1284"/>
              <w:gridCol w:w="1455"/>
            </w:tblGrid>
            <w:tr w14:paraId="574C3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11" w:type="pct"/>
                  <w:vMerge w:val="restart"/>
                  <w:tcBorders>
                    <w:tl2br w:val="nil"/>
                    <w:tr2bl w:val="nil"/>
                  </w:tcBorders>
                  <w:noWrap w:val="0"/>
                  <w:vAlign w:val="center"/>
                </w:tcPr>
                <w:p w14:paraId="3613E68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监测点位</w:t>
                  </w:r>
                </w:p>
              </w:tc>
              <w:tc>
                <w:tcPr>
                  <w:tcW w:w="750" w:type="pct"/>
                  <w:vMerge w:val="restart"/>
                  <w:tcBorders>
                    <w:tl2br w:val="nil"/>
                    <w:tr2bl w:val="nil"/>
                  </w:tcBorders>
                  <w:noWrap w:val="0"/>
                  <w:vAlign w:val="center"/>
                </w:tcPr>
                <w:p w14:paraId="409E1D02">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监测项目</w:t>
                  </w:r>
                </w:p>
              </w:tc>
              <w:tc>
                <w:tcPr>
                  <w:tcW w:w="2205" w:type="pct"/>
                  <w:gridSpan w:val="3"/>
                  <w:tcBorders>
                    <w:tl2br w:val="nil"/>
                    <w:tr2bl w:val="nil"/>
                  </w:tcBorders>
                  <w:noWrap w:val="0"/>
                  <w:vAlign w:val="center"/>
                </w:tcPr>
                <w:p w14:paraId="0DDB6CC4">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监测结果</w:t>
                  </w:r>
                </w:p>
              </w:tc>
              <w:tc>
                <w:tcPr>
                  <w:tcW w:w="833" w:type="pct"/>
                  <w:vMerge w:val="restart"/>
                  <w:tcBorders>
                    <w:tl2br w:val="nil"/>
                    <w:tr2bl w:val="nil"/>
                  </w:tcBorders>
                  <w:noWrap w:val="0"/>
                  <w:vAlign w:val="center"/>
                </w:tcPr>
                <w:p w14:paraId="4656876F">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标准限值</w:t>
                  </w:r>
                </w:p>
              </w:tc>
            </w:tr>
            <w:tr w14:paraId="0BDFA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11" w:type="pct"/>
                  <w:vMerge w:val="continue"/>
                  <w:tcBorders>
                    <w:tl2br w:val="nil"/>
                    <w:tr2bl w:val="nil"/>
                  </w:tcBorders>
                  <w:noWrap w:val="0"/>
                  <w:vAlign w:val="center"/>
                </w:tcPr>
                <w:p w14:paraId="060C3E4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bCs/>
                      <w:sz w:val="21"/>
                      <w:szCs w:val="21"/>
                      <w:u w:val="none"/>
                      <w:vertAlign w:val="baseline"/>
                    </w:rPr>
                  </w:pPr>
                </w:p>
              </w:tc>
              <w:tc>
                <w:tcPr>
                  <w:tcW w:w="750" w:type="pct"/>
                  <w:vMerge w:val="continue"/>
                  <w:tcBorders>
                    <w:tl2br w:val="nil"/>
                    <w:tr2bl w:val="nil"/>
                  </w:tcBorders>
                  <w:noWrap w:val="0"/>
                  <w:vAlign w:val="center"/>
                </w:tcPr>
                <w:p w14:paraId="480D5399">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bCs/>
                      <w:sz w:val="21"/>
                      <w:szCs w:val="21"/>
                      <w:u w:val="none"/>
                      <w:vertAlign w:val="baseline"/>
                    </w:rPr>
                  </w:pPr>
                </w:p>
              </w:tc>
              <w:tc>
                <w:tcPr>
                  <w:tcW w:w="734" w:type="pct"/>
                  <w:tcBorders>
                    <w:tl2br w:val="nil"/>
                    <w:tr2bl w:val="nil"/>
                  </w:tcBorders>
                  <w:noWrap w:val="0"/>
                  <w:vAlign w:val="center"/>
                </w:tcPr>
                <w:p w14:paraId="6CBFBC1A">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2024.5.5</w:t>
                  </w:r>
                </w:p>
              </w:tc>
              <w:tc>
                <w:tcPr>
                  <w:tcW w:w="734" w:type="pct"/>
                  <w:tcBorders>
                    <w:tl2br w:val="nil"/>
                    <w:tr2bl w:val="nil"/>
                  </w:tcBorders>
                  <w:noWrap w:val="0"/>
                  <w:vAlign w:val="center"/>
                </w:tcPr>
                <w:p w14:paraId="3723A05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2024.5.6</w:t>
                  </w:r>
                </w:p>
              </w:tc>
              <w:tc>
                <w:tcPr>
                  <w:tcW w:w="735" w:type="pct"/>
                  <w:tcBorders>
                    <w:tl2br w:val="nil"/>
                    <w:tr2bl w:val="nil"/>
                  </w:tcBorders>
                  <w:noWrap w:val="0"/>
                  <w:vAlign w:val="center"/>
                </w:tcPr>
                <w:p w14:paraId="0310F5A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2024.5.7</w:t>
                  </w:r>
                </w:p>
              </w:tc>
              <w:tc>
                <w:tcPr>
                  <w:tcW w:w="833" w:type="pct"/>
                  <w:vMerge w:val="continue"/>
                  <w:tcBorders>
                    <w:tl2br w:val="nil"/>
                    <w:tr2bl w:val="nil"/>
                  </w:tcBorders>
                  <w:noWrap w:val="0"/>
                  <w:vAlign w:val="center"/>
                </w:tcPr>
                <w:p w14:paraId="05039D3E">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1"/>
                      <w:szCs w:val="21"/>
                      <w:u w:val="none"/>
                      <w:vertAlign w:val="baseline"/>
                    </w:rPr>
                  </w:pPr>
                </w:p>
              </w:tc>
            </w:tr>
            <w:tr w14:paraId="20A9B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11" w:type="pct"/>
                  <w:tcBorders>
                    <w:tl2br w:val="nil"/>
                    <w:tr2bl w:val="nil"/>
                  </w:tcBorders>
                  <w:noWrap w:val="0"/>
                  <w:vAlign w:val="center"/>
                </w:tcPr>
                <w:p w14:paraId="0E8FB81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u w:val="none"/>
                      <w:vertAlign w:val="baseline"/>
                      <w:lang w:val="en-US" w:eastAsia="zh-CN"/>
                    </w:rPr>
                  </w:pPr>
                  <w:r>
                    <w:rPr>
                      <w:rFonts w:hint="eastAsia" w:cs="Times New Roman"/>
                      <w:sz w:val="21"/>
                      <w:szCs w:val="21"/>
                      <w:u w:val="none"/>
                      <w:vertAlign w:val="baseline"/>
                      <w:lang w:val="en-US" w:eastAsia="zh-CN"/>
                    </w:rPr>
                    <w:t>醴陵市鼎盛报废汽车回收拆解有限公司G1</w:t>
                  </w:r>
                </w:p>
              </w:tc>
              <w:tc>
                <w:tcPr>
                  <w:tcW w:w="750" w:type="pct"/>
                  <w:tcBorders>
                    <w:tl2br w:val="nil"/>
                    <w:tr2bl w:val="nil"/>
                  </w:tcBorders>
                  <w:noWrap w:val="0"/>
                  <w:vAlign w:val="center"/>
                </w:tcPr>
                <w:p w14:paraId="226AB4C0">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TSP</w:t>
                  </w:r>
                </w:p>
                <w:p w14:paraId="66E5BDC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u w:val="none"/>
                      <w:vertAlign w:val="baseline"/>
                      <w:lang w:val="en-US" w:eastAsia="zh-CN"/>
                    </w:rPr>
                  </w:pPr>
                  <w:r>
                    <w:rPr>
                      <w:rFonts w:hint="eastAsia" w:cs="Times New Roman"/>
                      <w:sz w:val="21"/>
                      <w:szCs w:val="21"/>
                      <w:u w:val="none"/>
                      <w:vertAlign w:val="baseline"/>
                      <w:lang w:val="en-US" w:eastAsia="zh-CN"/>
                    </w:rPr>
                    <w:t>（日均值）</w:t>
                  </w:r>
                </w:p>
              </w:tc>
              <w:tc>
                <w:tcPr>
                  <w:tcW w:w="734" w:type="pct"/>
                  <w:tcBorders>
                    <w:tl2br w:val="nil"/>
                    <w:tr2bl w:val="nil"/>
                  </w:tcBorders>
                  <w:noWrap w:val="0"/>
                  <w:vAlign w:val="center"/>
                </w:tcPr>
                <w:p w14:paraId="7EC619C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0.113</w:t>
                  </w:r>
                </w:p>
              </w:tc>
              <w:tc>
                <w:tcPr>
                  <w:tcW w:w="734" w:type="pct"/>
                  <w:tcBorders>
                    <w:tl2br w:val="nil"/>
                    <w:tr2bl w:val="nil"/>
                  </w:tcBorders>
                  <w:noWrap w:val="0"/>
                  <w:vAlign w:val="center"/>
                </w:tcPr>
                <w:p w14:paraId="5F2F6BE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0.127</w:t>
                  </w:r>
                </w:p>
              </w:tc>
              <w:tc>
                <w:tcPr>
                  <w:tcW w:w="735" w:type="pct"/>
                  <w:tcBorders>
                    <w:tl2br w:val="nil"/>
                    <w:tr2bl w:val="nil"/>
                  </w:tcBorders>
                  <w:noWrap w:val="0"/>
                  <w:vAlign w:val="center"/>
                </w:tcPr>
                <w:p w14:paraId="09B5270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0.121</w:t>
                  </w:r>
                </w:p>
              </w:tc>
              <w:tc>
                <w:tcPr>
                  <w:tcW w:w="833" w:type="pct"/>
                  <w:tcBorders>
                    <w:tl2br w:val="nil"/>
                    <w:tr2bl w:val="nil"/>
                  </w:tcBorders>
                  <w:noWrap w:val="0"/>
                  <w:vAlign w:val="center"/>
                </w:tcPr>
                <w:p w14:paraId="016C005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0.3</w:t>
                  </w:r>
                </w:p>
              </w:tc>
            </w:tr>
          </w:tbl>
          <w:p w14:paraId="5C5C476F">
            <w:pPr>
              <w:pStyle w:val="88"/>
              <w:keepNext w:val="0"/>
              <w:keepLines w:val="0"/>
              <w:widowControl/>
              <w:suppressLineNumbers w:val="0"/>
              <w:spacing w:before="157" w:beforeLines="50" w:beforeAutospacing="0" w:after="0" w:afterAutospacing="0"/>
              <w:ind w:left="0" w:right="0" w:firstLine="480"/>
              <w:rPr>
                <w:rFonts w:hint="default" w:ascii="Times New Roman" w:hAnsi="Times New Roman" w:eastAsia="宋体" w:cs="Times New Roman"/>
                <w:sz w:val="24"/>
                <w:szCs w:val="24"/>
                <w:u w:val="none"/>
              </w:rPr>
            </w:pPr>
            <w:r>
              <w:rPr>
                <w:rFonts w:hint="default" w:ascii="Times New Roman" w:hAnsi="Times New Roman" w:cs="Times New Roman"/>
                <w:sz w:val="24"/>
                <w:u w:val="none"/>
              </w:rPr>
              <w:t>由</w:t>
            </w:r>
            <w:r>
              <w:rPr>
                <w:rFonts w:hint="eastAsia" w:cs="Times New Roman"/>
                <w:sz w:val="24"/>
                <w:u w:val="none"/>
                <w:lang w:val="en-US" w:eastAsia="zh-CN"/>
              </w:rPr>
              <w:t>上表</w:t>
            </w:r>
            <w:r>
              <w:rPr>
                <w:rFonts w:hint="default" w:ascii="Times New Roman" w:hAnsi="Times New Roman" w:cs="Times New Roman"/>
                <w:sz w:val="24"/>
                <w:u w:val="none"/>
              </w:rPr>
              <w:t>可知，项目所在区域特征污染物</w:t>
            </w:r>
            <w:r>
              <w:rPr>
                <w:rFonts w:hint="eastAsia" w:ascii="Times New Roman" w:hAnsi="Times New Roman" w:cs="Times New Roman"/>
                <w:sz w:val="24"/>
                <w:u w:val="none"/>
                <w:lang w:val="en-US" w:eastAsia="zh-CN"/>
              </w:rPr>
              <w:t>TSP</w:t>
            </w:r>
            <w:r>
              <w:rPr>
                <w:rFonts w:hint="default" w:ascii="Times New Roman" w:hAnsi="Times New Roman" w:cs="Times New Roman"/>
                <w:sz w:val="24"/>
                <w:u w:val="none"/>
              </w:rPr>
              <w:t>浓度满足《环境空气质量标准》（GB3095-2012）二级标准限值</w:t>
            </w:r>
            <w:r>
              <w:rPr>
                <w:rFonts w:hint="eastAsia" w:ascii="Times New Roman" w:hAnsi="Times New Roman" w:cs="Times New Roman"/>
                <w:sz w:val="24"/>
                <w:u w:val="none"/>
                <w:lang w:eastAsia="zh-CN"/>
              </w:rPr>
              <w:t>，</w:t>
            </w:r>
            <w:r>
              <w:rPr>
                <w:rFonts w:hint="eastAsia" w:ascii="Times New Roman" w:hAnsi="Times New Roman" w:cs="Times New Roman"/>
                <w:sz w:val="24"/>
                <w:u w:val="none"/>
                <w:lang w:val="en-US" w:eastAsia="zh-CN"/>
              </w:rPr>
              <w:t>本项目所在区域环境空气质量良好</w:t>
            </w:r>
            <w:r>
              <w:rPr>
                <w:rFonts w:hint="default" w:ascii="Times New Roman" w:hAnsi="Times New Roman" w:eastAsia="宋体" w:cs="Times New Roman"/>
                <w:sz w:val="24"/>
                <w:szCs w:val="24"/>
                <w:u w:val="none"/>
              </w:rPr>
              <w:t>。</w:t>
            </w:r>
          </w:p>
          <w:p w14:paraId="1C49B493">
            <w:pPr>
              <w:pStyle w:val="88"/>
              <w:keepNext w:val="0"/>
              <w:keepLines w:val="0"/>
              <w:widowControl/>
              <w:suppressLineNumbers w:val="0"/>
              <w:spacing w:before="0" w:beforeLines="0" w:beforeAutospacing="0" w:after="0" w:afterAutospacing="0"/>
              <w:ind w:left="0" w:right="0" w:firstLine="480"/>
              <w:rPr>
                <w:rFonts w:hint="default"/>
                <w:snapToGrid w:val="0"/>
                <w:color w:val="auto"/>
                <w:u w:val="none"/>
              </w:rPr>
            </w:pPr>
            <w:r>
              <w:rPr>
                <w:rFonts w:hint="default"/>
                <w:snapToGrid w:val="0"/>
                <w:color w:val="auto"/>
                <w:u w:val="none"/>
              </w:rPr>
              <w:t>2、地表水环境质量现状</w:t>
            </w:r>
          </w:p>
          <w:p w14:paraId="0B47AE92">
            <w:pPr>
              <w:keepNext w:val="0"/>
              <w:keepLines w:val="0"/>
              <w:suppressLineNumbers w:val="0"/>
              <w:kinsoku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strike w:val="0"/>
                <w:dstrike w:val="0"/>
                <w:color w:val="auto"/>
                <w:sz w:val="24"/>
                <w:szCs w:val="24"/>
                <w:u w:val="none"/>
              </w:rPr>
            </w:pPr>
            <w:r>
              <w:rPr>
                <w:rFonts w:hint="eastAsia" w:ascii="Times New Roman" w:hAnsi="宋体" w:eastAsia="宋体" w:cs="Times New Roman"/>
                <w:color w:val="auto"/>
                <w:kern w:val="2"/>
                <w:sz w:val="24"/>
                <w:szCs w:val="24"/>
                <w:u w:val="none"/>
                <w:lang w:val="en-US" w:eastAsia="zh-CN" w:bidi="ar-SA"/>
              </w:rPr>
              <w:t>本项目所在地为周边水体为澄潭江，位于项目东南侧约2.5km。</w:t>
            </w:r>
            <w:r>
              <w:rPr>
                <w:rFonts w:hint="eastAsia" w:ascii="Times New Roman" w:hAnsi="Times New Roman" w:eastAsia="宋体" w:cs="Times New Roman"/>
                <w:color w:val="auto"/>
                <w:kern w:val="2"/>
                <w:sz w:val="24"/>
                <w:szCs w:val="24"/>
                <w:u w:val="none"/>
                <w:lang w:val="en-US" w:eastAsia="zh-CN" w:bidi="ar-SA"/>
              </w:rPr>
              <w:t>为了解项目所在区域水环境质量现状，</w:t>
            </w:r>
            <w:r>
              <w:rPr>
                <w:rFonts w:hint="default" w:ascii="Times New Roman" w:hAnsi="Times New Roman" w:eastAsia="宋体" w:cs="Times New Roman"/>
                <w:strike w:val="0"/>
                <w:dstrike w:val="0"/>
                <w:color w:val="auto"/>
                <w:sz w:val="24"/>
                <w:szCs w:val="24"/>
                <w:u w:val="none"/>
              </w:rPr>
              <w:t>本次评价</w:t>
            </w:r>
            <w:r>
              <w:rPr>
                <w:rFonts w:hint="default" w:ascii="Times New Roman" w:hAnsi="Times New Roman" w:eastAsia="宋体" w:cs="Times New Roman"/>
                <w:strike w:val="0"/>
                <w:dstrike w:val="0"/>
                <w:color w:val="auto"/>
                <w:sz w:val="24"/>
                <w:u w:val="none"/>
              </w:rPr>
              <w:t>收集了</w:t>
            </w:r>
            <w:r>
              <w:rPr>
                <w:rFonts w:hint="eastAsia" w:ascii="Times New Roman" w:hAnsi="Times New Roman" w:eastAsia="宋体" w:cs="Times New Roman"/>
                <w:strike w:val="0"/>
                <w:dstrike w:val="0"/>
                <w:color w:val="auto"/>
                <w:sz w:val="24"/>
                <w:u w:val="none"/>
                <w:lang w:val="en-US" w:eastAsia="zh-CN"/>
              </w:rPr>
              <w:t>醴陵市人民政府</w:t>
            </w:r>
            <w:r>
              <w:rPr>
                <w:rFonts w:hint="default" w:ascii="Times New Roman" w:hAnsi="Times New Roman" w:eastAsia="宋体" w:cs="Times New Roman"/>
                <w:strike w:val="0"/>
                <w:dstrike w:val="0"/>
                <w:color w:val="auto"/>
                <w:sz w:val="24"/>
                <w:u w:val="none"/>
                <w:lang w:eastAsia="zh-CN"/>
              </w:rPr>
              <w:t>公布的醴陵市万人千吨监测报告2024年</w:t>
            </w:r>
            <w:r>
              <w:rPr>
                <w:rFonts w:hint="eastAsia" w:ascii="Times New Roman" w:hAnsi="Times New Roman" w:eastAsia="宋体" w:cs="Times New Roman"/>
                <w:strike w:val="0"/>
                <w:dstrike w:val="0"/>
                <w:color w:val="auto"/>
                <w:sz w:val="24"/>
                <w:u w:val="none"/>
                <w:lang w:val="en-US" w:eastAsia="zh-CN"/>
              </w:rPr>
              <w:t>1~</w:t>
            </w:r>
            <w:r>
              <w:rPr>
                <w:rFonts w:hint="default" w:ascii="Times New Roman" w:hAnsi="Times New Roman" w:eastAsia="宋体" w:cs="Times New Roman"/>
                <w:strike w:val="0"/>
                <w:dstrike w:val="0"/>
                <w:color w:val="auto"/>
                <w:sz w:val="24"/>
                <w:u w:val="none"/>
                <w:lang w:eastAsia="zh-CN"/>
              </w:rPr>
              <w:t>4季度（http://www.liling.gov.cn/c1083/index.html）</w:t>
            </w:r>
            <w:r>
              <w:rPr>
                <w:rFonts w:hint="default" w:ascii="Times New Roman" w:hAnsi="Times New Roman" w:eastAsia="宋体" w:cs="Times New Roman"/>
                <w:kern w:val="0"/>
                <w:sz w:val="24"/>
                <w:szCs w:val="20"/>
                <w:u w:val="none"/>
                <w:lang w:val="en-US" w:eastAsia="zh-CN" w:bidi="ar"/>
              </w:rPr>
              <w:t>中202</w:t>
            </w:r>
            <w:r>
              <w:rPr>
                <w:rFonts w:hint="eastAsia" w:ascii="Times New Roman" w:hAnsi="Times New Roman" w:eastAsia="宋体" w:cs="Times New Roman"/>
                <w:kern w:val="0"/>
                <w:sz w:val="24"/>
                <w:szCs w:val="20"/>
                <w:u w:val="none"/>
                <w:lang w:val="en-US" w:eastAsia="zh-CN" w:bidi="ar"/>
              </w:rPr>
              <w:t>4年王仙镇自来水厂饮用水水源保护区断面地表水水质状况数据</w:t>
            </w:r>
            <w:r>
              <w:rPr>
                <w:rFonts w:hint="eastAsia" w:ascii="Times New Roman" w:hAnsi="Times New Roman" w:eastAsia="宋体" w:cs="Times New Roman"/>
                <w:color w:val="auto"/>
                <w:sz w:val="24"/>
                <w:highlight w:val="none"/>
                <w:u w:val="none"/>
                <w:lang w:val="en-US" w:eastAsia="zh-CN"/>
              </w:rPr>
              <w:t>，该断面位于本项目下游，距本项目约6.6km</w:t>
            </w:r>
            <w:r>
              <w:rPr>
                <w:rFonts w:hint="eastAsia" w:ascii="Times New Roman" w:hAnsi="Times New Roman" w:eastAsia="宋体" w:cs="Times New Roman"/>
                <w:strike w:val="0"/>
                <w:dstrike w:val="0"/>
                <w:color w:val="auto"/>
                <w:sz w:val="24"/>
                <w:u w:val="none"/>
                <w:lang w:val="en-US" w:eastAsia="zh-CN"/>
              </w:rPr>
              <w:t>，水质状况见下表</w:t>
            </w:r>
            <w:r>
              <w:rPr>
                <w:rFonts w:hint="default" w:ascii="Times New Roman" w:hAnsi="Times New Roman" w:eastAsia="宋体" w:cs="Times New Roman"/>
                <w:strike w:val="0"/>
                <w:dstrike w:val="0"/>
                <w:color w:val="auto"/>
                <w:sz w:val="24"/>
                <w:szCs w:val="24"/>
                <w:u w:val="none"/>
              </w:rPr>
              <w:t>。</w:t>
            </w:r>
          </w:p>
          <w:p w14:paraId="59C2F257">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表3-</w:t>
            </w:r>
            <w:r>
              <w:rPr>
                <w:rFonts w:hint="eastAsia" w:cs="Times New Roman"/>
                <w:b/>
                <w:bCs/>
                <w:color w:val="auto"/>
                <w:kern w:val="2"/>
                <w:sz w:val="21"/>
                <w:szCs w:val="21"/>
                <w:highlight w:val="none"/>
                <w:u w:val="none"/>
                <w:lang w:val="en-US" w:eastAsia="zh-CN" w:bidi="ar-SA"/>
              </w:rPr>
              <w:t>3</w:t>
            </w:r>
            <w:r>
              <w:rPr>
                <w:rFonts w:hint="default" w:ascii="Times New Roman" w:hAnsi="Times New Roman" w:eastAsia="宋体" w:cs="Times New Roman"/>
                <w:b/>
                <w:bCs/>
                <w:color w:val="auto"/>
                <w:kern w:val="2"/>
                <w:sz w:val="21"/>
                <w:szCs w:val="21"/>
                <w:highlight w:val="none"/>
                <w:u w:val="none"/>
                <w:lang w:val="en-US" w:eastAsia="zh-CN" w:bidi="ar-SA"/>
              </w:rPr>
              <w:t xml:space="preserve"> </w:t>
            </w:r>
            <w:r>
              <w:rPr>
                <w:rFonts w:hint="eastAsia" w:ascii="Times New Roman" w:hAnsi="Times New Roman" w:eastAsia="宋体" w:cs="Times New Roman"/>
                <w:b/>
                <w:bCs/>
                <w:color w:val="auto"/>
                <w:kern w:val="2"/>
                <w:sz w:val="21"/>
                <w:szCs w:val="21"/>
                <w:highlight w:val="none"/>
                <w:u w:val="none"/>
                <w:lang w:val="en-US" w:eastAsia="zh-CN" w:bidi="ar-SA"/>
              </w:rPr>
              <w:t xml:space="preserve">2024年1~4季度王仙镇自来水厂饮用水水源保护区断面地表水水质状况表 </w:t>
            </w:r>
          </w:p>
          <w:tbl>
            <w:tblPr>
              <w:tblStyle w:val="24"/>
              <w:tblW w:w="499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4"/>
              <w:gridCol w:w="2046"/>
              <w:gridCol w:w="1228"/>
              <w:gridCol w:w="1124"/>
              <w:gridCol w:w="1129"/>
              <w:gridCol w:w="1129"/>
              <w:gridCol w:w="1134"/>
            </w:tblGrid>
            <w:tr w14:paraId="0FC06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tblHeader/>
                <w:jc w:val="center"/>
              </w:trPr>
              <w:tc>
                <w:tcPr>
                  <w:tcW w:w="540" w:type="pct"/>
                  <w:vMerge w:val="restart"/>
                  <w:tcBorders>
                    <w:tl2br w:val="nil"/>
                    <w:tr2bl w:val="nil"/>
                  </w:tcBorders>
                  <w:noWrap w:val="0"/>
                  <w:vAlign w:val="center"/>
                </w:tcPr>
                <w:p w14:paraId="0BA661A8">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b/>
                      <w:bCs/>
                      <w:color w:val="auto"/>
                      <w:kern w:val="0"/>
                      <w:sz w:val="21"/>
                      <w:szCs w:val="21"/>
                      <w:highlight w:val="none"/>
                      <w:u w:val="none"/>
                      <w:lang w:val="en-US" w:eastAsia="zh-CN" w:bidi="ar-SA"/>
                    </w:rPr>
                  </w:pPr>
                  <w:r>
                    <w:rPr>
                      <w:rFonts w:hint="eastAsia" w:ascii="Times New Roman" w:hAnsi="Times New Roman" w:eastAsia="宋体" w:cs="Times New Roman"/>
                      <w:b/>
                      <w:bCs/>
                      <w:color w:val="auto"/>
                      <w:kern w:val="0"/>
                      <w:sz w:val="21"/>
                      <w:szCs w:val="21"/>
                      <w:highlight w:val="none"/>
                      <w:u w:val="none"/>
                      <w:lang w:val="en-US" w:eastAsia="zh-CN" w:bidi="ar-SA"/>
                    </w:rPr>
                    <w:t>河流</w:t>
                  </w:r>
                </w:p>
              </w:tc>
              <w:tc>
                <w:tcPr>
                  <w:tcW w:w="1171" w:type="pct"/>
                  <w:vMerge w:val="restart"/>
                  <w:tcBorders>
                    <w:tl2br w:val="nil"/>
                    <w:tr2bl w:val="nil"/>
                  </w:tcBorders>
                  <w:noWrap w:val="0"/>
                  <w:vAlign w:val="center"/>
                </w:tcPr>
                <w:p w14:paraId="4495D059">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rPr>
                    <w:t>断面</w:t>
                  </w:r>
                </w:p>
              </w:tc>
              <w:tc>
                <w:tcPr>
                  <w:tcW w:w="703" w:type="pct"/>
                  <w:vMerge w:val="restart"/>
                  <w:tcBorders>
                    <w:tl2br w:val="nil"/>
                    <w:tr2bl w:val="nil"/>
                  </w:tcBorders>
                  <w:noWrap w:val="0"/>
                  <w:vAlign w:val="center"/>
                </w:tcPr>
                <w:p w14:paraId="5BD47D1D">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b/>
                      <w:bCs/>
                      <w:color w:val="auto"/>
                      <w:sz w:val="21"/>
                      <w:szCs w:val="21"/>
                      <w:highlight w:val="none"/>
                      <w:u w:val="none"/>
                      <w:lang w:eastAsia="zh-CN"/>
                    </w:rPr>
                  </w:pPr>
                  <w:r>
                    <w:rPr>
                      <w:rFonts w:hint="eastAsia" w:ascii="Times New Roman" w:hAnsi="Times New Roman" w:eastAsia="宋体" w:cs="Times New Roman"/>
                      <w:b/>
                      <w:bCs/>
                      <w:color w:val="auto"/>
                      <w:sz w:val="21"/>
                      <w:szCs w:val="21"/>
                      <w:highlight w:val="none"/>
                      <w:u w:val="none"/>
                      <w:lang w:val="en-US" w:eastAsia="zh-CN"/>
                    </w:rPr>
                    <w:t>执行标准</w:t>
                  </w:r>
                </w:p>
              </w:tc>
              <w:tc>
                <w:tcPr>
                  <w:tcW w:w="2584" w:type="pct"/>
                  <w:gridSpan w:val="4"/>
                  <w:tcBorders>
                    <w:right w:val="single" w:color="auto" w:sz="4" w:space="0"/>
                    <w:tl2br w:val="nil"/>
                    <w:tr2bl w:val="nil"/>
                  </w:tcBorders>
                  <w:noWrap w:val="0"/>
                  <w:vAlign w:val="center"/>
                </w:tcPr>
                <w:p w14:paraId="295CA78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lang w:val="en-US" w:eastAsia="zh-CN"/>
                    </w:rPr>
                    <w:t>水质类别</w:t>
                  </w:r>
                </w:p>
              </w:tc>
            </w:tr>
            <w:tr w14:paraId="5853C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9" w:hRule="atLeast"/>
                <w:tblHeader/>
                <w:jc w:val="center"/>
              </w:trPr>
              <w:tc>
                <w:tcPr>
                  <w:tcW w:w="540" w:type="pct"/>
                  <w:vMerge w:val="continue"/>
                  <w:tcBorders>
                    <w:tl2br w:val="nil"/>
                    <w:tr2bl w:val="nil"/>
                  </w:tcBorders>
                  <w:noWrap w:val="0"/>
                  <w:vAlign w:val="center"/>
                </w:tcPr>
                <w:p w14:paraId="2B060B93">
                  <w:pPr>
                    <w:keepNext w:val="0"/>
                    <w:keepLines w:val="0"/>
                    <w:widowControl/>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u w:val="none"/>
                      <w:lang w:val="en-US" w:eastAsia="zh-CN" w:bidi="ar-SA"/>
                    </w:rPr>
                  </w:pPr>
                </w:p>
              </w:tc>
              <w:tc>
                <w:tcPr>
                  <w:tcW w:w="1171" w:type="pct"/>
                  <w:vMerge w:val="continue"/>
                  <w:tcBorders>
                    <w:tl2br w:val="nil"/>
                    <w:tr2bl w:val="nil"/>
                  </w:tcBorders>
                  <w:noWrap w:val="0"/>
                  <w:vAlign w:val="center"/>
                </w:tcPr>
                <w:p w14:paraId="7CEDB4BF">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auto"/>
                      <w:sz w:val="21"/>
                      <w:szCs w:val="21"/>
                      <w:highlight w:val="none"/>
                      <w:u w:val="none"/>
                    </w:rPr>
                  </w:pPr>
                </w:p>
              </w:tc>
              <w:tc>
                <w:tcPr>
                  <w:tcW w:w="703" w:type="pct"/>
                  <w:vMerge w:val="continue"/>
                  <w:tcBorders>
                    <w:tl2br w:val="nil"/>
                    <w:tr2bl w:val="nil"/>
                  </w:tcBorders>
                  <w:noWrap w:val="0"/>
                  <w:vAlign w:val="center"/>
                </w:tcPr>
                <w:p w14:paraId="5E4B6ECB">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auto"/>
                      <w:sz w:val="21"/>
                      <w:szCs w:val="21"/>
                      <w:highlight w:val="none"/>
                      <w:u w:val="none"/>
                      <w:lang w:val="en-US" w:eastAsia="zh-CN"/>
                    </w:rPr>
                  </w:pPr>
                </w:p>
              </w:tc>
              <w:tc>
                <w:tcPr>
                  <w:tcW w:w="643" w:type="pct"/>
                  <w:tcBorders>
                    <w:tl2br w:val="nil"/>
                    <w:tr2bl w:val="nil"/>
                  </w:tcBorders>
                  <w:noWrap w:val="0"/>
                  <w:vAlign w:val="center"/>
                </w:tcPr>
                <w:p w14:paraId="329B8FF2">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1季度</w:t>
                  </w:r>
                </w:p>
              </w:tc>
              <w:tc>
                <w:tcPr>
                  <w:tcW w:w="646" w:type="pct"/>
                  <w:tcBorders>
                    <w:tl2br w:val="nil"/>
                    <w:tr2bl w:val="nil"/>
                  </w:tcBorders>
                  <w:noWrap w:val="0"/>
                  <w:vAlign w:val="center"/>
                </w:tcPr>
                <w:p w14:paraId="170C66F0">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2季度</w:t>
                  </w:r>
                </w:p>
              </w:tc>
              <w:tc>
                <w:tcPr>
                  <w:tcW w:w="646" w:type="pct"/>
                  <w:tcBorders>
                    <w:tl2br w:val="nil"/>
                    <w:tr2bl w:val="nil"/>
                  </w:tcBorders>
                  <w:noWrap w:val="0"/>
                  <w:vAlign w:val="center"/>
                </w:tcPr>
                <w:p w14:paraId="1E0E0C4E">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3季度</w:t>
                  </w:r>
                </w:p>
              </w:tc>
              <w:tc>
                <w:tcPr>
                  <w:tcW w:w="649" w:type="pct"/>
                  <w:tcBorders>
                    <w:right w:val="single" w:color="auto" w:sz="4" w:space="0"/>
                    <w:tl2br w:val="nil"/>
                    <w:tr2bl w:val="nil"/>
                  </w:tcBorders>
                  <w:noWrap w:val="0"/>
                  <w:vAlign w:val="center"/>
                </w:tcPr>
                <w:p w14:paraId="4002A4D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4季度</w:t>
                  </w:r>
                </w:p>
              </w:tc>
            </w:tr>
            <w:tr w14:paraId="2C3BD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tblHeader/>
                <w:jc w:val="center"/>
              </w:trPr>
              <w:tc>
                <w:tcPr>
                  <w:tcW w:w="540" w:type="pct"/>
                  <w:tcBorders>
                    <w:tl2br w:val="nil"/>
                    <w:tr2bl w:val="nil"/>
                  </w:tcBorders>
                  <w:noWrap w:val="0"/>
                  <w:vAlign w:val="center"/>
                </w:tcPr>
                <w:p w14:paraId="19F1C5B7">
                  <w:pPr>
                    <w:keepNext w:val="0"/>
                    <w:keepLines w:val="0"/>
                    <w:suppressLineNumbers w:val="0"/>
                    <w:adjustRightInd w:val="0"/>
                    <w:snapToGrid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澄潭江</w:t>
                  </w:r>
                </w:p>
              </w:tc>
              <w:tc>
                <w:tcPr>
                  <w:tcW w:w="1171" w:type="pct"/>
                  <w:tcBorders>
                    <w:tl2br w:val="nil"/>
                    <w:tr2bl w:val="nil"/>
                  </w:tcBorders>
                  <w:noWrap w:val="0"/>
                  <w:vAlign w:val="center"/>
                </w:tcPr>
                <w:p w14:paraId="5CC8DF0F">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王仙镇自来水厂饮用水水源保护区</w:t>
                  </w:r>
                </w:p>
              </w:tc>
              <w:tc>
                <w:tcPr>
                  <w:tcW w:w="703" w:type="pct"/>
                  <w:tcBorders>
                    <w:tl2br w:val="nil"/>
                    <w:tr2bl w:val="nil"/>
                  </w:tcBorders>
                  <w:noWrap w:val="0"/>
                  <w:vAlign w:val="center"/>
                </w:tcPr>
                <w:p w14:paraId="0A7842D2">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Ⅲ</w:t>
                  </w:r>
                </w:p>
              </w:tc>
              <w:tc>
                <w:tcPr>
                  <w:tcW w:w="643" w:type="pct"/>
                  <w:tcBorders>
                    <w:tl2br w:val="nil"/>
                    <w:tr2bl w:val="nil"/>
                  </w:tcBorders>
                  <w:noWrap w:val="0"/>
                  <w:vAlign w:val="center"/>
                </w:tcPr>
                <w:p w14:paraId="5BF1FD79">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u w:val="none"/>
                    </w:rPr>
                    <w:t>Ⅲ</w:t>
                  </w:r>
                </w:p>
              </w:tc>
              <w:tc>
                <w:tcPr>
                  <w:tcW w:w="646" w:type="pct"/>
                  <w:tcBorders>
                    <w:tl2br w:val="nil"/>
                    <w:tr2bl w:val="nil"/>
                  </w:tcBorders>
                  <w:noWrap w:val="0"/>
                  <w:vAlign w:val="center"/>
                </w:tcPr>
                <w:p w14:paraId="3FEF8333">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u w:val="none"/>
                    </w:rPr>
                    <w:t>Ⅲ</w:t>
                  </w:r>
                </w:p>
              </w:tc>
              <w:tc>
                <w:tcPr>
                  <w:tcW w:w="646" w:type="pct"/>
                  <w:tcBorders>
                    <w:tl2br w:val="nil"/>
                    <w:tr2bl w:val="nil"/>
                  </w:tcBorders>
                  <w:noWrap w:val="0"/>
                  <w:vAlign w:val="center"/>
                </w:tcPr>
                <w:p w14:paraId="64C7E4A4">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u w:val="none"/>
                    </w:rPr>
                    <w:t>Ⅲ</w:t>
                  </w:r>
                </w:p>
              </w:tc>
              <w:tc>
                <w:tcPr>
                  <w:tcW w:w="649" w:type="pct"/>
                  <w:tcBorders>
                    <w:tl2br w:val="nil"/>
                    <w:tr2bl w:val="nil"/>
                  </w:tcBorders>
                  <w:noWrap w:val="0"/>
                  <w:vAlign w:val="center"/>
                </w:tcPr>
                <w:p w14:paraId="143774F8">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u w:val="none"/>
                    </w:rPr>
                    <w:t>Ⅲ</w:t>
                  </w:r>
                </w:p>
              </w:tc>
            </w:tr>
          </w:tbl>
          <w:p w14:paraId="65FB550D">
            <w:pPr>
              <w:keepNext w:val="0"/>
              <w:keepLines w:val="0"/>
              <w:widowControl w:val="0"/>
              <w:suppressLineNumbers w:val="0"/>
              <w:spacing w:before="157" w:beforeLines="50" w:beforeAutospacing="0" w:after="0" w:afterAutospacing="0" w:line="360" w:lineRule="auto"/>
              <w:ind w:left="0" w:right="0" w:firstLine="480" w:firstLineChars="200"/>
              <w:jc w:val="both"/>
              <w:rPr>
                <w:rFonts w:hint="default" w:ascii="Times New Roman" w:hAnsi="宋体" w:eastAsia="宋体" w:cs="Times New Roman"/>
                <w:snapToGrid w:val="0"/>
                <w:color w:val="auto"/>
                <w:kern w:val="2"/>
                <w:sz w:val="24"/>
                <w:szCs w:val="24"/>
                <w:u w:val="none"/>
                <w:lang w:val="en-US" w:eastAsia="zh-CN" w:bidi="ar-SA"/>
              </w:rPr>
            </w:pPr>
            <w:r>
              <w:rPr>
                <w:rFonts w:hint="default" w:ascii="Times New Roman" w:hAnsi="Times New Roman" w:eastAsia="宋体" w:cs="Times New Roman"/>
                <w:strike w:val="0"/>
                <w:dstrike w:val="0"/>
                <w:color w:val="auto"/>
                <w:kern w:val="2"/>
                <w:sz w:val="24"/>
                <w:szCs w:val="24"/>
                <w:u w:val="none"/>
                <w:lang w:val="en-US" w:eastAsia="zh-CN" w:bidi="ar-SA"/>
              </w:rPr>
              <w:t>根据上表数据可知，</w:t>
            </w:r>
            <w:r>
              <w:rPr>
                <w:rFonts w:hint="eastAsia" w:ascii="Times New Roman" w:hAnsi="Times New Roman" w:eastAsia="宋体" w:cs="Times New Roman"/>
                <w:strike w:val="0"/>
                <w:dstrike w:val="0"/>
                <w:color w:val="auto"/>
                <w:kern w:val="2"/>
                <w:sz w:val="24"/>
                <w:szCs w:val="24"/>
                <w:u w:val="none"/>
                <w:lang w:val="en-US" w:eastAsia="zh-CN" w:bidi="ar-SA"/>
              </w:rPr>
              <w:t>王仙镇自来水厂饮用水水源保护区断面</w:t>
            </w:r>
            <w:r>
              <w:rPr>
                <w:rFonts w:hint="default" w:ascii="Times New Roman" w:hAnsi="Times New Roman" w:eastAsia="宋体" w:cs="Times New Roman"/>
                <w:strike w:val="0"/>
                <w:dstrike w:val="0"/>
                <w:color w:val="auto"/>
                <w:kern w:val="2"/>
                <w:sz w:val="24"/>
                <w:szCs w:val="24"/>
                <w:u w:val="none"/>
                <w:lang w:val="en-US" w:eastAsia="zh-CN" w:bidi="ar-SA"/>
              </w:rPr>
              <w:t>满足《地表水环境质量标准》（GB3838-2002）Ⅲ类水质标准限值，因此项目区域水环境质量现状较好。</w:t>
            </w:r>
          </w:p>
          <w:p w14:paraId="13C6B0E5">
            <w:pPr>
              <w:pStyle w:val="10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textAlignment w:val="auto"/>
              <w:rPr>
                <w:rFonts w:hint="eastAsia"/>
                <w:snapToGrid w:val="0"/>
                <w:color w:val="auto"/>
                <w:highlight w:val="yellow"/>
                <w:u w:val="none"/>
                <w:lang w:val="en-US" w:eastAsia="zh-CN"/>
              </w:rPr>
            </w:pPr>
            <w:r>
              <w:rPr>
                <w:rFonts w:hint="eastAsia"/>
                <w:snapToGrid w:val="0"/>
                <w:color w:val="auto"/>
                <w:highlight w:val="none"/>
                <w:u w:val="none"/>
                <w:lang w:val="en-US" w:eastAsia="zh-CN"/>
              </w:rPr>
              <w:t>3、声环境质量现状</w:t>
            </w:r>
          </w:p>
          <w:p w14:paraId="7C6C3D99">
            <w:pPr>
              <w:pStyle w:val="109"/>
              <w:keepNext w:val="0"/>
              <w:keepLines w:val="0"/>
              <w:suppressLineNumbers w:val="0"/>
              <w:spacing w:before="0" w:beforeAutospacing="0" w:after="0" w:afterAutospacing="0"/>
              <w:ind w:left="0" w:right="0" w:firstLine="482"/>
              <w:rPr>
                <w:rFonts w:hint="eastAsia"/>
                <w:b w:val="0"/>
                <w:bCs/>
                <w:snapToGrid w:val="0"/>
                <w:color w:val="auto"/>
                <w:u w:val="none"/>
              </w:rPr>
            </w:pPr>
            <w:r>
              <w:rPr>
                <w:rFonts w:hint="eastAsia"/>
                <w:b w:val="0"/>
                <w:bCs/>
                <w:snapToGrid w:val="0"/>
                <w:color w:val="auto"/>
                <w:u w:val="none"/>
              </w:rPr>
              <w:t>根据《建设项目环境影响报告表编制技术指南（污染影响类）》（试行），需要监测厂界外周边50m范围内存在的声环境保护目标。</w:t>
            </w:r>
            <w:r>
              <w:rPr>
                <w:rFonts w:hint="eastAsia"/>
                <w:b w:val="0"/>
                <w:bCs/>
                <w:snapToGrid w:val="0"/>
                <w:color w:val="auto"/>
                <w:u w:val="none"/>
                <w:lang w:val="en-US" w:eastAsia="zh-CN"/>
              </w:rPr>
              <w:t>本项目夜间不生产，</w:t>
            </w:r>
            <w:r>
              <w:rPr>
                <w:rFonts w:hint="eastAsia"/>
                <w:b w:val="0"/>
                <w:bCs/>
                <w:snapToGrid w:val="0"/>
                <w:color w:val="auto"/>
                <w:u w:val="none"/>
              </w:rPr>
              <w:t>为了解项目周边声环境现状，本次评价</w:t>
            </w:r>
            <w:r>
              <w:rPr>
                <w:rFonts w:hint="eastAsia"/>
                <w:b w:val="0"/>
                <w:bCs/>
                <w:snapToGrid w:val="0"/>
                <w:color w:val="auto"/>
                <w:u w:val="none"/>
                <w:lang w:val="en-US" w:eastAsia="zh-CN"/>
              </w:rPr>
              <w:t>委托湖南泰华科技检测有限公司</w:t>
            </w:r>
            <w:r>
              <w:rPr>
                <w:rFonts w:hint="eastAsia"/>
                <w:b w:val="0"/>
                <w:bCs/>
                <w:snapToGrid w:val="0"/>
                <w:color w:val="auto"/>
                <w:u w:val="none"/>
              </w:rPr>
              <w:t>对项目厂界周边敏感点声环境现状进行监测，监测结果见下表。</w:t>
            </w:r>
          </w:p>
          <w:p w14:paraId="7F846728">
            <w:pPr>
              <w:pStyle w:val="109"/>
              <w:keepNext w:val="0"/>
              <w:keepLines w:val="0"/>
              <w:suppressLineNumbers w:val="0"/>
              <w:spacing w:before="0" w:beforeAutospacing="0" w:after="0" w:afterAutospacing="0" w:line="240" w:lineRule="auto"/>
              <w:ind w:left="0" w:right="0" w:firstLine="482"/>
              <w:jc w:val="center"/>
              <w:rPr>
                <w:rFonts w:hint="eastAsia"/>
                <w:b/>
                <w:bCs w:val="0"/>
                <w:snapToGrid w:val="0"/>
                <w:color w:val="auto"/>
                <w:sz w:val="21"/>
                <w:szCs w:val="21"/>
                <w:highlight w:val="none"/>
                <w:u w:val="none"/>
                <w:lang w:val="en-US" w:eastAsia="zh-CN"/>
              </w:rPr>
            </w:pPr>
            <w:r>
              <w:rPr>
                <w:rFonts w:hint="eastAsia"/>
                <w:b/>
                <w:bCs w:val="0"/>
                <w:snapToGrid w:val="0"/>
                <w:color w:val="auto"/>
                <w:sz w:val="21"/>
                <w:szCs w:val="21"/>
                <w:highlight w:val="none"/>
                <w:u w:val="none"/>
                <w:lang w:val="en-US" w:eastAsia="zh-CN"/>
              </w:rPr>
              <w:t>表3-4 声环境质量及环境噪声现状监测结果 单位：dB(A)</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1"/>
              <w:gridCol w:w="2562"/>
              <w:gridCol w:w="1205"/>
              <w:gridCol w:w="829"/>
              <w:gridCol w:w="1644"/>
              <w:gridCol w:w="1703"/>
            </w:tblGrid>
            <w:tr w14:paraId="1587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458" w:type="pct"/>
                  <w:noWrap w:val="0"/>
                  <w:vAlign w:val="center"/>
                </w:tcPr>
                <w:p w14:paraId="70578CBB">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baseline"/>
                    <w:rPr>
                      <w:rFonts w:hint="default" w:ascii="Times New Roman" w:hAnsi="Times New Roman" w:eastAsia="宋体"/>
                      <w:b/>
                      <w:bCs/>
                      <w:sz w:val="21"/>
                      <w:szCs w:val="21"/>
                    </w:rPr>
                  </w:pPr>
                  <w:r>
                    <w:rPr>
                      <w:rFonts w:hint="default" w:ascii="Times New Roman" w:hAnsi="Times New Roman" w:eastAsia="宋体"/>
                      <w:b/>
                      <w:bCs/>
                      <w:sz w:val="21"/>
                      <w:szCs w:val="21"/>
                    </w:rPr>
                    <w:t>检测类型</w:t>
                  </w:r>
                </w:p>
              </w:tc>
              <w:tc>
                <w:tcPr>
                  <w:tcW w:w="1465" w:type="pct"/>
                  <w:noWrap w:val="0"/>
                  <w:vAlign w:val="center"/>
                </w:tcPr>
                <w:p w14:paraId="1331462C">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baseline"/>
                    <w:rPr>
                      <w:rFonts w:hint="default" w:ascii="Times New Roman" w:hAnsi="Times New Roman" w:eastAsia="宋体"/>
                      <w:b/>
                      <w:bCs/>
                      <w:sz w:val="21"/>
                      <w:szCs w:val="21"/>
                    </w:rPr>
                  </w:pPr>
                  <w:r>
                    <w:rPr>
                      <w:rFonts w:hint="default" w:ascii="Times New Roman" w:hAnsi="Times New Roman" w:eastAsia="宋体"/>
                      <w:b/>
                      <w:bCs/>
                      <w:sz w:val="21"/>
                      <w:szCs w:val="21"/>
                    </w:rPr>
                    <w:t>采样点位</w:t>
                  </w:r>
                </w:p>
              </w:tc>
              <w:tc>
                <w:tcPr>
                  <w:tcW w:w="1163" w:type="pct"/>
                  <w:gridSpan w:val="2"/>
                  <w:noWrap w:val="0"/>
                  <w:vAlign w:val="center"/>
                </w:tcPr>
                <w:p w14:paraId="18291C6E">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baseline"/>
                    <w:rPr>
                      <w:rFonts w:hint="default" w:ascii="Times New Roman" w:hAnsi="Times New Roman" w:eastAsia="宋体"/>
                      <w:b/>
                      <w:bCs/>
                      <w:sz w:val="21"/>
                      <w:szCs w:val="21"/>
                    </w:rPr>
                  </w:pPr>
                  <w:r>
                    <w:rPr>
                      <w:rFonts w:hint="default" w:ascii="Times New Roman" w:hAnsi="Times New Roman" w:eastAsia="宋体"/>
                      <w:b/>
                      <w:bCs/>
                      <w:sz w:val="21"/>
                      <w:szCs w:val="21"/>
                    </w:rPr>
                    <w:t>采样时间</w:t>
                  </w:r>
                </w:p>
              </w:tc>
              <w:tc>
                <w:tcPr>
                  <w:tcW w:w="940" w:type="pct"/>
                  <w:noWrap w:val="0"/>
                  <w:vAlign w:val="center"/>
                </w:tcPr>
                <w:p w14:paraId="3A1DBC1E">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baseline"/>
                    <w:rPr>
                      <w:rFonts w:hint="default" w:ascii="Times New Roman" w:hAnsi="Times New Roman" w:eastAsia="宋体"/>
                      <w:b/>
                      <w:bCs/>
                      <w:color w:val="000000"/>
                      <w:sz w:val="21"/>
                      <w:szCs w:val="21"/>
                      <w:lang w:val="en-US" w:eastAsia="zh-CN" w:bidi="ar-SA"/>
                    </w:rPr>
                  </w:pPr>
                  <w:r>
                    <w:rPr>
                      <w:rFonts w:hint="default" w:ascii="Times New Roman" w:hAnsi="Times New Roman" w:eastAsia="宋体"/>
                      <w:b/>
                      <w:bCs/>
                      <w:sz w:val="21"/>
                      <w:szCs w:val="21"/>
                    </w:rPr>
                    <w:t>检测值[dB（A）]</w:t>
                  </w:r>
                </w:p>
              </w:tc>
              <w:tc>
                <w:tcPr>
                  <w:tcW w:w="973" w:type="pct"/>
                  <w:noWrap w:val="0"/>
                  <w:vAlign w:val="center"/>
                </w:tcPr>
                <w:p w14:paraId="2011FD06">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baseline"/>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标准限值</w:t>
                  </w:r>
                  <w:r>
                    <w:rPr>
                      <w:rFonts w:hint="default" w:ascii="Times New Roman" w:hAnsi="Times New Roman" w:eastAsia="宋体"/>
                      <w:b/>
                      <w:bCs/>
                      <w:sz w:val="21"/>
                      <w:szCs w:val="21"/>
                    </w:rPr>
                    <w:t>[dB（A）]</w:t>
                  </w:r>
                </w:p>
              </w:tc>
            </w:tr>
            <w:tr w14:paraId="4645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1" w:type="dxa"/>
                  <w:vMerge w:val="restart"/>
                  <w:noWrap w:val="0"/>
                  <w:vAlign w:val="center"/>
                </w:tcPr>
                <w:p w14:paraId="474ECBC7">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sz w:val="21"/>
                      <w:szCs w:val="21"/>
                    </w:rPr>
                  </w:pPr>
                  <w:r>
                    <w:rPr>
                      <w:rFonts w:hint="default" w:ascii="Times New Roman" w:hAnsi="Times New Roman" w:eastAsia="宋体"/>
                      <w:sz w:val="21"/>
                      <w:szCs w:val="21"/>
                    </w:rPr>
                    <w:t>噪声</w:t>
                  </w:r>
                </w:p>
              </w:tc>
              <w:tc>
                <w:tcPr>
                  <w:tcW w:w="2562" w:type="dxa"/>
                  <w:noWrap w:val="0"/>
                  <w:vAlign w:val="center"/>
                </w:tcPr>
                <w:p w14:paraId="1F09BBF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s="Times New Roman"/>
                      <w:i w:val="0"/>
                      <w:iCs w:val="0"/>
                      <w:color w:val="000000"/>
                      <w:kern w:val="0"/>
                      <w:sz w:val="21"/>
                      <w:szCs w:val="21"/>
                      <w:u w:val="none"/>
                      <w:lang w:val="en-US" w:eastAsia="zh-CN" w:bidi="ar"/>
                    </w:rPr>
                  </w:pPr>
                  <w:r>
                    <w:rPr>
                      <w:rFonts w:hint="eastAsia" w:ascii="Times New Roman" w:hAnsi="Times New Roman" w:cs="Times New Roman"/>
                      <w:i w:val="0"/>
                      <w:iCs w:val="0"/>
                      <w:kern w:val="2"/>
                      <w:sz w:val="21"/>
                      <w:szCs w:val="24"/>
                      <w:u w:val="none"/>
                      <w:lang w:val="en-US" w:eastAsia="zh-CN" w:bidi="ar"/>
                    </w:rPr>
                    <w:t>项目</w:t>
                  </w:r>
                  <w:r>
                    <w:rPr>
                      <w:rFonts w:hint="eastAsia" w:ascii="Times New Roman" w:hAnsi="Times New Roman" w:eastAsia="宋体" w:cs="Times New Roman"/>
                      <w:i w:val="0"/>
                      <w:iCs w:val="0"/>
                      <w:kern w:val="2"/>
                      <w:sz w:val="21"/>
                      <w:szCs w:val="24"/>
                      <w:u w:val="none"/>
                      <w:lang w:val="en-US" w:eastAsia="zh-CN" w:bidi="ar"/>
                    </w:rPr>
                    <w:t>厂界东侧外1mN1</w:t>
                  </w:r>
                </w:p>
              </w:tc>
              <w:tc>
                <w:tcPr>
                  <w:tcW w:w="1205" w:type="dxa"/>
                  <w:vMerge w:val="restart"/>
                  <w:noWrap w:val="0"/>
                  <w:vAlign w:val="center"/>
                </w:tcPr>
                <w:p w14:paraId="6ADDB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color w:val="000000"/>
                      <w:szCs w:val="21"/>
                    </w:rPr>
                  </w:pPr>
                  <w:r>
                    <w:rPr>
                      <w:rFonts w:hint="eastAsia" w:cs="Times New Roman"/>
                      <w:bCs/>
                      <w:sz w:val="21"/>
                      <w:szCs w:val="21"/>
                      <w:highlight w:val="none"/>
                      <w:lang w:val="en-US" w:eastAsia="zh-CN"/>
                    </w:rPr>
                    <w:t>2024.10.25</w:t>
                  </w:r>
                </w:p>
              </w:tc>
              <w:tc>
                <w:tcPr>
                  <w:tcW w:w="829" w:type="dxa"/>
                  <w:noWrap w:val="0"/>
                  <w:vAlign w:val="center"/>
                </w:tcPr>
                <w:p w14:paraId="1952965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szCs w:val="21"/>
                    </w:rPr>
                  </w:pPr>
                  <w:r>
                    <w:rPr>
                      <w:rFonts w:hint="default"/>
                      <w:szCs w:val="21"/>
                    </w:rPr>
                    <w:t>昼间</w:t>
                  </w:r>
                </w:p>
              </w:tc>
              <w:tc>
                <w:tcPr>
                  <w:tcW w:w="1644" w:type="dxa"/>
                  <w:noWrap w:val="0"/>
                  <w:vAlign w:val="center"/>
                </w:tcPr>
                <w:p w14:paraId="262320C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color w:val="000000"/>
                      <w:szCs w:val="21"/>
                      <w:lang w:val="en-US" w:eastAsia="zh-CN"/>
                    </w:rPr>
                  </w:pPr>
                  <w:r>
                    <w:rPr>
                      <w:rFonts w:hint="eastAsia"/>
                      <w:color w:val="000000"/>
                      <w:szCs w:val="21"/>
                      <w:lang w:val="en-US" w:eastAsia="zh-CN"/>
                    </w:rPr>
                    <w:t>55</w:t>
                  </w:r>
                </w:p>
              </w:tc>
              <w:tc>
                <w:tcPr>
                  <w:tcW w:w="1703" w:type="dxa"/>
                  <w:noWrap w:val="0"/>
                  <w:vAlign w:val="center"/>
                </w:tcPr>
                <w:p w14:paraId="57420D2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rPr>
                  </w:pPr>
                  <w:r>
                    <w:rPr>
                      <w:rFonts w:hint="eastAsia"/>
                      <w:color w:val="000000"/>
                      <w:szCs w:val="21"/>
                      <w:lang w:val="en-US" w:eastAsia="zh-CN"/>
                    </w:rPr>
                    <w:t>60</w:t>
                  </w:r>
                </w:p>
              </w:tc>
            </w:tr>
            <w:tr w14:paraId="0AD7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1" w:type="dxa"/>
                  <w:vMerge w:val="continue"/>
                  <w:noWrap w:val="0"/>
                  <w:vAlign w:val="center"/>
                </w:tcPr>
                <w:p w14:paraId="51EE9617">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sz w:val="21"/>
                      <w:szCs w:val="21"/>
                    </w:rPr>
                  </w:pPr>
                </w:p>
              </w:tc>
              <w:tc>
                <w:tcPr>
                  <w:tcW w:w="2562" w:type="dxa"/>
                  <w:noWrap w:val="0"/>
                  <w:vAlign w:val="center"/>
                </w:tcPr>
                <w:p w14:paraId="75D6B5A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s="Times New Roman"/>
                      <w:i w:val="0"/>
                      <w:iCs w:val="0"/>
                      <w:color w:val="000000"/>
                      <w:kern w:val="0"/>
                      <w:sz w:val="21"/>
                      <w:szCs w:val="21"/>
                      <w:u w:val="none"/>
                      <w:lang w:val="en-US" w:eastAsia="zh-CN" w:bidi="ar"/>
                    </w:rPr>
                  </w:pPr>
                  <w:r>
                    <w:rPr>
                      <w:rFonts w:hint="eastAsia" w:ascii="Times New Roman" w:hAnsi="Times New Roman" w:cs="Times New Roman"/>
                    </w:rPr>
                    <w:t>项目厂界</w:t>
                  </w:r>
                  <w:r>
                    <w:rPr>
                      <w:rFonts w:hint="eastAsia" w:ascii="Times New Roman" w:hAnsi="Times New Roman" w:cs="Times New Roman"/>
                      <w:lang w:val="en-US" w:eastAsia="zh-CN"/>
                    </w:rPr>
                    <w:t>南</w:t>
                  </w:r>
                  <w:r>
                    <w:rPr>
                      <w:rFonts w:hint="eastAsia" w:ascii="Times New Roman" w:hAnsi="Times New Roman" w:cs="Times New Roman"/>
                    </w:rPr>
                    <w:t>侧外1mN</w:t>
                  </w:r>
                  <w:r>
                    <w:rPr>
                      <w:rFonts w:hint="eastAsia" w:ascii="Times New Roman" w:hAnsi="Times New Roman" w:cs="Times New Roman"/>
                      <w:lang w:val="en-US" w:eastAsia="zh-CN"/>
                    </w:rPr>
                    <w:t>2</w:t>
                  </w:r>
                </w:p>
              </w:tc>
              <w:tc>
                <w:tcPr>
                  <w:tcW w:w="1205" w:type="dxa"/>
                  <w:vMerge w:val="continue"/>
                  <w:noWrap w:val="0"/>
                  <w:vAlign w:val="center"/>
                </w:tcPr>
                <w:p w14:paraId="7796595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color w:val="000000"/>
                      <w:szCs w:val="21"/>
                    </w:rPr>
                  </w:pPr>
                </w:p>
              </w:tc>
              <w:tc>
                <w:tcPr>
                  <w:tcW w:w="829" w:type="dxa"/>
                  <w:noWrap w:val="0"/>
                  <w:vAlign w:val="center"/>
                </w:tcPr>
                <w:p w14:paraId="5C6D790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szCs w:val="21"/>
                    </w:rPr>
                  </w:pPr>
                  <w:r>
                    <w:rPr>
                      <w:rFonts w:hint="default"/>
                      <w:szCs w:val="21"/>
                    </w:rPr>
                    <w:t>昼间</w:t>
                  </w:r>
                </w:p>
              </w:tc>
              <w:tc>
                <w:tcPr>
                  <w:tcW w:w="1644" w:type="dxa"/>
                  <w:noWrap w:val="0"/>
                  <w:vAlign w:val="center"/>
                </w:tcPr>
                <w:p w14:paraId="0EA2792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color w:val="000000"/>
                      <w:szCs w:val="21"/>
                      <w:lang w:val="en-US" w:eastAsia="zh-CN"/>
                    </w:rPr>
                  </w:pPr>
                  <w:r>
                    <w:rPr>
                      <w:rFonts w:hint="eastAsia"/>
                      <w:color w:val="000000"/>
                      <w:szCs w:val="21"/>
                      <w:lang w:val="en-US" w:eastAsia="zh-CN"/>
                    </w:rPr>
                    <w:t>53</w:t>
                  </w:r>
                </w:p>
              </w:tc>
              <w:tc>
                <w:tcPr>
                  <w:tcW w:w="1703" w:type="dxa"/>
                  <w:noWrap w:val="0"/>
                  <w:vAlign w:val="center"/>
                </w:tcPr>
                <w:p w14:paraId="7347CD9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rPr>
                  </w:pPr>
                  <w:r>
                    <w:rPr>
                      <w:rFonts w:hint="eastAsia"/>
                    </w:rPr>
                    <w:t>60</w:t>
                  </w:r>
                </w:p>
              </w:tc>
            </w:tr>
            <w:tr w14:paraId="2CE4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1" w:type="dxa"/>
                  <w:vMerge w:val="continue"/>
                  <w:noWrap w:val="0"/>
                  <w:vAlign w:val="center"/>
                </w:tcPr>
                <w:p w14:paraId="192F264B">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sz w:val="21"/>
                      <w:szCs w:val="21"/>
                    </w:rPr>
                  </w:pPr>
                </w:p>
              </w:tc>
              <w:tc>
                <w:tcPr>
                  <w:tcW w:w="2562" w:type="dxa"/>
                  <w:noWrap w:val="0"/>
                  <w:vAlign w:val="center"/>
                </w:tcPr>
                <w:p w14:paraId="2F4FFCC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s="Times New Roman"/>
                      <w:i w:val="0"/>
                      <w:iCs w:val="0"/>
                      <w:color w:val="000000"/>
                      <w:kern w:val="0"/>
                      <w:sz w:val="21"/>
                      <w:szCs w:val="21"/>
                      <w:u w:val="none"/>
                      <w:lang w:val="en-US" w:eastAsia="zh-CN" w:bidi="ar"/>
                    </w:rPr>
                  </w:pPr>
                  <w:r>
                    <w:rPr>
                      <w:rFonts w:hint="eastAsia"/>
                    </w:rPr>
                    <w:t>项目厂界</w:t>
                  </w:r>
                  <w:r>
                    <w:rPr>
                      <w:rFonts w:hint="eastAsia"/>
                      <w:lang w:val="en-US" w:eastAsia="zh-CN"/>
                    </w:rPr>
                    <w:t>西</w:t>
                  </w:r>
                  <w:r>
                    <w:rPr>
                      <w:rFonts w:hint="eastAsia"/>
                    </w:rPr>
                    <w:t>侧外1mN</w:t>
                  </w:r>
                  <w:r>
                    <w:rPr>
                      <w:rFonts w:hint="eastAsia"/>
                      <w:lang w:val="en-US" w:eastAsia="zh-CN"/>
                    </w:rPr>
                    <w:t>3</w:t>
                  </w:r>
                </w:p>
              </w:tc>
              <w:tc>
                <w:tcPr>
                  <w:tcW w:w="1205" w:type="dxa"/>
                  <w:vMerge w:val="continue"/>
                  <w:noWrap w:val="0"/>
                  <w:vAlign w:val="center"/>
                </w:tcPr>
                <w:p w14:paraId="63BCDEC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color w:val="000000"/>
                      <w:szCs w:val="21"/>
                    </w:rPr>
                  </w:pPr>
                </w:p>
              </w:tc>
              <w:tc>
                <w:tcPr>
                  <w:tcW w:w="829" w:type="dxa"/>
                  <w:noWrap w:val="0"/>
                  <w:vAlign w:val="center"/>
                </w:tcPr>
                <w:p w14:paraId="34A1510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szCs w:val="21"/>
                    </w:rPr>
                  </w:pPr>
                  <w:r>
                    <w:rPr>
                      <w:rFonts w:hint="default"/>
                      <w:szCs w:val="21"/>
                    </w:rPr>
                    <w:t>昼间</w:t>
                  </w:r>
                </w:p>
              </w:tc>
              <w:tc>
                <w:tcPr>
                  <w:tcW w:w="1644" w:type="dxa"/>
                  <w:noWrap w:val="0"/>
                  <w:vAlign w:val="center"/>
                </w:tcPr>
                <w:p w14:paraId="2CA4026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color w:val="000000"/>
                      <w:szCs w:val="21"/>
                      <w:lang w:val="en-US" w:eastAsia="zh-CN"/>
                    </w:rPr>
                  </w:pPr>
                  <w:r>
                    <w:rPr>
                      <w:rFonts w:hint="eastAsia"/>
                      <w:color w:val="000000"/>
                      <w:szCs w:val="21"/>
                      <w:lang w:val="en-US" w:eastAsia="zh-CN"/>
                    </w:rPr>
                    <w:t>54</w:t>
                  </w:r>
                </w:p>
              </w:tc>
              <w:tc>
                <w:tcPr>
                  <w:tcW w:w="1703" w:type="dxa"/>
                  <w:noWrap w:val="0"/>
                  <w:vAlign w:val="center"/>
                </w:tcPr>
                <w:p w14:paraId="6290B63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rPr>
                  </w:pPr>
                  <w:r>
                    <w:rPr>
                      <w:rFonts w:hint="eastAsia"/>
                    </w:rPr>
                    <w:t>60</w:t>
                  </w:r>
                </w:p>
              </w:tc>
            </w:tr>
            <w:tr w14:paraId="3BD8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1" w:type="dxa"/>
                  <w:vMerge w:val="continue"/>
                  <w:noWrap w:val="0"/>
                  <w:vAlign w:val="center"/>
                </w:tcPr>
                <w:p w14:paraId="035C6236">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sz w:val="21"/>
                      <w:szCs w:val="21"/>
                    </w:rPr>
                  </w:pPr>
                </w:p>
              </w:tc>
              <w:tc>
                <w:tcPr>
                  <w:tcW w:w="2562" w:type="dxa"/>
                  <w:noWrap w:val="0"/>
                  <w:vAlign w:val="center"/>
                </w:tcPr>
                <w:p w14:paraId="01140C8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s="Times New Roman"/>
                      <w:i w:val="0"/>
                      <w:iCs w:val="0"/>
                      <w:color w:val="000000"/>
                      <w:kern w:val="0"/>
                      <w:sz w:val="21"/>
                      <w:szCs w:val="21"/>
                      <w:u w:val="none"/>
                      <w:lang w:val="en-US" w:eastAsia="zh-CN" w:bidi="ar"/>
                    </w:rPr>
                  </w:pPr>
                  <w:r>
                    <w:rPr>
                      <w:rFonts w:hint="eastAsia"/>
                    </w:rPr>
                    <w:t>项目厂界</w:t>
                  </w:r>
                  <w:r>
                    <w:rPr>
                      <w:rFonts w:hint="eastAsia"/>
                      <w:lang w:val="en-US" w:eastAsia="zh-CN"/>
                    </w:rPr>
                    <w:t>北</w:t>
                  </w:r>
                  <w:r>
                    <w:rPr>
                      <w:rFonts w:hint="eastAsia"/>
                    </w:rPr>
                    <w:t>侧外1mN</w:t>
                  </w:r>
                  <w:r>
                    <w:rPr>
                      <w:rFonts w:hint="eastAsia"/>
                      <w:lang w:val="en-US" w:eastAsia="zh-CN"/>
                    </w:rPr>
                    <w:t>4</w:t>
                  </w:r>
                </w:p>
              </w:tc>
              <w:tc>
                <w:tcPr>
                  <w:tcW w:w="1205" w:type="dxa"/>
                  <w:vMerge w:val="continue"/>
                  <w:noWrap w:val="0"/>
                  <w:vAlign w:val="center"/>
                </w:tcPr>
                <w:p w14:paraId="50BFE6A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color w:val="000000"/>
                      <w:szCs w:val="21"/>
                    </w:rPr>
                  </w:pPr>
                </w:p>
              </w:tc>
              <w:tc>
                <w:tcPr>
                  <w:tcW w:w="829" w:type="dxa"/>
                  <w:noWrap w:val="0"/>
                  <w:vAlign w:val="center"/>
                </w:tcPr>
                <w:p w14:paraId="6DF6967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szCs w:val="21"/>
                    </w:rPr>
                  </w:pPr>
                  <w:r>
                    <w:rPr>
                      <w:rFonts w:hint="default"/>
                      <w:szCs w:val="21"/>
                    </w:rPr>
                    <w:t>昼间</w:t>
                  </w:r>
                </w:p>
              </w:tc>
              <w:tc>
                <w:tcPr>
                  <w:tcW w:w="1644" w:type="dxa"/>
                  <w:noWrap w:val="0"/>
                  <w:vAlign w:val="center"/>
                </w:tcPr>
                <w:p w14:paraId="0397887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color w:val="000000"/>
                      <w:szCs w:val="21"/>
                      <w:lang w:val="en-US" w:eastAsia="zh-CN"/>
                    </w:rPr>
                  </w:pPr>
                  <w:r>
                    <w:rPr>
                      <w:rFonts w:hint="eastAsia"/>
                      <w:color w:val="000000"/>
                      <w:szCs w:val="21"/>
                      <w:lang w:val="en-US" w:eastAsia="zh-CN"/>
                    </w:rPr>
                    <w:t>57</w:t>
                  </w:r>
                </w:p>
              </w:tc>
              <w:tc>
                <w:tcPr>
                  <w:tcW w:w="1703" w:type="dxa"/>
                  <w:noWrap w:val="0"/>
                  <w:vAlign w:val="center"/>
                </w:tcPr>
                <w:p w14:paraId="46200FB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rPr>
                  </w:pPr>
                  <w:r>
                    <w:rPr>
                      <w:rFonts w:hint="eastAsia"/>
                    </w:rPr>
                    <w:t>60</w:t>
                  </w:r>
                </w:p>
              </w:tc>
            </w:tr>
            <w:tr w14:paraId="1D4B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1" w:type="dxa"/>
                  <w:vMerge w:val="continue"/>
                  <w:noWrap w:val="0"/>
                  <w:vAlign w:val="center"/>
                </w:tcPr>
                <w:p w14:paraId="358DCF02">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sz w:val="21"/>
                      <w:szCs w:val="21"/>
                    </w:rPr>
                  </w:pPr>
                </w:p>
              </w:tc>
              <w:tc>
                <w:tcPr>
                  <w:tcW w:w="2562" w:type="dxa"/>
                  <w:noWrap w:val="0"/>
                  <w:vAlign w:val="center"/>
                </w:tcPr>
                <w:p w14:paraId="3B74884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sz w:val="21"/>
                      <w:szCs w:val="21"/>
                      <w:lang w:val="en-US" w:eastAsia="zh-CN" w:bidi="ar-SA"/>
                    </w:rPr>
                  </w:pPr>
                  <w:r>
                    <w:rPr>
                      <w:rFonts w:hint="eastAsia" w:cs="Times New Roman"/>
                      <w:i w:val="0"/>
                      <w:iCs w:val="0"/>
                      <w:color w:val="000000"/>
                      <w:kern w:val="0"/>
                      <w:sz w:val="21"/>
                      <w:szCs w:val="21"/>
                      <w:u w:val="none"/>
                      <w:lang w:val="en-US" w:eastAsia="zh-CN" w:bidi="ar"/>
                    </w:rPr>
                    <w:t>厂界北侧居民点N5</w:t>
                  </w:r>
                </w:p>
              </w:tc>
              <w:tc>
                <w:tcPr>
                  <w:tcW w:w="1205" w:type="dxa"/>
                  <w:vMerge w:val="continue"/>
                  <w:noWrap w:val="0"/>
                  <w:vAlign w:val="center"/>
                </w:tcPr>
                <w:p w14:paraId="77E963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color w:val="000000"/>
                      <w:szCs w:val="21"/>
                    </w:rPr>
                  </w:pPr>
                </w:p>
              </w:tc>
              <w:tc>
                <w:tcPr>
                  <w:tcW w:w="829" w:type="dxa"/>
                  <w:noWrap w:val="0"/>
                  <w:vAlign w:val="center"/>
                </w:tcPr>
                <w:p w14:paraId="7CCC6E9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szCs w:val="21"/>
                      <w:lang w:val="en-US" w:eastAsia="zh-CN"/>
                    </w:rPr>
                  </w:pPr>
                  <w:r>
                    <w:rPr>
                      <w:rFonts w:hint="default"/>
                      <w:szCs w:val="21"/>
                    </w:rPr>
                    <w:t>昼间</w:t>
                  </w:r>
                </w:p>
              </w:tc>
              <w:tc>
                <w:tcPr>
                  <w:tcW w:w="1644" w:type="dxa"/>
                  <w:noWrap w:val="0"/>
                  <w:vAlign w:val="center"/>
                </w:tcPr>
                <w:p w14:paraId="5574664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eastAsia="宋体"/>
                      <w:color w:val="000000"/>
                      <w:szCs w:val="21"/>
                      <w:lang w:val="en-US" w:eastAsia="zh-CN"/>
                    </w:rPr>
                  </w:pPr>
                  <w:r>
                    <w:rPr>
                      <w:rFonts w:hint="eastAsia"/>
                      <w:color w:val="000000"/>
                      <w:szCs w:val="21"/>
                      <w:lang w:val="en-US" w:eastAsia="zh-CN"/>
                    </w:rPr>
                    <w:t>54</w:t>
                  </w:r>
                </w:p>
              </w:tc>
              <w:tc>
                <w:tcPr>
                  <w:tcW w:w="1703" w:type="dxa"/>
                  <w:noWrap w:val="0"/>
                  <w:vAlign w:val="center"/>
                </w:tcPr>
                <w:p w14:paraId="2D2BA14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eastAsia="宋体"/>
                      <w:color w:val="000000"/>
                      <w:szCs w:val="21"/>
                      <w:lang w:val="en-US" w:eastAsia="zh-CN"/>
                    </w:rPr>
                  </w:pPr>
                  <w:r>
                    <w:rPr>
                      <w:rFonts w:hint="eastAsia"/>
                    </w:rPr>
                    <w:t>60</w:t>
                  </w:r>
                </w:p>
              </w:tc>
            </w:tr>
            <w:tr w14:paraId="0FEA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801" w:type="dxa"/>
                  <w:vMerge w:val="continue"/>
                  <w:noWrap w:val="0"/>
                  <w:vAlign w:val="center"/>
                </w:tcPr>
                <w:p w14:paraId="007A495A">
                  <w:pPr>
                    <w:pStyle w:val="32"/>
                    <w:keepNext w:val="0"/>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sz w:val="21"/>
                      <w:szCs w:val="21"/>
                    </w:rPr>
                  </w:pPr>
                </w:p>
              </w:tc>
              <w:tc>
                <w:tcPr>
                  <w:tcW w:w="2562" w:type="dxa"/>
                  <w:noWrap w:val="0"/>
                  <w:vAlign w:val="center"/>
                </w:tcPr>
                <w:p w14:paraId="4A12139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rPr>
                    <w:t>厂界</w:t>
                  </w:r>
                  <w:r>
                    <w:rPr>
                      <w:rFonts w:hint="eastAsia"/>
                      <w:lang w:val="en-US" w:eastAsia="zh-CN"/>
                    </w:rPr>
                    <w:t>西</w:t>
                  </w:r>
                  <w:r>
                    <w:rPr>
                      <w:rFonts w:hint="eastAsia"/>
                    </w:rPr>
                    <w:t>侧居民点N</w:t>
                  </w:r>
                  <w:r>
                    <w:rPr>
                      <w:rFonts w:hint="eastAsia"/>
                      <w:lang w:val="en-US" w:eastAsia="zh-CN"/>
                    </w:rPr>
                    <w:t>6</w:t>
                  </w:r>
                </w:p>
              </w:tc>
              <w:tc>
                <w:tcPr>
                  <w:tcW w:w="1205" w:type="dxa"/>
                  <w:vMerge w:val="continue"/>
                  <w:noWrap w:val="0"/>
                  <w:vAlign w:val="center"/>
                </w:tcPr>
                <w:p w14:paraId="71C7276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color w:val="000000"/>
                      <w:szCs w:val="21"/>
                    </w:rPr>
                  </w:pPr>
                </w:p>
              </w:tc>
              <w:tc>
                <w:tcPr>
                  <w:tcW w:w="829" w:type="dxa"/>
                  <w:noWrap w:val="0"/>
                  <w:vAlign w:val="center"/>
                </w:tcPr>
                <w:p w14:paraId="7397438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szCs w:val="21"/>
                    </w:rPr>
                  </w:pPr>
                  <w:r>
                    <w:rPr>
                      <w:rFonts w:hint="default"/>
                      <w:szCs w:val="21"/>
                    </w:rPr>
                    <w:t>昼间</w:t>
                  </w:r>
                </w:p>
              </w:tc>
              <w:tc>
                <w:tcPr>
                  <w:tcW w:w="1644" w:type="dxa"/>
                  <w:noWrap w:val="0"/>
                  <w:vAlign w:val="center"/>
                </w:tcPr>
                <w:p w14:paraId="6BF5213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eastAsia="宋体"/>
                      <w:color w:val="000000"/>
                      <w:szCs w:val="21"/>
                      <w:lang w:val="en-US" w:eastAsia="zh-CN"/>
                    </w:rPr>
                  </w:pPr>
                  <w:r>
                    <w:rPr>
                      <w:rFonts w:hint="eastAsia"/>
                      <w:color w:val="000000"/>
                      <w:szCs w:val="21"/>
                      <w:lang w:val="en-US" w:eastAsia="zh-CN"/>
                    </w:rPr>
                    <w:t>53</w:t>
                  </w:r>
                </w:p>
              </w:tc>
              <w:tc>
                <w:tcPr>
                  <w:tcW w:w="1703" w:type="dxa"/>
                  <w:noWrap w:val="0"/>
                  <w:vAlign w:val="center"/>
                </w:tcPr>
                <w:p w14:paraId="2577153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eastAsia" w:eastAsia="宋体"/>
                      <w:color w:val="000000"/>
                      <w:szCs w:val="21"/>
                      <w:lang w:val="en-US" w:eastAsia="zh-CN"/>
                    </w:rPr>
                  </w:pPr>
                  <w:r>
                    <w:rPr>
                      <w:rFonts w:hint="eastAsia"/>
                    </w:rPr>
                    <w:t>60</w:t>
                  </w:r>
                </w:p>
              </w:tc>
            </w:tr>
            <w:tr w14:paraId="27F0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 w:hRule="atLeast"/>
                <w:jc w:val="center"/>
              </w:trPr>
              <w:tc>
                <w:tcPr>
                  <w:tcW w:w="5000" w:type="pct"/>
                  <w:gridSpan w:val="6"/>
                  <w:noWrap w:val="0"/>
                  <w:vAlign w:val="center"/>
                </w:tcPr>
                <w:p w14:paraId="6D6FADD5">
                  <w:pPr>
                    <w:keepNext w:val="0"/>
                    <w:keepLines w:val="0"/>
                    <w:suppressLineNumbers w:val="0"/>
                    <w:adjustRightInd w:val="0"/>
                    <w:snapToGrid w:val="0"/>
                    <w:spacing w:before="0" w:beforeAutospacing="0" w:after="0" w:afterAutospacing="0" w:line="240" w:lineRule="auto"/>
                    <w:ind w:left="0" w:right="0"/>
                    <w:rPr>
                      <w:rFonts w:hint="default" w:eastAsia="宋体"/>
                      <w:color w:val="000000"/>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备注：N5</w:t>
                  </w:r>
                  <w:r>
                    <w:rPr>
                      <w:rFonts w:hint="eastAsia" w:cs="Times New Roman"/>
                      <w:i w:val="0"/>
                      <w:iCs w:val="0"/>
                      <w:color w:val="000000"/>
                      <w:kern w:val="0"/>
                      <w:sz w:val="21"/>
                      <w:szCs w:val="21"/>
                      <w:u w:val="none"/>
                      <w:lang w:val="en-US" w:eastAsia="zh-CN" w:bidi="ar"/>
                    </w:rPr>
                    <w:t>、N6</w:t>
                  </w:r>
                  <w:r>
                    <w:rPr>
                      <w:rFonts w:hint="eastAsia" w:ascii="Times New Roman" w:hAnsi="Times New Roman" w:eastAsia="宋体" w:cs="Times New Roman"/>
                      <w:i w:val="0"/>
                      <w:iCs w:val="0"/>
                      <w:color w:val="000000"/>
                      <w:kern w:val="0"/>
                      <w:sz w:val="21"/>
                      <w:szCs w:val="21"/>
                      <w:u w:val="none"/>
                      <w:lang w:val="en-US" w:eastAsia="zh-CN" w:bidi="ar"/>
                    </w:rPr>
                    <w:t>执行《声环境质量标准》（GB3096-2008）</w:t>
                  </w:r>
                  <w:r>
                    <w:rPr>
                      <w:rFonts w:hint="eastAsia" w:cs="Times New Roman"/>
                      <w:i w:val="0"/>
                      <w:iCs w:val="0"/>
                      <w:color w:val="000000"/>
                      <w:kern w:val="0"/>
                      <w:sz w:val="21"/>
                      <w:szCs w:val="21"/>
                      <w:u w:val="none"/>
                      <w:lang w:val="en-US" w:eastAsia="zh-CN" w:bidi="ar"/>
                    </w:rPr>
                    <w:t>2类</w:t>
                  </w:r>
                  <w:r>
                    <w:rPr>
                      <w:rFonts w:hint="eastAsia" w:ascii="Times New Roman" w:hAnsi="Times New Roman" w:eastAsia="宋体" w:cs="Times New Roman"/>
                      <w:i w:val="0"/>
                      <w:iCs w:val="0"/>
                      <w:color w:val="000000"/>
                      <w:kern w:val="0"/>
                      <w:sz w:val="21"/>
                      <w:szCs w:val="21"/>
                      <w:u w:val="none"/>
                      <w:lang w:val="en-US" w:eastAsia="zh-CN" w:bidi="ar"/>
                    </w:rPr>
                    <w:t>标准。</w:t>
                  </w:r>
                </w:p>
              </w:tc>
            </w:tr>
          </w:tbl>
          <w:p w14:paraId="78571A00">
            <w:pPr>
              <w:pStyle w:val="109"/>
              <w:keepNext w:val="0"/>
              <w:keepLines w:val="0"/>
              <w:suppressLineNumbers w:val="0"/>
              <w:spacing w:before="157" w:beforeLines="50" w:beforeAutospacing="0" w:after="0" w:afterAutospacing="0"/>
              <w:ind w:left="0" w:right="0" w:firstLine="480"/>
              <w:rPr>
                <w:rFonts w:hint="default"/>
                <w:b w:val="0"/>
                <w:bCs/>
                <w:snapToGrid w:val="0"/>
                <w:color w:val="auto"/>
                <w:u w:val="none"/>
                <w:lang w:val="en-US" w:eastAsia="zh-CN"/>
              </w:rPr>
            </w:pPr>
            <w:r>
              <w:rPr>
                <w:rFonts w:hint="default"/>
                <w:b w:val="0"/>
                <w:bCs/>
                <w:snapToGrid w:val="0"/>
                <w:color w:val="auto"/>
                <w:u w:val="none"/>
                <w:lang w:val="en-US" w:eastAsia="zh-CN"/>
              </w:rPr>
              <w:t>由上表可知，</w:t>
            </w:r>
            <w:r>
              <w:rPr>
                <w:rFonts w:hint="eastAsia"/>
                <w:b w:val="0"/>
                <w:bCs/>
                <w:snapToGrid w:val="0"/>
                <w:color w:val="auto"/>
                <w:u w:val="none"/>
                <w:lang w:val="en-US" w:eastAsia="zh-CN"/>
              </w:rPr>
              <w:t>厂界声环境质量</w:t>
            </w:r>
            <w:r>
              <w:rPr>
                <w:rFonts w:hint="eastAsia"/>
                <w:lang w:eastAsia="zh-CN"/>
              </w:rPr>
              <w:t>、</w:t>
            </w:r>
            <w:r>
              <w:rPr>
                <w:rFonts w:hint="default"/>
                <w:b w:val="0"/>
                <w:bCs/>
                <w:snapToGrid w:val="0"/>
                <w:color w:val="auto"/>
                <w:u w:val="none"/>
                <w:lang w:val="en-US" w:eastAsia="zh-CN"/>
              </w:rPr>
              <w:t>厂界周边敏感点声环境质量能满足《声环境质量标准》（GB3096-2008）</w:t>
            </w:r>
            <w:r>
              <w:rPr>
                <w:rFonts w:hint="eastAsia"/>
                <w:b w:val="0"/>
                <w:bCs/>
                <w:snapToGrid w:val="0"/>
                <w:color w:val="auto"/>
                <w:highlight w:val="none"/>
                <w:u w:val="none"/>
                <w:lang w:val="en-US" w:eastAsia="zh-CN"/>
              </w:rPr>
              <w:t>2类</w:t>
            </w:r>
            <w:r>
              <w:rPr>
                <w:rFonts w:hint="default"/>
                <w:b w:val="0"/>
                <w:bCs/>
                <w:snapToGrid w:val="0"/>
                <w:color w:val="auto"/>
                <w:highlight w:val="none"/>
                <w:u w:val="none"/>
                <w:lang w:val="en-US" w:eastAsia="zh-CN"/>
              </w:rPr>
              <w:t>标准要求</w:t>
            </w:r>
            <w:r>
              <w:rPr>
                <w:rFonts w:hint="default"/>
                <w:b w:val="0"/>
                <w:bCs/>
                <w:snapToGrid w:val="0"/>
                <w:color w:val="auto"/>
                <w:u w:val="none"/>
                <w:lang w:val="en-US" w:eastAsia="zh-CN"/>
              </w:rPr>
              <w:t>，区域声环境质量良好。</w:t>
            </w:r>
          </w:p>
          <w:p w14:paraId="0CA57806">
            <w:pPr>
              <w:pStyle w:val="109"/>
              <w:keepNext w:val="0"/>
              <w:keepLines w:val="0"/>
              <w:suppressLineNumbers w:val="0"/>
              <w:spacing w:before="0" w:beforeLines="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4、土壤及地下水现状</w:t>
            </w:r>
          </w:p>
          <w:p w14:paraId="03C18EAC">
            <w:pPr>
              <w:pStyle w:val="109"/>
              <w:keepNext w:val="0"/>
              <w:keepLines w:val="0"/>
              <w:suppressLineNumbers w:val="0"/>
              <w:spacing w:before="0" w:beforeLines="0" w:beforeAutospacing="0" w:after="0" w:afterAutospacing="0"/>
              <w:ind w:left="0" w:right="0" w:firstLine="480"/>
              <w:rPr>
                <w:rFonts w:hint="default"/>
                <w:snapToGrid w:val="0"/>
                <w:color w:val="auto"/>
                <w:u w:val="none"/>
                <w:lang w:val="en-US" w:eastAsia="zh-CN"/>
              </w:rPr>
            </w:pPr>
            <w:r>
              <w:rPr>
                <w:rFonts w:hint="eastAsia"/>
                <w:snapToGrid w:val="0"/>
                <w:color w:val="auto"/>
                <w:u w:val="none"/>
                <w:lang w:val="en-US" w:eastAsia="zh-CN"/>
              </w:rPr>
              <w:t>厂房地面已全部做好水泥硬化，具有较好的防渗功能，基本不存在土壤、地下水环境污染途径，因此本项目不开展环境质量现状调查。</w:t>
            </w:r>
          </w:p>
          <w:p w14:paraId="52601A57">
            <w:pPr>
              <w:pStyle w:val="109"/>
              <w:keepNext w:val="0"/>
              <w:keepLines w:val="0"/>
              <w:suppressLineNumbers w:val="0"/>
              <w:spacing w:before="0" w:beforeLines="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5、生态环境</w:t>
            </w:r>
          </w:p>
          <w:p w14:paraId="53B927D6">
            <w:pPr>
              <w:pStyle w:val="109"/>
              <w:keepNext w:val="0"/>
              <w:keepLines w:val="0"/>
              <w:suppressLineNumbers w:val="0"/>
              <w:spacing w:before="0" w:beforeLines="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本项目位于醴陵市浦口镇，涉及区域植被主要为绿化植被，区域内无珍稀保护野生动物。项目范围内野生动物分布很少，主要以生活于树、灌丛的小型动物为主，未发现珍稀保护野生动物。</w:t>
            </w:r>
          </w:p>
          <w:p w14:paraId="3DCA10D7">
            <w:pPr>
              <w:pStyle w:val="109"/>
              <w:keepNext w:val="0"/>
              <w:keepLines w:val="0"/>
              <w:suppressLineNumbers w:val="0"/>
              <w:spacing w:before="0" w:beforeLines="0" w:beforeAutospacing="0" w:after="0" w:afterAutospacing="0"/>
              <w:ind w:left="0" w:right="0" w:firstLine="480"/>
              <w:rPr>
                <w:rFonts w:hint="eastAsia"/>
                <w:snapToGrid w:val="0"/>
                <w:color w:val="auto"/>
                <w:u w:val="none"/>
                <w:lang w:val="en-US" w:eastAsia="zh-CN"/>
              </w:rPr>
            </w:pPr>
            <w:r>
              <w:rPr>
                <w:rFonts w:hint="eastAsia"/>
                <w:snapToGrid w:val="0"/>
                <w:color w:val="auto"/>
                <w:u w:val="none"/>
                <w:lang w:val="en-US" w:eastAsia="zh-CN"/>
              </w:rPr>
              <w:t>6、电磁辐射</w:t>
            </w:r>
          </w:p>
          <w:p w14:paraId="04AC5244">
            <w:pPr>
              <w:pStyle w:val="109"/>
              <w:keepNext w:val="0"/>
              <w:keepLines w:val="0"/>
              <w:suppressLineNumbers w:val="0"/>
              <w:spacing w:before="0" w:beforeAutospacing="0" w:after="0" w:afterAutospacing="0"/>
              <w:ind w:left="0" w:right="0" w:firstLine="480"/>
              <w:rPr>
                <w:rFonts w:hint="default" w:eastAsia="宋体"/>
                <w:snapToGrid w:val="0"/>
                <w:color w:val="auto"/>
                <w:u w:val="none"/>
                <w:lang w:val="en-US" w:eastAsia="zh-CN"/>
              </w:rPr>
            </w:pPr>
            <w:r>
              <w:rPr>
                <w:rFonts w:hint="eastAsia"/>
                <w:snapToGrid w:val="0"/>
                <w:color w:val="auto"/>
                <w:u w:val="none"/>
                <w:lang w:val="en-US" w:eastAsia="zh-CN"/>
              </w:rPr>
              <w:t>本项目不涉及电磁辐射影响。</w:t>
            </w:r>
          </w:p>
        </w:tc>
      </w:tr>
      <w:tr w14:paraId="1B340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9" w:type="dxa"/>
            <w:noWrap w:val="0"/>
            <w:vAlign w:val="center"/>
          </w:tcPr>
          <w:p w14:paraId="67F1E6EA">
            <w:pPr>
              <w:pStyle w:val="36"/>
              <w:keepNext w:val="0"/>
              <w:keepLines w:val="0"/>
              <w:suppressLineNumbers w:val="0"/>
              <w:spacing w:before="0" w:beforeAutospacing="0" w:after="0" w:afterAutospacing="0"/>
              <w:ind w:left="0" w:right="0"/>
              <w:rPr>
                <w:rFonts w:hint="default"/>
                <w:color w:val="auto"/>
                <w:u w:val="none"/>
              </w:rPr>
            </w:pPr>
            <w:r>
              <w:rPr>
                <w:rFonts w:hint="default"/>
                <w:color w:val="auto"/>
                <w:u w:val="none"/>
              </w:rPr>
              <w:t>环境保护目标</w:t>
            </w:r>
          </w:p>
        </w:tc>
        <w:tc>
          <w:tcPr>
            <w:tcW w:w="8977" w:type="dxa"/>
            <w:noWrap w:val="0"/>
            <w:vAlign w:val="top"/>
          </w:tcPr>
          <w:p w14:paraId="73DB715A">
            <w:pPr>
              <w:pStyle w:val="109"/>
              <w:keepNext w:val="0"/>
              <w:keepLines w:val="0"/>
              <w:suppressLineNumbers w:val="0"/>
              <w:spacing w:before="157" w:beforeLines="50" w:beforeAutospacing="0" w:after="0" w:afterAutospacing="0"/>
              <w:ind w:left="0" w:right="0" w:firstLine="480"/>
              <w:rPr>
                <w:rFonts w:hint="default"/>
                <w:b/>
                <w:snapToGrid w:val="0"/>
                <w:color w:val="auto"/>
                <w:u w:val="none"/>
              </w:rPr>
            </w:pPr>
            <w:r>
              <w:rPr>
                <w:rFonts w:hint="default"/>
                <w:b/>
                <w:snapToGrid w:val="0"/>
                <w:color w:val="auto"/>
                <w:u w:val="none"/>
              </w:rPr>
              <w:t>1、大气环境保护目标</w:t>
            </w:r>
          </w:p>
          <w:p w14:paraId="5FEC851C">
            <w:pPr>
              <w:pStyle w:val="109"/>
              <w:keepNext w:val="0"/>
              <w:keepLines w:val="0"/>
              <w:suppressLineNumbers w:val="0"/>
              <w:spacing w:before="0" w:beforeAutospacing="0" w:after="0" w:afterAutospacing="0"/>
              <w:ind w:left="0" w:right="0" w:firstLine="480"/>
              <w:rPr>
                <w:rFonts w:hint="default"/>
                <w:color w:val="auto"/>
                <w:u w:val="none"/>
              </w:rPr>
            </w:pPr>
            <w:r>
              <w:rPr>
                <w:rFonts w:hint="default"/>
                <w:color w:val="auto"/>
                <w:spacing w:val="-1"/>
                <w:u w:val="none"/>
              </w:rPr>
              <w:t>本项目厂界外</w:t>
            </w:r>
            <w:r>
              <w:rPr>
                <w:rFonts w:hint="default"/>
                <w:color w:val="auto"/>
                <w:spacing w:val="-52"/>
                <w:u w:val="none"/>
              </w:rPr>
              <w:t xml:space="preserve"> </w:t>
            </w:r>
            <w:r>
              <w:rPr>
                <w:rFonts w:hint="default" w:eastAsia="Times New Roman"/>
                <w:color w:val="auto"/>
                <w:spacing w:val="-1"/>
                <w:u w:val="none"/>
              </w:rPr>
              <w:t xml:space="preserve">500 </w:t>
            </w:r>
            <w:r>
              <w:rPr>
                <w:rFonts w:hint="eastAsia"/>
                <w:color w:val="auto"/>
                <w:u w:val="none"/>
              </w:rPr>
              <w:t>m</w:t>
            </w:r>
            <w:r>
              <w:rPr>
                <w:rFonts w:hint="default"/>
                <w:color w:val="auto"/>
                <w:u w:val="none"/>
              </w:rPr>
              <w:t>范围内无自然保护区、风景名胜区等一类环境保护目标，存在</w:t>
            </w:r>
            <w:r>
              <w:rPr>
                <w:rFonts w:hint="eastAsia"/>
                <w:color w:val="auto"/>
                <w:u w:val="none"/>
              </w:rPr>
              <w:t>居民区</w:t>
            </w:r>
            <w:r>
              <w:rPr>
                <w:rFonts w:hint="default"/>
                <w:color w:val="auto"/>
                <w:u w:val="none"/>
              </w:rPr>
              <w:t>，详见下表所示。</w:t>
            </w:r>
          </w:p>
          <w:p w14:paraId="649190AE">
            <w:pPr>
              <w:pStyle w:val="109"/>
              <w:keepNext w:val="0"/>
              <w:keepLines w:val="0"/>
              <w:suppressLineNumbers w:val="0"/>
              <w:spacing w:before="157" w:beforeLines="50" w:beforeAutospacing="0" w:after="0" w:afterAutospacing="0" w:line="240" w:lineRule="auto"/>
              <w:ind w:left="0" w:right="0" w:firstLine="480"/>
              <w:jc w:val="center"/>
              <w:rPr>
                <w:rFonts w:hint="default"/>
                <w:b/>
                <w:bCs/>
                <w:snapToGrid w:val="0"/>
                <w:color w:val="auto"/>
                <w:sz w:val="21"/>
                <w:szCs w:val="21"/>
                <w:u w:val="none"/>
              </w:rPr>
            </w:pPr>
            <w:r>
              <w:rPr>
                <w:rFonts w:hint="default"/>
                <w:b/>
                <w:bCs/>
                <w:snapToGrid w:val="0"/>
                <w:color w:val="auto"/>
                <w:sz w:val="21"/>
                <w:szCs w:val="21"/>
                <w:u w:val="none"/>
              </w:rPr>
              <w:t>表3-</w:t>
            </w:r>
            <w:r>
              <w:rPr>
                <w:rFonts w:hint="eastAsia"/>
                <w:b/>
                <w:bCs/>
                <w:snapToGrid w:val="0"/>
                <w:color w:val="auto"/>
                <w:sz w:val="21"/>
                <w:szCs w:val="21"/>
                <w:u w:val="none"/>
                <w:lang w:val="en-US" w:eastAsia="zh-CN"/>
              </w:rPr>
              <w:t>5</w:t>
            </w:r>
            <w:r>
              <w:rPr>
                <w:rFonts w:hint="default"/>
                <w:b/>
                <w:bCs/>
                <w:snapToGrid w:val="0"/>
                <w:color w:val="auto"/>
                <w:sz w:val="21"/>
                <w:szCs w:val="21"/>
                <w:u w:val="none"/>
              </w:rPr>
              <w:t xml:space="preserve">  本项目大气环境保护目标一览表</w:t>
            </w:r>
          </w:p>
          <w:tbl>
            <w:tblPr>
              <w:tblStyle w:val="24"/>
              <w:tblW w:w="87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1548"/>
              <w:gridCol w:w="1499"/>
              <w:gridCol w:w="828"/>
              <w:gridCol w:w="1225"/>
              <w:gridCol w:w="908"/>
              <w:gridCol w:w="826"/>
              <w:gridCol w:w="813"/>
            </w:tblGrid>
            <w:tr w14:paraId="56D4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3F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Style w:val="83"/>
                      <w:b/>
                      <w:bCs/>
                      <w:lang w:val="en-US" w:eastAsia="zh-CN" w:bidi="ar"/>
                    </w:rPr>
                    <w:t>保护目标名称</w:t>
                  </w:r>
                </w:p>
              </w:tc>
              <w:tc>
                <w:tcPr>
                  <w:tcW w:w="1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1D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Style w:val="83"/>
                      <w:b/>
                      <w:bCs/>
                      <w:lang w:val="en-US" w:eastAsia="zh-CN" w:bidi="ar"/>
                    </w:rPr>
                    <w:t>坐标</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7F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Style w:val="83"/>
                      <w:b/>
                      <w:bCs/>
                      <w:lang w:val="en-US" w:eastAsia="zh-CN" w:bidi="ar"/>
                    </w:rPr>
                    <w:t>保护对象</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3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Style w:val="83"/>
                      <w:b/>
                      <w:bCs/>
                      <w:lang w:val="en-US" w:eastAsia="zh-CN" w:bidi="ar"/>
                    </w:rPr>
                    <w:t>保护内容</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A2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Style w:val="83"/>
                      <w:b/>
                      <w:bCs/>
                      <w:lang w:val="en-US" w:eastAsia="zh-CN" w:bidi="ar"/>
                    </w:rPr>
                    <w:t>保护级别</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F7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Style w:val="83"/>
                      <w:b/>
                      <w:bCs/>
                      <w:lang w:val="en-US" w:eastAsia="zh-CN" w:bidi="ar"/>
                    </w:rPr>
                    <w:t>相对厂址方位</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B6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Style w:val="83"/>
                      <w:b/>
                      <w:bCs/>
                      <w:lang w:val="en-US" w:eastAsia="zh-CN" w:bidi="ar"/>
                    </w:rPr>
                    <w:t>相对厂界距离</w:t>
                  </w:r>
                  <w:r>
                    <w:rPr>
                      <w:rStyle w:val="115"/>
                      <w:rFonts w:eastAsia="宋体"/>
                      <w:b/>
                      <w:bCs/>
                      <w:vertAlign w:val="baseline"/>
                      <w:lang w:val="en-US" w:eastAsia="zh-CN" w:bidi="ar"/>
                    </w:rPr>
                    <w:t>/m</w:t>
                  </w:r>
                </w:p>
              </w:tc>
            </w:tr>
            <w:tr w14:paraId="4688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573A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7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Style w:val="83"/>
                      <w:b/>
                      <w:bCs/>
                      <w:lang w:val="en-US" w:eastAsia="zh-CN" w:bidi="ar"/>
                    </w:rPr>
                    <w:t>经度</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A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Style w:val="83"/>
                      <w:b/>
                      <w:bCs/>
                      <w:lang w:val="en-US" w:eastAsia="zh-CN" w:bidi="ar"/>
                    </w:rPr>
                    <w:t>纬度</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69BC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6FE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D14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877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FDB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45B3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4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浦口村居民</w:t>
                  </w:r>
                  <w:r>
                    <w:rPr>
                      <w:rFonts w:hint="default" w:ascii="Times New Roman" w:hAnsi="Times New Roman" w:eastAsia="宋体" w:cs="Times New Roman"/>
                      <w:i w:val="0"/>
                      <w:iCs w:val="0"/>
                      <w:color w:val="000000"/>
                      <w:kern w:val="0"/>
                      <w:sz w:val="21"/>
                      <w:szCs w:val="21"/>
                      <w:u w:val="none"/>
                      <w:lang w:val="en-US" w:eastAsia="zh-CN" w:bidi="ar"/>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BA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113°37′15.789″</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36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27°46′11.307″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9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居民</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4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w:t>
                  </w:r>
                  <w:r>
                    <w:rPr>
                      <w:rFonts w:hint="default" w:ascii="Times New Roman" w:hAnsi="Times New Roman" w:eastAsia="宋体" w:cs="Times New Roman"/>
                      <w:i w:val="0"/>
                      <w:iCs w:val="0"/>
                      <w:color w:val="000000"/>
                      <w:kern w:val="0"/>
                      <w:sz w:val="20"/>
                      <w:szCs w:val="20"/>
                      <w:u w:val="none"/>
                      <w:lang w:val="en-US" w:eastAsia="zh-CN" w:bidi="ar"/>
                    </w:rPr>
                    <w:t>190</w:t>
                  </w:r>
                  <w:r>
                    <w:rPr>
                      <w:rFonts w:hint="eastAsia" w:ascii="宋体" w:hAnsi="宋体" w:eastAsia="宋体" w:cs="宋体"/>
                      <w:i w:val="0"/>
                      <w:iCs w:val="0"/>
                      <w:color w:val="000000"/>
                      <w:kern w:val="0"/>
                      <w:sz w:val="21"/>
                      <w:szCs w:val="21"/>
                      <w:u w:val="none"/>
                      <w:lang w:val="en-US" w:eastAsia="zh-CN" w:bidi="ar"/>
                    </w:rPr>
                    <w:t>户</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74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《环境空气质量标准》（</w:t>
                  </w:r>
                  <w:r>
                    <w:rPr>
                      <w:rFonts w:hint="default" w:ascii="Times New Roman" w:hAnsi="Times New Roman" w:eastAsia="宋体" w:cs="Times New Roman"/>
                      <w:i w:val="0"/>
                      <w:iCs w:val="0"/>
                      <w:color w:val="000000"/>
                      <w:kern w:val="0"/>
                      <w:sz w:val="20"/>
                      <w:szCs w:val="20"/>
                      <w:u w:val="none"/>
                      <w:lang w:val="en-US" w:eastAsia="zh-CN" w:bidi="ar"/>
                    </w:rPr>
                    <w:t>GB3095-2012</w:t>
                  </w:r>
                  <w:r>
                    <w:rPr>
                      <w:rFonts w:hint="eastAsia" w:ascii="宋体" w:hAnsi="宋体" w:eastAsia="宋体" w:cs="宋体"/>
                      <w:i w:val="0"/>
                      <w:iCs w:val="0"/>
                      <w:color w:val="000000"/>
                      <w:kern w:val="0"/>
                      <w:sz w:val="21"/>
                      <w:szCs w:val="21"/>
                      <w:u w:val="none"/>
                      <w:lang w:val="en-US" w:eastAsia="zh-CN" w:bidi="ar"/>
                    </w:rPr>
                    <w:t>）中的二级标准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63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北、</w:t>
                  </w:r>
                  <w:r>
                    <w:rPr>
                      <w:rFonts w:hint="eastAsia" w:ascii="宋体" w:hAnsi="宋体" w:eastAsia="宋体" w:cs="宋体"/>
                      <w:i w:val="0"/>
                      <w:iCs w:val="0"/>
                      <w:color w:val="000000"/>
                      <w:kern w:val="0"/>
                      <w:sz w:val="21"/>
                      <w:szCs w:val="21"/>
                      <w:u w:val="none"/>
                      <w:lang w:val="en-US" w:eastAsia="zh-CN" w:bidi="ar"/>
                    </w:rPr>
                    <w:t>东北</w:t>
                  </w:r>
                  <w:r>
                    <w:rPr>
                      <w:rFonts w:hint="eastAsia" w:ascii="宋体" w:hAnsi="宋体" w:cs="宋体"/>
                      <w:i w:val="0"/>
                      <w:iCs w:val="0"/>
                      <w:color w:val="000000"/>
                      <w:kern w:val="0"/>
                      <w:sz w:val="21"/>
                      <w:szCs w:val="21"/>
                      <w:u w:val="none"/>
                      <w:lang w:val="en-US" w:eastAsia="zh-CN" w:bidi="ar"/>
                    </w:rPr>
                    <w:t>、东</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3E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35</w:t>
                  </w:r>
                  <w:r>
                    <w:rPr>
                      <w:rFonts w:hint="default" w:ascii="Times New Roman" w:hAnsi="Times New Roman" w:eastAsia="宋体" w:cs="Times New Roman"/>
                      <w:i w:val="0"/>
                      <w:iCs w:val="0"/>
                      <w:color w:val="000000"/>
                      <w:kern w:val="0"/>
                      <w:sz w:val="21"/>
                      <w:szCs w:val="21"/>
                      <w:u w:val="none"/>
                      <w:lang w:val="en-US" w:eastAsia="zh-CN" w:bidi="ar"/>
                    </w:rPr>
                    <w:t>-500</w:t>
                  </w:r>
                </w:p>
              </w:tc>
            </w:tr>
            <w:tr w14:paraId="7740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F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浦口村居民</w:t>
                  </w:r>
                  <w:r>
                    <w:rPr>
                      <w:rFonts w:hint="default" w:ascii="Times New Roman" w:hAnsi="Times New Roman" w:eastAsia="宋体" w:cs="Times New Roman"/>
                      <w:i w:val="0"/>
                      <w:iCs w:val="0"/>
                      <w:color w:val="000000"/>
                      <w:kern w:val="0"/>
                      <w:sz w:val="21"/>
                      <w:szCs w:val="21"/>
                      <w:u w:val="none"/>
                      <w:lang w:val="en-US" w:eastAsia="zh-CN" w:bidi="ar"/>
                    </w:rPr>
                    <w:t>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0B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113°37′16.407″</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F9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27°46′7.493″</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C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居民</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4D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w:t>
                  </w:r>
                  <w:r>
                    <w:rPr>
                      <w:rFonts w:hint="default" w:ascii="Times New Roman" w:hAnsi="Times New Roman" w:eastAsia="宋体" w:cs="Times New Roman"/>
                      <w:i w:val="0"/>
                      <w:iCs w:val="0"/>
                      <w:color w:val="000000"/>
                      <w:kern w:val="0"/>
                      <w:sz w:val="20"/>
                      <w:szCs w:val="20"/>
                      <w:u w:val="none"/>
                      <w:lang w:val="en-US" w:eastAsia="zh-CN" w:bidi="ar"/>
                    </w:rPr>
                    <w:t>70</w:t>
                  </w:r>
                  <w:r>
                    <w:rPr>
                      <w:rFonts w:hint="eastAsia" w:ascii="宋体" w:hAnsi="宋体" w:eastAsia="宋体" w:cs="宋体"/>
                      <w:i w:val="0"/>
                      <w:iCs w:val="0"/>
                      <w:color w:val="000000"/>
                      <w:kern w:val="0"/>
                      <w:sz w:val="21"/>
                      <w:szCs w:val="21"/>
                      <w:u w:val="none"/>
                      <w:lang w:val="en-US" w:eastAsia="zh-CN" w:bidi="ar"/>
                    </w:rPr>
                    <w:t>户</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DBC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4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75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-500</w:t>
                  </w:r>
                </w:p>
              </w:tc>
            </w:tr>
            <w:tr w14:paraId="54DB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2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浦口村居民</w:t>
                  </w:r>
                  <w:r>
                    <w:rPr>
                      <w:rFonts w:hint="default" w:ascii="Times New Roman" w:hAnsi="Times New Roman" w:eastAsia="宋体" w:cs="Times New Roman"/>
                      <w:i w:val="0"/>
                      <w:iCs w:val="0"/>
                      <w:color w:val="000000"/>
                      <w:kern w:val="0"/>
                      <w:sz w:val="21"/>
                      <w:szCs w:val="21"/>
                      <w:u w:val="none"/>
                      <w:lang w:val="en-US" w:eastAsia="zh-CN" w:bidi="ar"/>
                    </w:rPr>
                    <w:t>3</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60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113°37′15.104″</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02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27°46′10.457″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B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居民</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A2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w:t>
                  </w:r>
                  <w:r>
                    <w:rPr>
                      <w:rFonts w:hint="default" w:ascii="Times New Roman" w:hAnsi="Times New Roman" w:eastAsia="宋体" w:cs="Times New Roman"/>
                      <w:i w:val="0"/>
                      <w:iCs w:val="0"/>
                      <w:color w:val="000000"/>
                      <w:kern w:val="0"/>
                      <w:sz w:val="21"/>
                      <w:szCs w:val="21"/>
                      <w:u w:val="none"/>
                      <w:lang w:val="en-US" w:eastAsia="zh-CN" w:bidi="ar"/>
                    </w:rPr>
                    <w:t>110</w:t>
                  </w:r>
                  <w:r>
                    <w:rPr>
                      <w:rFonts w:hint="eastAsia" w:ascii="宋体" w:hAnsi="宋体" w:eastAsia="宋体" w:cs="宋体"/>
                      <w:i w:val="0"/>
                      <w:iCs w:val="0"/>
                      <w:color w:val="000000"/>
                      <w:kern w:val="0"/>
                      <w:sz w:val="21"/>
                      <w:szCs w:val="21"/>
                      <w:u w:val="none"/>
                      <w:lang w:val="en-US" w:eastAsia="zh-CN" w:bidi="ar"/>
                    </w:rPr>
                    <w:t>户</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29B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7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北、西、</w:t>
                  </w:r>
                  <w:r>
                    <w:rPr>
                      <w:rFonts w:hint="eastAsia" w:ascii="宋体" w:hAnsi="宋体" w:eastAsia="宋体" w:cs="宋体"/>
                      <w:i w:val="0"/>
                      <w:iCs w:val="0"/>
                      <w:color w:val="000000"/>
                      <w:kern w:val="0"/>
                      <w:sz w:val="21"/>
                      <w:szCs w:val="21"/>
                      <w:u w:val="none"/>
                      <w:lang w:val="en-US" w:eastAsia="zh-CN" w:bidi="ar"/>
                    </w:rPr>
                    <w:t>西南</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C1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10-500</w:t>
                  </w:r>
                </w:p>
              </w:tc>
            </w:tr>
            <w:tr w14:paraId="1301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F2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浦口村居民</w:t>
                  </w:r>
                  <w:r>
                    <w:rPr>
                      <w:rFonts w:hint="default" w:ascii="Times New Roman" w:hAnsi="Times New Roman" w:eastAsia="宋体" w:cs="Times New Roman"/>
                      <w:i w:val="0"/>
                      <w:iCs w:val="0"/>
                      <w:color w:val="000000"/>
                      <w:kern w:val="0"/>
                      <w:sz w:val="21"/>
                      <w:szCs w:val="21"/>
                      <w:u w:val="none"/>
                      <w:lang w:val="en-US" w:eastAsia="zh-CN" w:bidi="ar"/>
                    </w:rPr>
                    <w:t>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87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113°37′13.733″</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9D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27°46′12.842″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A4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居民</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61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约</w:t>
                  </w:r>
                  <w:r>
                    <w:rPr>
                      <w:rFonts w:hint="default" w:ascii="Times New Roman" w:hAnsi="Times New Roman" w:eastAsia="宋体" w:cs="Times New Roman"/>
                      <w:i w:val="0"/>
                      <w:iCs w:val="0"/>
                      <w:color w:val="000000"/>
                      <w:kern w:val="0"/>
                      <w:sz w:val="21"/>
                      <w:szCs w:val="21"/>
                      <w:u w:val="none"/>
                      <w:lang w:val="en-US" w:eastAsia="zh-CN" w:bidi="ar"/>
                    </w:rPr>
                    <w:t>200</w:t>
                  </w:r>
                  <w:r>
                    <w:rPr>
                      <w:rFonts w:hint="eastAsia" w:ascii="宋体" w:hAnsi="宋体" w:eastAsia="宋体" w:cs="宋体"/>
                      <w:i w:val="0"/>
                      <w:iCs w:val="0"/>
                      <w:color w:val="000000"/>
                      <w:kern w:val="0"/>
                      <w:sz w:val="21"/>
                      <w:szCs w:val="21"/>
                      <w:u w:val="none"/>
                      <w:lang w:val="en-US" w:eastAsia="zh-CN" w:bidi="ar"/>
                    </w:rPr>
                    <w:t>户</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3D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E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北、西北</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89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90-500</w:t>
                  </w:r>
                </w:p>
              </w:tc>
            </w:tr>
            <w:tr w14:paraId="0023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8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浦口镇冷水小学</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5A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113°37′27.850″</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C0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27°46′16.569″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9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师生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F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师生约</w:t>
                  </w:r>
                  <w:r>
                    <w:rPr>
                      <w:rFonts w:hint="default" w:ascii="Times New Roman" w:hAnsi="Times New Roman" w:eastAsia="宋体" w:cs="Times New Roman"/>
                      <w:i w:val="0"/>
                      <w:iCs w:val="0"/>
                      <w:color w:val="000000"/>
                      <w:kern w:val="0"/>
                      <w:sz w:val="21"/>
                      <w:szCs w:val="21"/>
                      <w:u w:val="none"/>
                      <w:lang w:val="en-US" w:eastAsia="zh-CN" w:bidi="ar"/>
                    </w:rPr>
                    <w:t>600</w:t>
                  </w:r>
                  <w:r>
                    <w:rPr>
                      <w:rFonts w:hint="eastAsia" w:ascii="宋体" w:hAnsi="宋体" w:eastAsia="宋体" w:cs="宋体"/>
                      <w:i w:val="0"/>
                      <w:iCs w:val="0"/>
                      <w:color w:val="000000"/>
                      <w:kern w:val="0"/>
                      <w:sz w:val="21"/>
                      <w:szCs w:val="21"/>
                      <w:u w:val="none"/>
                      <w:lang w:val="en-US" w:eastAsia="zh-CN" w:bidi="ar"/>
                    </w:rPr>
                    <w:t>人</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85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6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3D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w:t>
                  </w:r>
                </w:p>
              </w:tc>
            </w:tr>
          </w:tbl>
          <w:p w14:paraId="123C8F1F">
            <w:pPr>
              <w:pStyle w:val="109"/>
              <w:keepNext w:val="0"/>
              <w:keepLines w:val="0"/>
              <w:suppressLineNumbers w:val="0"/>
              <w:spacing w:before="157" w:beforeLines="50" w:beforeAutospacing="0" w:after="0" w:afterAutospacing="0"/>
              <w:ind w:left="0" w:right="0" w:firstLine="480"/>
              <w:rPr>
                <w:rFonts w:hint="default"/>
                <w:b/>
                <w:snapToGrid w:val="0"/>
                <w:color w:val="auto"/>
                <w:u w:val="none"/>
              </w:rPr>
            </w:pPr>
            <w:r>
              <w:rPr>
                <w:rFonts w:hint="default"/>
                <w:b/>
                <w:snapToGrid w:val="0"/>
                <w:color w:val="auto"/>
                <w:u w:val="none"/>
              </w:rPr>
              <w:t>2、声环境保护目标</w:t>
            </w:r>
          </w:p>
          <w:p w14:paraId="3DF5466D">
            <w:pPr>
              <w:pStyle w:val="109"/>
              <w:keepNext w:val="0"/>
              <w:keepLines w:val="0"/>
              <w:suppressLineNumbers w:val="0"/>
              <w:spacing w:before="0" w:beforeAutospacing="0" w:after="0" w:afterAutospacing="0"/>
              <w:ind w:left="0" w:right="0" w:firstLine="480"/>
              <w:rPr>
                <w:rFonts w:hint="eastAsia"/>
                <w:b w:val="0"/>
                <w:bCs/>
                <w:snapToGrid w:val="0"/>
                <w:color w:val="auto"/>
                <w:u w:val="none"/>
              </w:rPr>
            </w:pPr>
            <w:r>
              <w:rPr>
                <w:rFonts w:hint="eastAsia"/>
                <w:b w:val="0"/>
                <w:bCs/>
                <w:snapToGrid w:val="0"/>
                <w:color w:val="auto"/>
                <w:u w:val="none"/>
              </w:rPr>
              <w:t>本项目位于</w:t>
            </w:r>
            <w:r>
              <w:rPr>
                <w:rFonts w:hint="eastAsia"/>
                <w:b w:val="0"/>
                <w:bCs/>
                <w:snapToGrid w:val="0"/>
                <w:color w:val="auto"/>
                <w:u w:val="none"/>
                <w:lang w:eastAsia="zh-CN"/>
              </w:rPr>
              <w:t>浦口镇浦口村</w:t>
            </w:r>
            <w:r>
              <w:rPr>
                <w:rFonts w:hint="eastAsia"/>
                <w:b w:val="0"/>
                <w:bCs/>
                <w:snapToGrid w:val="0"/>
                <w:color w:val="auto"/>
                <w:u w:val="none"/>
              </w:rPr>
              <w:t>，</w:t>
            </w:r>
            <w:r>
              <w:rPr>
                <w:rFonts w:hint="eastAsia"/>
                <w:b w:val="0"/>
                <w:bCs/>
                <w:snapToGrid w:val="0"/>
                <w:color w:val="auto"/>
                <w:u w:val="none"/>
                <w:lang w:val="en-US" w:eastAsia="zh-CN"/>
              </w:rPr>
              <w:t>项目声环境保护目标详见下表</w:t>
            </w:r>
            <w:r>
              <w:rPr>
                <w:rFonts w:hint="eastAsia"/>
                <w:b w:val="0"/>
                <w:bCs/>
                <w:snapToGrid w:val="0"/>
                <w:color w:val="auto"/>
                <w:u w:val="none"/>
              </w:rPr>
              <w:t>。</w:t>
            </w:r>
          </w:p>
          <w:p w14:paraId="7A65EC83">
            <w:pPr>
              <w:pStyle w:val="109"/>
              <w:keepNext w:val="0"/>
              <w:keepLines w:val="0"/>
              <w:suppressLineNumbers w:val="0"/>
              <w:spacing w:before="0" w:beforeAutospacing="0" w:after="0" w:afterAutospacing="0" w:line="240" w:lineRule="auto"/>
              <w:ind w:left="0" w:right="0" w:firstLine="480"/>
              <w:jc w:val="center"/>
              <w:rPr>
                <w:rFonts w:hint="default" w:eastAsia="宋体"/>
                <w:b w:val="0"/>
                <w:bCs/>
                <w:snapToGrid w:val="0"/>
                <w:color w:val="auto"/>
                <w:u w:val="none"/>
                <w:lang w:val="en-US" w:eastAsia="zh-CN"/>
              </w:rPr>
            </w:pPr>
            <w:r>
              <w:rPr>
                <w:rFonts w:hint="eastAsia"/>
                <w:b/>
                <w:bCs w:val="0"/>
                <w:snapToGrid w:val="0"/>
                <w:color w:val="auto"/>
                <w:sz w:val="21"/>
                <w:szCs w:val="21"/>
                <w:u w:val="none"/>
                <w:lang w:val="en-US" w:eastAsia="zh-CN"/>
              </w:rPr>
              <w:t>表3-6 本项目声环境保护目标一览表</w:t>
            </w:r>
          </w:p>
          <w:tbl>
            <w:tblPr>
              <w:tblStyle w:val="24"/>
              <w:tblW w:w="8757" w:type="dxa"/>
              <w:tblInd w:w="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6"/>
              <w:gridCol w:w="1216"/>
              <w:gridCol w:w="1134"/>
              <w:gridCol w:w="766"/>
              <w:gridCol w:w="817"/>
              <w:gridCol w:w="1516"/>
              <w:gridCol w:w="1483"/>
              <w:gridCol w:w="749"/>
            </w:tblGrid>
            <w:tr w14:paraId="2768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B3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06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坐标</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91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保护对象</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82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保护内容</w:t>
                  </w: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8B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保护级别</w:t>
                  </w:r>
                </w:p>
              </w:tc>
              <w:tc>
                <w:tcPr>
                  <w:tcW w:w="8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2E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相对厂址方位</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C3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相对厂界距离</w:t>
                  </w:r>
                  <w:r>
                    <w:rPr>
                      <w:rFonts w:hint="default" w:ascii="Times New Roman" w:hAnsi="Times New Roman" w:eastAsia="宋体" w:cs="Times New Roman"/>
                      <w:b/>
                      <w:bCs/>
                      <w:i w:val="0"/>
                      <w:iCs w:val="0"/>
                      <w:color w:val="000000"/>
                      <w:kern w:val="0"/>
                      <w:sz w:val="21"/>
                      <w:szCs w:val="21"/>
                      <w:u w:val="none"/>
                      <w:lang w:val="en-US" w:eastAsia="zh-CN" w:bidi="ar"/>
                    </w:rPr>
                    <w:t>/m</w:t>
                  </w:r>
                </w:p>
              </w:tc>
            </w:tr>
            <w:tr w14:paraId="040A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5FB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9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经度</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2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纬度</w:t>
                  </w: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D2C3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544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943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9BC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C5C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25B0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A1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浦口村居民点①</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73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113°37′15.789″</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44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27°46′11.307″</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8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13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户</w:t>
                  </w:r>
                </w:p>
              </w:tc>
              <w:tc>
                <w:tcPr>
                  <w:tcW w:w="865" w:type="pct"/>
                  <w:vMerge w:val="restart"/>
                  <w:tcBorders>
                    <w:top w:val="single" w:color="000000" w:sz="4" w:space="0"/>
                    <w:left w:val="single" w:color="000000" w:sz="4" w:space="0"/>
                    <w:right w:val="single" w:color="000000" w:sz="4" w:space="0"/>
                  </w:tcBorders>
                  <w:shd w:val="clear" w:color="auto" w:fill="auto"/>
                  <w:vAlign w:val="center"/>
                </w:tcPr>
                <w:p w14:paraId="626B4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《声环境质量标准》（</w:t>
                  </w:r>
                  <w:r>
                    <w:rPr>
                      <w:rFonts w:hint="default" w:ascii="Times New Roman" w:hAnsi="Times New Roman" w:eastAsia="宋体" w:cs="Times New Roman"/>
                      <w:i w:val="0"/>
                      <w:iCs w:val="0"/>
                      <w:color w:val="000000"/>
                      <w:kern w:val="0"/>
                      <w:sz w:val="21"/>
                      <w:szCs w:val="21"/>
                      <w:u w:val="none"/>
                      <w:lang w:val="en-US" w:eastAsia="zh-CN" w:bidi="ar"/>
                    </w:rPr>
                    <w:t>GB3096-2008</w:t>
                  </w:r>
                  <w:r>
                    <w:rPr>
                      <w:rFonts w:hint="eastAsia" w:ascii="宋体" w:hAnsi="宋体" w:eastAsia="宋体" w:cs="宋体"/>
                      <w:i w:val="0"/>
                      <w:iCs w:val="0"/>
                      <w:color w:val="000000"/>
                      <w:kern w:val="0"/>
                      <w:sz w:val="21"/>
                      <w:szCs w:val="21"/>
                      <w:u w:val="none"/>
                      <w:lang w:val="en-US" w:eastAsia="zh-CN" w:bidi="ar"/>
                    </w:rPr>
                    <w:t>）中</w:t>
                  </w:r>
                  <w:r>
                    <w:rPr>
                      <w:rFonts w:hint="eastAsia"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类标准</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E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F5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35</w:t>
                  </w:r>
                </w:p>
              </w:tc>
            </w:tr>
            <w:tr w14:paraId="268C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081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浦口村居民点②</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99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113°37′16.407″</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86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27°46′7.493″</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5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居民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1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1户</w:t>
                  </w:r>
                </w:p>
              </w:tc>
              <w:tc>
                <w:tcPr>
                  <w:tcW w:w="865" w:type="pct"/>
                  <w:vMerge w:val="continue"/>
                  <w:tcBorders>
                    <w:left w:val="single" w:color="000000" w:sz="4" w:space="0"/>
                    <w:right w:val="single" w:color="000000" w:sz="4" w:space="0"/>
                  </w:tcBorders>
                  <w:shd w:val="clear" w:color="auto" w:fill="auto"/>
                  <w:vAlign w:val="center"/>
                </w:tcPr>
                <w:p w14:paraId="33410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9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79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5</w:t>
                  </w:r>
                </w:p>
              </w:tc>
            </w:tr>
            <w:tr w14:paraId="54E9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FB4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浦口村居民点③</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7E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113°37′15.104″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F6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27°46′10.457″</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B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居民</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33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8户</w:t>
                  </w:r>
                </w:p>
              </w:tc>
              <w:tc>
                <w:tcPr>
                  <w:tcW w:w="865" w:type="pct"/>
                  <w:vMerge w:val="continue"/>
                  <w:tcBorders>
                    <w:left w:val="single" w:color="000000" w:sz="4" w:space="0"/>
                    <w:bottom w:val="single" w:color="000000" w:sz="4" w:space="0"/>
                    <w:right w:val="single" w:color="000000" w:sz="4" w:space="0"/>
                  </w:tcBorders>
                  <w:shd w:val="clear" w:color="auto" w:fill="auto"/>
                  <w:vAlign w:val="center"/>
                </w:tcPr>
                <w:p w14:paraId="43543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C7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D4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w:t>
                  </w:r>
                </w:p>
              </w:tc>
            </w:tr>
          </w:tbl>
          <w:p w14:paraId="73072488">
            <w:pPr>
              <w:pStyle w:val="109"/>
              <w:keepNext w:val="0"/>
              <w:keepLines w:val="0"/>
              <w:suppressLineNumbers w:val="0"/>
              <w:spacing w:before="157" w:beforeLines="50" w:beforeAutospacing="0" w:after="0" w:afterAutospacing="0"/>
              <w:ind w:left="0" w:right="0" w:firstLine="480"/>
              <w:rPr>
                <w:rFonts w:hint="eastAsia"/>
                <w:b/>
                <w:snapToGrid w:val="0"/>
                <w:color w:val="auto"/>
                <w:u w:val="none"/>
                <w:lang w:val="en-US" w:eastAsia="zh-CN"/>
              </w:rPr>
            </w:pPr>
            <w:r>
              <w:rPr>
                <w:rFonts w:hint="eastAsia"/>
                <w:b/>
                <w:snapToGrid w:val="0"/>
                <w:color w:val="auto"/>
                <w:u w:val="none"/>
                <w:lang w:val="en-US" w:eastAsia="zh-CN"/>
              </w:rPr>
              <w:t>3、地表水环境保护目标</w:t>
            </w:r>
          </w:p>
          <w:p w14:paraId="096ACBBA">
            <w:pPr>
              <w:pStyle w:val="109"/>
              <w:keepNext w:val="0"/>
              <w:keepLines w:val="0"/>
              <w:suppressLineNumbers w:val="0"/>
              <w:spacing w:before="0" w:beforeLines="-2147483648" w:beforeAutospacing="0" w:after="0" w:afterAutospacing="0"/>
              <w:ind w:left="0" w:right="0" w:firstLine="480"/>
              <w:rPr>
                <w:rFonts w:hint="eastAsia" w:ascii="Times New Roman" w:hAnsi="宋体" w:eastAsia="宋体" w:cs="Times New Roman"/>
                <w:b w:val="0"/>
                <w:snapToGrid w:val="0"/>
                <w:color w:val="auto"/>
                <w:u w:val="none"/>
                <w:lang w:val="en-US" w:eastAsia="zh-CN"/>
              </w:rPr>
            </w:pPr>
            <w:r>
              <w:rPr>
                <w:rFonts w:hint="default" w:ascii="Times New Roman" w:hAnsi="宋体" w:eastAsia="宋体" w:cs="Times New Roman"/>
                <w:b w:val="0"/>
                <w:snapToGrid w:val="0"/>
                <w:color w:val="auto"/>
                <w:u w:val="none"/>
                <w:lang w:val="en-US" w:eastAsia="zh-CN"/>
              </w:rPr>
              <w:t>项目地表水环境保护目标见下表</w:t>
            </w:r>
            <w:r>
              <w:rPr>
                <w:rFonts w:hint="eastAsia" w:ascii="Times New Roman" w:hAnsi="宋体" w:eastAsia="宋体" w:cs="Times New Roman"/>
                <w:b w:val="0"/>
                <w:snapToGrid w:val="0"/>
                <w:color w:val="auto"/>
                <w:u w:val="none"/>
                <w:lang w:val="en-US" w:eastAsia="zh-CN"/>
              </w:rPr>
              <w:t>。</w:t>
            </w:r>
          </w:p>
          <w:p w14:paraId="2748A0F0">
            <w:pPr>
              <w:pStyle w:val="109"/>
              <w:keepNext w:val="0"/>
              <w:keepLines w:val="0"/>
              <w:suppressLineNumbers w:val="0"/>
              <w:spacing w:before="0" w:beforeLines="-2147483648" w:beforeAutospacing="0" w:after="0" w:afterAutospacing="0" w:line="240" w:lineRule="auto"/>
              <w:ind w:left="0" w:right="0" w:firstLine="0" w:firstLineChars="0"/>
              <w:jc w:val="center"/>
              <w:rPr>
                <w:rFonts w:hint="eastAsia" w:ascii="Times New Roman" w:hAnsi="宋体" w:eastAsia="宋体" w:cs="Times New Roman"/>
                <w:b w:val="0"/>
                <w:snapToGrid w:val="0"/>
                <w:color w:val="auto"/>
                <w:u w:val="none"/>
                <w:lang w:val="en-US" w:eastAsia="zh-CN"/>
              </w:rPr>
            </w:pPr>
            <w:r>
              <w:rPr>
                <w:rFonts w:hint="eastAsia" w:ascii="Times New Roman" w:hAnsi="宋体" w:eastAsia="宋体" w:cs="Times New Roman"/>
                <w:b/>
                <w:bCs/>
                <w:snapToGrid w:val="0"/>
                <w:color w:val="auto"/>
                <w:sz w:val="21"/>
                <w:szCs w:val="21"/>
                <w:u w:val="none"/>
                <w:lang w:val="en-US" w:eastAsia="zh-CN"/>
              </w:rPr>
              <w:t>表3-</w:t>
            </w:r>
            <w:r>
              <w:rPr>
                <w:rFonts w:hint="eastAsia" w:cs="Times New Roman"/>
                <w:b/>
                <w:bCs/>
                <w:snapToGrid w:val="0"/>
                <w:color w:val="auto"/>
                <w:sz w:val="21"/>
                <w:szCs w:val="21"/>
                <w:u w:val="none"/>
                <w:lang w:val="en-US" w:eastAsia="zh-CN"/>
              </w:rPr>
              <w:t>7</w:t>
            </w:r>
            <w:r>
              <w:rPr>
                <w:rFonts w:hint="eastAsia" w:ascii="Times New Roman" w:hAnsi="宋体" w:eastAsia="宋体" w:cs="Times New Roman"/>
                <w:b/>
                <w:bCs/>
                <w:snapToGrid w:val="0"/>
                <w:color w:val="auto"/>
                <w:sz w:val="21"/>
                <w:szCs w:val="21"/>
                <w:u w:val="none"/>
                <w:lang w:val="en-US" w:eastAsia="zh-CN"/>
              </w:rPr>
              <w:t xml:space="preserve"> 本项目地表水环境保护目标</w:t>
            </w:r>
          </w:p>
          <w:tbl>
            <w:tblPr>
              <w:tblStyle w:val="25"/>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683"/>
              <w:gridCol w:w="1523"/>
              <w:gridCol w:w="1317"/>
              <w:gridCol w:w="3177"/>
            </w:tblGrid>
            <w:tr w14:paraId="1534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8" w:type="dxa"/>
                  <w:vAlign w:val="center"/>
                </w:tcPr>
                <w:p w14:paraId="3E8EBA37">
                  <w:pPr>
                    <w:pStyle w:val="109"/>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名称</w:t>
                  </w:r>
                </w:p>
              </w:tc>
              <w:tc>
                <w:tcPr>
                  <w:tcW w:w="1683" w:type="dxa"/>
                  <w:vAlign w:val="center"/>
                </w:tcPr>
                <w:p w14:paraId="40A94D7D">
                  <w:pPr>
                    <w:pStyle w:val="109"/>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相对厂址方向</w:t>
                  </w:r>
                </w:p>
              </w:tc>
              <w:tc>
                <w:tcPr>
                  <w:tcW w:w="1523" w:type="dxa"/>
                  <w:vAlign w:val="center"/>
                </w:tcPr>
                <w:p w14:paraId="02E7EB52">
                  <w:pPr>
                    <w:pStyle w:val="109"/>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相对厂址距离</w:t>
                  </w:r>
                </w:p>
              </w:tc>
              <w:tc>
                <w:tcPr>
                  <w:tcW w:w="1317" w:type="dxa"/>
                  <w:vAlign w:val="center"/>
                </w:tcPr>
                <w:p w14:paraId="1A1526D9">
                  <w:pPr>
                    <w:pStyle w:val="109"/>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功能</w:t>
                  </w:r>
                </w:p>
              </w:tc>
              <w:tc>
                <w:tcPr>
                  <w:tcW w:w="3177" w:type="dxa"/>
                  <w:vAlign w:val="center"/>
                </w:tcPr>
                <w:p w14:paraId="264F7F0B">
                  <w:pPr>
                    <w:pStyle w:val="109"/>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bCs/>
                      <w:snapToGrid w:val="0"/>
                      <w:color w:val="auto"/>
                      <w:sz w:val="21"/>
                      <w:szCs w:val="21"/>
                      <w:u w:val="none"/>
                      <w:vertAlign w:val="baseline"/>
                      <w:lang w:val="en-US" w:eastAsia="zh-CN"/>
                    </w:rPr>
                  </w:pPr>
                  <w:r>
                    <w:rPr>
                      <w:rFonts w:hint="eastAsia" w:ascii="Times New Roman" w:hAnsi="宋体" w:eastAsia="宋体" w:cs="Times New Roman"/>
                      <w:b/>
                      <w:bCs/>
                      <w:snapToGrid w:val="0"/>
                      <w:color w:val="auto"/>
                      <w:sz w:val="21"/>
                      <w:szCs w:val="21"/>
                      <w:u w:val="none"/>
                      <w:vertAlign w:val="baseline"/>
                      <w:lang w:val="en-US" w:eastAsia="zh-CN"/>
                    </w:rPr>
                    <w:t>控制标准</w:t>
                  </w:r>
                </w:p>
              </w:tc>
            </w:tr>
            <w:tr w14:paraId="782E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14:paraId="7527F0A3">
                  <w:pPr>
                    <w:pStyle w:val="109"/>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val="0"/>
                      <w:snapToGrid w:val="0"/>
                      <w:color w:val="auto"/>
                      <w:sz w:val="21"/>
                      <w:szCs w:val="21"/>
                      <w:u w:val="none"/>
                      <w:vertAlign w:val="baseline"/>
                      <w:lang w:val="en-US" w:eastAsia="zh-CN"/>
                    </w:rPr>
                  </w:pPr>
                  <w:r>
                    <w:rPr>
                      <w:rFonts w:hint="eastAsia" w:cs="Times New Roman"/>
                      <w:b w:val="0"/>
                      <w:snapToGrid w:val="0"/>
                      <w:color w:val="auto"/>
                      <w:sz w:val="21"/>
                      <w:szCs w:val="21"/>
                      <w:u w:val="none"/>
                      <w:vertAlign w:val="baseline"/>
                      <w:lang w:val="en-US" w:eastAsia="zh-CN"/>
                    </w:rPr>
                    <w:t>澄潭江</w:t>
                  </w:r>
                </w:p>
              </w:tc>
              <w:tc>
                <w:tcPr>
                  <w:tcW w:w="1683" w:type="dxa"/>
                  <w:vAlign w:val="center"/>
                </w:tcPr>
                <w:p w14:paraId="2C442F3E">
                  <w:pPr>
                    <w:pStyle w:val="109"/>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val="0"/>
                      <w:snapToGrid w:val="0"/>
                      <w:color w:val="auto"/>
                      <w:sz w:val="21"/>
                      <w:szCs w:val="21"/>
                      <w:u w:val="none"/>
                      <w:vertAlign w:val="baseline"/>
                      <w:lang w:val="en-US" w:eastAsia="zh-CN"/>
                    </w:rPr>
                  </w:pPr>
                  <w:r>
                    <w:rPr>
                      <w:rFonts w:hint="eastAsia" w:cs="Times New Roman"/>
                      <w:b w:val="0"/>
                      <w:snapToGrid w:val="0"/>
                      <w:color w:val="auto"/>
                      <w:sz w:val="21"/>
                      <w:szCs w:val="21"/>
                      <w:u w:val="none"/>
                      <w:vertAlign w:val="baseline"/>
                      <w:lang w:val="en-US" w:eastAsia="zh-CN"/>
                    </w:rPr>
                    <w:t>东南</w:t>
                  </w:r>
                </w:p>
              </w:tc>
              <w:tc>
                <w:tcPr>
                  <w:tcW w:w="1523" w:type="dxa"/>
                  <w:vAlign w:val="center"/>
                </w:tcPr>
                <w:p w14:paraId="63D4F70E">
                  <w:pPr>
                    <w:pStyle w:val="109"/>
                    <w:keepNext w:val="0"/>
                    <w:keepLines w:val="0"/>
                    <w:suppressLineNumbers w:val="0"/>
                    <w:spacing w:before="0" w:beforeLines="-2147483648" w:beforeAutospacing="0" w:after="0" w:afterAutospacing="0" w:line="240" w:lineRule="auto"/>
                    <w:ind w:left="0" w:right="0" w:firstLine="0" w:firstLineChars="0"/>
                    <w:jc w:val="center"/>
                    <w:rPr>
                      <w:rFonts w:hint="default" w:ascii="Times New Roman" w:hAnsi="宋体" w:eastAsia="宋体" w:cs="Times New Roman"/>
                      <w:b w:val="0"/>
                      <w:snapToGrid w:val="0"/>
                      <w:color w:val="auto"/>
                      <w:sz w:val="21"/>
                      <w:szCs w:val="21"/>
                      <w:u w:val="none"/>
                      <w:vertAlign w:val="baseline"/>
                      <w:lang w:val="en-US" w:eastAsia="zh-CN"/>
                    </w:rPr>
                  </w:pPr>
                  <w:r>
                    <w:rPr>
                      <w:rFonts w:hint="eastAsia" w:cs="Times New Roman"/>
                      <w:b w:val="0"/>
                      <w:snapToGrid w:val="0"/>
                      <w:color w:val="auto"/>
                      <w:sz w:val="21"/>
                      <w:szCs w:val="21"/>
                      <w:u w:val="none"/>
                      <w:vertAlign w:val="baseline"/>
                      <w:lang w:val="en-US" w:eastAsia="zh-CN"/>
                    </w:rPr>
                    <w:t>2.5km</w:t>
                  </w:r>
                </w:p>
              </w:tc>
              <w:tc>
                <w:tcPr>
                  <w:tcW w:w="1317" w:type="dxa"/>
                  <w:vAlign w:val="center"/>
                </w:tcPr>
                <w:p w14:paraId="45223260">
                  <w:pPr>
                    <w:pStyle w:val="12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宋体" w:eastAsia="宋体" w:cs="Times New Roman"/>
                      <w:b w:val="0"/>
                      <w:snapToGrid w:val="0"/>
                      <w:color w:val="auto"/>
                      <w:sz w:val="21"/>
                      <w:szCs w:val="21"/>
                      <w:u w:val="none"/>
                      <w:vertAlign w:val="baseline"/>
                      <w:lang w:val="en-US" w:eastAsia="zh-CN"/>
                    </w:rPr>
                  </w:pPr>
                  <w:r>
                    <w:rPr>
                      <w:rFonts w:hint="default" w:ascii="Times New Roman" w:hAnsi="Times New Roman" w:cs="Times New Roman"/>
                      <w:color w:val="auto"/>
                      <w:sz w:val="21"/>
                      <w:szCs w:val="21"/>
                      <w:highlight w:val="none"/>
                      <w:u w:val="none"/>
                      <w:lang w:eastAsia="zh-CN"/>
                    </w:rPr>
                    <w:t>中河，农业用水</w:t>
                  </w:r>
                </w:p>
              </w:tc>
              <w:tc>
                <w:tcPr>
                  <w:tcW w:w="3177" w:type="dxa"/>
                  <w:vAlign w:val="center"/>
                </w:tcPr>
                <w:p w14:paraId="07F4688B">
                  <w:pPr>
                    <w:pStyle w:val="12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宋体" w:eastAsia="宋体" w:cs="Times New Roman"/>
                      <w:b w:val="0"/>
                      <w:snapToGrid w:val="0"/>
                      <w:color w:val="auto"/>
                      <w:sz w:val="21"/>
                      <w:szCs w:val="21"/>
                      <w:u w:val="none"/>
                      <w:vertAlign w:val="baseline"/>
                      <w:lang w:val="en-US" w:eastAsia="zh-CN"/>
                    </w:rPr>
                  </w:pPr>
                  <w:r>
                    <w:rPr>
                      <w:rFonts w:hint="default" w:ascii="Times New Roman" w:hAnsi="Times New Roman" w:cs="Times New Roman"/>
                      <w:color w:val="auto"/>
                      <w:sz w:val="21"/>
                      <w:szCs w:val="21"/>
                      <w:highlight w:val="none"/>
                      <w:u w:val="none"/>
                    </w:rPr>
                    <w:t>《地表水环境质量标准》（GB3838-2002）III类标准</w:t>
                  </w:r>
                </w:p>
              </w:tc>
            </w:tr>
          </w:tbl>
          <w:p w14:paraId="67831CF8">
            <w:pPr>
              <w:pStyle w:val="109"/>
              <w:keepNext w:val="0"/>
              <w:keepLines w:val="0"/>
              <w:suppressLineNumbers w:val="0"/>
              <w:spacing w:before="157" w:beforeLines="50" w:beforeAutospacing="0" w:after="0" w:afterAutospacing="0"/>
              <w:ind w:left="0" w:right="0" w:firstLine="480"/>
              <w:rPr>
                <w:rFonts w:hint="default"/>
                <w:b/>
                <w:snapToGrid w:val="0"/>
                <w:color w:val="auto"/>
                <w:u w:val="none"/>
              </w:rPr>
            </w:pPr>
            <w:r>
              <w:rPr>
                <w:rFonts w:hint="eastAsia"/>
                <w:b/>
                <w:snapToGrid w:val="0"/>
                <w:color w:val="auto"/>
                <w:u w:val="none"/>
                <w:lang w:val="en-US" w:eastAsia="zh-CN"/>
              </w:rPr>
              <w:t>4</w:t>
            </w:r>
            <w:r>
              <w:rPr>
                <w:rFonts w:hint="default"/>
                <w:b/>
                <w:snapToGrid w:val="0"/>
                <w:color w:val="auto"/>
                <w:u w:val="none"/>
              </w:rPr>
              <w:t>、地下水环境保护目标</w:t>
            </w:r>
          </w:p>
          <w:p w14:paraId="39FD883D">
            <w:pPr>
              <w:pStyle w:val="109"/>
              <w:keepNext w:val="0"/>
              <w:keepLines w:val="0"/>
              <w:suppressLineNumbers w:val="0"/>
              <w:spacing w:before="0" w:beforeAutospacing="0" w:after="0" w:afterAutospacing="0"/>
              <w:ind w:left="0" w:right="0" w:firstLine="480"/>
              <w:rPr>
                <w:rFonts w:hint="default"/>
                <w:snapToGrid w:val="0"/>
                <w:color w:val="auto"/>
                <w:u w:val="none"/>
              </w:rPr>
            </w:pPr>
            <w:r>
              <w:rPr>
                <w:rFonts w:hint="default"/>
                <w:snapToGrid w:val="0"/>
                <w:color w:val="auto"/>
                <w:u w:val="none"/>
              </w:rPr>
              <w:t>本项目厂界外500米范围内无地下水集中式饮用水水源和热水、矿泉水、温泉等特殊地下水资源。</w:t>
            </w:r>
          </w:p>
          <w:p w14:paraId="5D4AA904">
            <w:pPr>
              <w:pStyle w:val="109"/>
              <w:keepNext w:val="0"/>
              <w:keepLines w:val="0"/>
              <w:suppressLineNumbers w:val="0"/>
              <w:spacing w:before="0" w:beforeAutospacing="0" w:after="0" w:afterAutospacing="0"/>
              <w:ind w:left="0" w:right="0" w:firstLine="480"/>
              <w:rPr>
                <w:rFonts w:hint="default"/>
                <w:b/>
                <w:snapToGrid w:val="0"/>
                <w:color w:val="auto"/>
                <w:u w:val="none"/>
              </w:rPr>
            </w:pPr>
            <w:r>
              <w:rPr>
                <w:rFonts w:hint="eastAsia"/>
                <w:b/>
                <w:snapToGrid w:val="0"/>
                <w:color w:val="auto"/>
                <w:u w:val="none"/>
                <w:lang w:val="en-US" w:eastAsia="zh-CN"/>
              </w:rPr>
              <w:t>5</w:t>
            </w:r>
            <w:r>
              <w:rPr>
                <w:rFonts w:hint="default"/>
                <w:b/>
                <w:snapToGrid w:val="0"/>
                <w:color w:val="auto"/>
                <w:u w:val="none"/>
              </w:rPr>
              <w:t>、生态环境保护目标</w:t>
            </w:r>
          </w:p>
          <w:p w14:paraId="1FF35BB9">
            <w:pPr>
              <w:pStyle w:val="109"/>
              <w:keepNext w:val="0"/>
              <w:keepLines w:val="0"/>
              <w:suppressLineNumbers w:val="0"/>
              <w:spacing w:before="0" w:beforeAutospacing="0" w:after="0" w:afterAutospacing="0"/>
              <w:ind w:left="0" w:right="0" w:firstLine="480"/>
              <w:rPr>
                <w:rFonts w:hint="eastAsia"/>
                <w:snapToGrid w:val="0"/>
                <w:color w:val="auto"/>
                <w:u w:val="none"/>
              </w:rPr>
            </w:pPr>
            <w:r>
              <w:rPr>
                <w:rFonts w:hint="eastAsia"/>
                <w:snapToGrid w:val="0"/>
                <w:color w:val="auto"/>
                <w:u w:val="none"/>
              </w:rPr>
              <w:t>项目不占用基本农田保护区、公益生态林等。</w:t>
            </w:r>
          </w:p>
          <w:p w14:paraId="5D55CFB7">
            <w:pPr>
              <w:pStyle w:val="109"/>
              <w:keepNext w:val="0"/>
              <w:keepLines w:val="0"/>
              <w:suppressLineNumbers w:val="0"/>
              <w:spacing w:before="0" w:beforeAutospacing="0" w:after="0" w:afterAutospacing="0"/>
              <w:ind w:left="0" w:right="0" w:firstLine="480"/>
              <w:rPr>
                <w:rFonts w:hint="default"/>
                <w:snapToGrid w:val="0"/>
                <w:color w:val="auto"/>
                <w:u w:val="none"/>
              </w:rPr>
            </w:pPr>
            <w:r>
              <w:rPr>
                <w:rFonts w:hint="eastAsia"/>
                <w:snapToGrid w:val="0"/>
                <w:color w:val="auto"/>
                <w:u w:val="none"/>
              </w:rPr>
              <w:t>项目位于</w:t>
            </w:r>
            <w:r>
              <w:rPr>
                <w:rFonts w:hint="eastAsia"/>
                <w:snapToGrid w:val="0"/>
                <w:color w:val="auto"/>
                <w:u w:val="none"/>
                <w:lang w:eastAsia="zh-CN"/>
              </w:rPr>
              <w:t>浦口镇浦口村</w:t>
            </w:r>
            <w:r>
              <w:rPr>
                <w:rFonts w:hint="eastAsia"/>
                <w:snapToGrid w:val="0"/>
                <w:color w:val="auto"/>
                <w:u w:val="none"/>
                <w:lang w:val="en-US" w:eastAsia="zh-CN"/>
              </w:rPr>
              <w:t>，</w:t>
            </w:r>
            <w:r>
              <w:rPr>
                <w:rFonts w:hint="eastAsia"/>
                <w:snapToGrid w:val="0"/>
                <w:color w:val="auto"/>
                <w:u w:val="none"/>
              </w:rPr>
              <w:t>周边主要环境保护目标为居民散户等，区域内无其他历史文物遗址和风景名胜区等需要特别保护区域</w:t>
            </w:r>
            <w:r>
              <w:rPr>
                <w:rFonts w:hint="eastAsia"/>
                <w:snapToGrid w:val="0"/>
                <w:color w:val="auto"/>
                <w:u w:val="none"/>
                <w:lang w:eastAsia="zh-CN"/>
              </w:rPr>
              <w:t>。</w:t>
            </w:r>
          </w:p>
        </w:tc>
      </w:tr>
      <w:tr w14:paraId="6A782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9" w:type="dxa"/>
            <w:noWrap w:val="0"/>
            <w:tcMar>
              <w:left w:w="28" w:type="dxa"/>
              <w:right w:w="28" w:type="dxa"/>
            </w:tcMar>
            <w:vAlign w:val="center"/>
          </w:tcPr>
          <w:p w14:paraId="1CBBE5F2">
            <w:pPr>
              <w:pStyle w:val="36"/>
              <w:keepNext w:val="0"/>
              <w:keepLines w:val="0"/>
              <w:suppressLineNumbers w:val="0"/>
              <w:spacing w:before="0" w:beforeAutospacing="0" w:after="0" w:afterAutospacing="0"/>
              <w:ind w:left="0" w:right="0"/>
              <w:rPr>
                <w:rFonts w:hint="default"/>
                <w:color w:val="auto"/>
                <w:u w:val="none"/>
              </w:rPr>
            </w:pPr>
            <w:r>
              <w:rPr>
                <w:rFonts w:hint="default"/>
                <w:color w:val="auto"/>
                <w:u w:val="none"/>
              </w:rPr>
              <w:t>污染物排放控制标准</w:t>
            </w:r>
          </w:p>
        </w:tc>
        <w:tc>
          <w:tcPr>
            <w:tcW w:w="8977" w:type="dxa"/>
            <w:noWrap w:val="0"/>
            <w:vAlign w:val="top"/>
          </w:tcPr>
          <w:p w14:paraId="575F733A">
            <w:pPr>
              <w:pStyle w:val="109"/>
              <w:keepNext w:val="0"/>
              <w:keepLines w:val="0"/>
              <w:suppressLineNumbers w:val="0"/>
              <w:spacing w:before="157" w:beforeLines="50" w:beforeAutospacing="0" w:after="0" w:afterAutospacing="0"/>
              <w:ind w:left="0" w:right="0" w:firstLine="482"/>
              <w:rPr>
                <w:rFonts w:hint="default"/>
                <w:b/>
                <w:snapToGrid w:val="0"/>
                <w:color w:val="auto"/>
                <w:u w:val="none"/>
              </w:rPr>
            </w:pPr>
            <w:r>
              <w:rPr>
                <w:rFonts w:hint="default"/>
                <w:b/>
                <w:snapToGrid w:val="0"/>
                <w:color w:val="auto"/>
                <w:u w:val="none"/>
              </w:rPr>
              <w:t>1、废气污染物排放标准</w:t>
            </w:r>
          </w:p>
          <w:p w14:paraId="05E26B2E">
            <w:pPr>
              <w:pStyle w:val="109"/>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本项目废气主要为机械加工工序产生的颗粒物、焊接工序产生的焊接烟尘、补漆工序产生的有机废气、补漆工序产生的颗粒物。</w:t>
            </w:r>
          </w:p>
          <w:p w14:paraId="15C783C4">
            <w:pPr>
              <w:pStyle w:val="109"/>
              <w:keepNext w:val="0"/>
              <w:keepLines w:val="0"/>
              <w:suppressLineNumbers w:val="0"/>
              <w:spacing w:before="0" w:beforeAutospacing="0" w:after="0" w:afterAutospacing="0"/>
              <w:ind w:left="0" w:right="0" w:firstLine="480" w:firstLineChars="0"/>
              <w:jc w:val="left"/>
              <w:rPr>
                <w:rFonts w:hint="eastAsia"/>
                <w:color w:val="auto"/>
                <w:u w:val="none"/>
                <w:lang w:val="en-US" w:eastAsia="zh-CN"/>
              </w:rPr>
            </w:pPr>
            <w:r>
              <w:rPr>
                <w:rFonts w:hint="eastAsia"/>
                <w:color w:val="auto"/>
                <w:u w:val="none"/>
                <w:lang w:val="en-US" w:eastAsia="zh-CN"/>
              </w:rPr>
              <w:t>金属加工工序产生的颗粒物、焊接工序产生的焊接烟尘、补漆工序产生的颗粒物执行《大气污染物综合排放标准》(GB16297-1996)表 2 中颗粒物排放监控浓度限值。</w:t>
            </w:r>
          </w:p>
          <w:p w14:paraId="39BFBB57">
            <w:pPr>
              <w:pStyle w:val="109"/>
              <w:keepNext w:val="0"/>
              <w:keepLines w:val="0"/>
              <w:suppressLineNumbers w:val="0"/>
              <w:kinsoku/>
              <w:overflowPunct w:val="0"/>
              <w:spacing w:before="0" w:beforeAutospacing="0" w:after="0" w:afterAutospacing="0"/>
              <w:ind w:left="0" w:right="0" w:firstLine="482" w:firstLineChars="0"/>
              <w:jc w:val="both"/>
              <w:rPr>
                <w:rFonts w:hint="eastAsia"/>
                <w:color w:val="auto"/>
                <w:u w:val="none"/>
                <w:lang w:val="en-US" w:eastAsia="zh-CN"/>
              </w:rPr>
            </w:pPr>
            <w:r>
              <w:rPr>
                <w:rFonts w:hint="eastAsia"/>
                <w:color w:val="auto"/>
                <w:u w:val="none"/>
                <w:lang w:val="en-US" w:eastAsia="zh-CN"/>
              </w:rPr>
              <w:t>根据《表面涂装（汽车制造及维修）挥发性有机物、镍排放标准》（DB43/1356-2017）范围说明：其它工业企业涉及表面涂装工序废气中挥发性有机物、废水中镍的排放控制与管理可参照本标准执行，因此本项目有机废气有组织排放参照执行湖南省地方标准《表面涂装（汽车制造及维修）挥发性有机物、镍排放标准》（DB43/1356-2017）表1汽车制造标准。</w:t>
            </w:r>
          </w:p>
          <w:p w14:paraId="38A585BD">
            <w:pPr>
              <w:pStyle w:val="109"/>
              <w:keepNext w:val="0"/>
              <w:keepLines w:val="0"/>
              <w:suppressLineNumbers w:val="0"/>
              <w:spacing w:before="0" w:beforeAutospacing="0" w:after="0" w:afterAutospacing="0"/>
              <w:ind w:left="0" w:right="0" w:firstLine="480" w:firstLineChars="0"/>
              <w:jc w:val="left"/>
              <w:rPr>
                <w:rFonts w:hint="eastAsia"/>
                <w:color w:val="auto"/>
                <w:u w:val="none"/>
                <w:lang w:val="en-US" w:eastAsia="zh-CN"/>
              </w:rPr>
            </w:pPr>
            <w:r>
              <w:rPr>
                <w:rFonts w:hint="eastAsia"/>
                <w:color w:val="auto"/>
                <w:u w:val="none"/>
                <w:lang w:val="en-US" w:eastAsia="zh-CN"/>
              </w:rPr>
              <w:t>根据建设方提供的树脂漆MSDS资料，使用的树脂漆中成分组成为醇酸树脂、200#溶剂油（主要成分为烷烃和环烷烃）等，因此选取非甲烷总烃为特征排放因子。</w:t>
            </w:r>
          </w:p>
          <w:p w14:paraId="57835255">
            <w:pPr>
              <w:pStyle w:val="109"/>
              <w:keepNext w:val="0"/>
              <w:keepLines w:val="0"/>
              <w:suppressLineNumbers w:val="0"/>
              <w:spacing w:before="0" w:beforeAutospacing="0" w:after="0" w:afterAutospacing="0"/>
              <w:ind w:left="0" w:right="0" w:firstLine="480" w:firstLineChars="0"/>
              <w:jc w:val="left"/>
              <w:rPr>
                <w:rFonts w:hint="eastAsia"/>
                <w:color w:val="auto"/>
                <w:u w:val="none"/>
                <w:lang w:val="en-US" w:eastAsia="zh-CN"/>
              </w:rPr>
            </w:pPr>
            <w:r>
              <w:rPr>
                <w:rFonts w:hint="eastAsia"/>
                <w:color w:val="auto"/>
                <w:u w:val="none"/>
                <w:lang w:val="en-US" w:eastAsia="zh-CN"/>
              </w:rPr>
              <w:t>厂界非甲烷总烃参照执行《表面涂装（汽车制造及维修）挥发性有机物、镍排放标准》（DB43/1356-2017）表 3 汽车制造标准。车间通风处非甲烷总烃无组织排放执行《挥发性有机物无组织排放控制标准》(GB37822-2019) 的相关要求。</w:t>
            </w:r>
          </w:p>
          <w:p w14:paraId="4C78783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lang w:val="en-US" w:eastAsia="zh-CN" w:bidi="ar-SA"/>
              </w:rPr>
            </w:pPr>
            <w:r>
              <w:rPr>
                <w:rFonts w:hint="eastAsia" w:hAnsi="宋体" w:cs="Times New Roman"/>
                <w:color w:val="auto"/>
                <w:kern w:val="2"/>
                <w:sz w:val="24"/>
                <w:szCs w:val="24"/>
                <w:lang w:val="en-US" w:eastAsia="zh-CN" w:bidi="ar-SA"/>
              </w:rPr>
              <w:t>本项目食堂为小型灶头，</w:t>
            </w:r>
            <w:r>
              <w:rPr>
                <w:rFonts w:hint="eastAsia" w:ascii="Times New Roman" w:hAnsi="宋体" w:eastAsia="宋体" w:cs="Times New Roman"/>
                <w:color w:val="auto"/>
                <w:kern w:val="2"/>
                <w:sz w:val="24"/>
                <w:szCs w:val="24"/>
                <w:lang w:val="en-US" w:eastAsia="zh-CN" w:bidi="ar-SA"/>
              </w:rPr>
              <w:t>食堂油烟执行《饮食业油烟排放标准（试行）》（GB18483-2001）2.0mg/m³标准。</w:t>
            </w:r>
          </w:p>
          <w:p w14:paraId="5F9B7616">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b/>
                <w:bCs/>
                <w:color w:val="auto"/>
                <w:kern w:val="2"/>
                <w:sz w:val="21"/>
                <w:szCs w:val="21"/>
                <w:lang w:val="en-US" w:eastAsia="zh-CN" w:bidi="ar-SA"/>
              </w:rPr>
              <w:t>表3-</w:t>
            </w:r>
            <w:r>
              <w:rPr>
                <w:rFonts w:hint="eastAsia" w:hAnsi="宋体" w:cs="Times New Roman"/>
                <w:b/>
                <w:bCs/>
                <w:color w:val="auto"/>
                <w:kern w:val="2"/>
                <w:sz w:val="21"/>
                <w:szCs w:val="21"/>
                <w:lang w:val="en-US" w:eastAsia="zh-CN" w:bidi="ar-SA"/>
              </w:rPr>
              <w:t>8</w:t>
            </w:r>
            <w:r>
              <w:rPr>
                <w:rFonts w:hint="eastAsia" w:ascii="Times New Roman" w:hAnsi="宋体" w:eastAsia="宋体" w:cs="Times New Roman"/>
                <w:b/>
                <w:bCs/>
                <w:color w:val="auto"/>
                <w:kern w:val="2"/>
                <w:sz w:val="21"/>
                <w:szCs w:val="21"/>
                <w:lang w:val="en-US" w:eastAsia="zh-CN" w:bidi="ar-SA"/>
              </w:rPr>
              <w:t>《大气污染物综合排放标准》（GB16297-1996）</w:t>
            </w:r>
          </w:p>
          <w:tbl>
            <w:tblPr>
              <w:tblStyle w:val="25"/>
              <w:tblW w:w="499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56"/>
              <w:gridCol w:w="1735"/>
              <w:gridCol w:w="1183"/>
              <w:gridCol w:w="1458"/>
              <w:gridCol w:w="1461"/>
            </w:tblGrid>
            <w:tr w14:paraId="7569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Merge w:val="restart"/>
                  <w:noWrap w:val="0"/>
                  <w:vAlign w:val="center"/>
                </w:tcPr>
                <w:p w14:paraId="6436C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vertAlign w:val="baseline"/>
                      <w:lang w:val="en-US" w:eastAsia="zh-CN"/>
                    </w:rPr>
                    <w:t>污染物项目</w:t>
                  </w:r>
                </w:p>
              </w:tc>
              <w:tc>
                <w:tcPr>
                  <w:tcW w:w="2499" w:type="pct"/>
                  <w:gridSpan w:val="3"/>
                  <w:noWrap w:val="0"/>
                  <w:vAlign w:val="center"/>
                </w:tcPr>
                <w:p w14:paraId="0BD10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vertAlign w:val="baseline"/>
                      <w:lang w:val="en-US" w:eastAsia="zh-CN"/>
                    </w:rPr>
                    <w:t>有组织排放</w:t>
                  </w:r>
                </w:p>
              </w:tc>
              <w:tc>
                <w:tcPr>
                  <w:tcW w:w="1667" w:type="pct"/>
                  <w:gridSpan w:val="2"/>
                  <w:noWrap w:val="0"/>
                  <w:vAlign w:val="center"/>
                </w:tcPr>
                <w:p w14:paraId="24E17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vertAlign w:val="baseline"/>
                      <w:lang w:val="en-US" w:eastAsia="zh-CN"/>
                    </w:rPr>
                    <w:t>无组织排放</w:t>
                  </w:r>
                </w:p>
              </w:tc>
            </w:tr>
            <w:tr w14:paraId="2E6E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Merge w:val="continue"/>
                  <w:noWrap w:val="0"/>
                  <w:vAlign w:val="center"/>
                </w:tcPr>
                <w:p w14:paraId="5D363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p>
              </w:tc>
              <w:tc>
                <w:tcPr>
                  <w:tcW w:w="832" w:type="pct"/>
                  <w:noWrap w:val="0"/>
                  <w:vAlign w:val="center"/>
                </w:tcPr>
                <w:p w14:paraId="33C0C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vertAlign w:val="baseline"/>
                      <w:lang w:val="en-US" w:eastAsia="zh-CN"/>
                    </w:rPr>
                    <w:t>排放浓度（mg/m</w:t>
                  </w:r>
                  <w:r>
                    <w:rPr>
                      <w:rFonts w:hint="eastAsia" w:ascii="Times New Roman" w:hAnsi="Times New Roman" w:eastAsia="宋体" w:cs="Times New Roman"/>
                      <w:b/>
                      <w:bCs/>
                      <w:color w:val="auto"/>
                      <w:kern w:val="2"/>
                      <w:sz w:val="21"/>
                      <w:szCs w:val="21"/>
                      <w:highlight w:val="none"/>
                      <w:vertAlign w:val="superscript"/>
                      <w:lang w:val="en-US" w:eastAsia="zh-CN"/>
                    </w:rPr>
                    <w:t>3</w:t>
                  </w:r>
                  <w:r>
                    <w:rPr>
                      <w:rFonts w:hint="eastAsia" w:ascii="Times New Roman" w:hAnsi="Times New Roman" w:eastAsia="宋体" w:cs="Times New Roman"/>
                      <w:b/>
                      <w:bCs/>
                      <w:color w:val="auto"/>
                      <w:kern w:val="2"/>
                      <w:sz w:val="21"/>
                      <w:szCs w:val="21"/>
                      <w:highlight w:val="none"/>
                      <w:vertAlign w:val="baseline"/>
                      <w:lang w:val="en-US" w:eastAsia="zh-CN"/>
                    </w:rPr>
                    <w:t>）</w:t>
                  </w:r>
                </w:p>
              </w:tc>
              <w:tc>
                <w:tcPr>
                  <w:tcW w:w="991" w:type="pct"/>
                  <w:noWrap w:val="0"/>
                  <w:vAlign w:val="center"/>
                </w:tcPr>
                <w:p w14:paraId="246F1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vertAlign w:val="baseline"/>
                      <w:lang w:val="en-US" w:eastAsia="zh-CN"/>
                    </w:rPr>
                    <w:t>最高允许排放速率（kg/h）</w:t>
                  </w:r>
                </w:p>
              </w:tc>
              <w:tc>
                <w:tcPr>
                  <w:tcW w:w="675" w:type="pct"/>
                  <w:noWrap w:val="0"/>
                  <w:vAlign w:val="center"/>
                </w:tcPr>
                <w:p w14:paraId="4DBC5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vertAlign w:val="baseline"/>
                      <w:lang w:val="en-US" w:eastAsia="zh-CN"/>
                    </w:rPr>
                    <w:t>排气筒高度（m）</w:t>
                  </w:r>
                </w:p>
              </w:tc>
              <w:tc>
                <w:tcPr>
                  <w:tcW w:w="833" w:type="pct"/>
                  <w:noWrap w:val="0"/>
                  <w:vAlign w:val="center"/>
                </w:tcPr>
                <w:p w14:paraId="70A99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vertAlign w:val="baseline"/>
                      <w:lang w:val="en-US" w:eastAsia="zh-CN"/>
                    </w:rPr>
                    <w:t>监测点</w:t>
                  </w:r>
                </w:p>
              </w:tc>
              <w:tc>
                <w:tcPr>
                  <w:tcW w:w="834" w:type="pct"/>
                  <w:noWrap w:val="0"/>
                  <w:vAlign w:val="center"/>
                </w:tcPr>
                <w:p w14:paraId="05122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rPr>
                  </w:pPr>
                  <w:r>
                    <w:rPr>
                      <w:rFonts w:hint="eastAsia" w:ascii="Times New Roman" w:hAnsi="Times New Roman" w:eastAsia="宋体" w:cs="Times New Roman"/>
                      <w:b/>
                      <w:bCs/>
                      <w:color w:val="auto"/>
                      <w:kern w:val="2"/>
                      <w:sz w:val="21"/>
                      <w:szCs w:val="21"/>
                      <w:highlight w:val="none"/>
                      <w:vertAlign w:val="baseline"/>
                      <w:lang w:val="en-US" w:eastAsia="zh-CN"/>
                    </w:rPr>
                    <w:t>浓度（mg/m</w:t>
                  </w:r>
                  <w:r>
                    <w:rPr>
                      <w:rFonts w:hint="eastAsia" w:ascii="Times New Roman" w:hAnsi="Times New Roman" w:eastAsia="宋体" w:cs="Times New Roman"/>
                      <w:b/>
                      <w:bCs/>
                      <w:color w:val="auto"/>
                      <w:kern w:val="2"/>
                      <w:sz w:val="21"/>
                      <w:szCs w:val="21"/>
                      <w:highlight w:val="none"/>
                      <w:vertAlign w:val="superscript"/>
                      <w:lang w:val="en-US" w:eastAsia="zh-CN"/>
                    </w:rPr>
                    <w:t>3</w:t>
                  </w:r>
                  <w:r>
                    <w:rPr>
                      <w:rFonts w:hint="eastAsia" w:ascii="Times New Roman" w:hAnsi="Times New Roman" w:eastAsia="宋体" w:cs="Times New Roman"/>
                      <w:b/>
                      <w:bCs/>
                      <w:color w:val="auto"/>
                      <w:kern w:val="2"/>
                      <w:sz w:val="21"/>
                      <w:szCs w:val="21"/>
                      <w:highlight w:val="none"/>
                      <w:vertAlign w:val="baseline"/>
                      <w:lang w:val="en-US" w:eastAsia="zh-CN"/>
                    </w:rPr>
                    <w:t>）</w:t>
                  </w:r>
                </w:p>
              </w:tc>
            </w:tr>
            <w:tr w14:paraId="290E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14:paraId="12722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rPr>
                    <w:t>颗粒物</w:t>
                  </w:r>
                </w:p>
              </w:tc>
              <w:tc>
                <w:tcPr>
                  <w:tcW w:w="832" w:type="pct"/>
                  <w:noWrap w:val="0"/>
                  <w:vAlign w:val="center"/>
                </w:tcPr>
                <w:p w14:paraId="525EA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rPr>
                    <w:t>120</w:t>
                  </w:r>
                </w:p>
              </w:tc>
              <w:tc>
                <w:tcPr>
                  <w:tcW w:w="991" w:type="pct"/>
                  <w:noWrap w:val="0"/>
                  <w:vAlign w:val="center"/>
                </w:tcPr>
                <w:p w14:paraId="472BF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rPr>
                    <w:t>3.5</w:t>
                  </w:r>
                </w:p>
              </w:tc>
              <w:tc>
                <w:tcPr>
                  <w:tcW w:w="675" w:type="pct"/>
                  <w:noWrap w:val="0"/>
                  <w:vAlign w:val="center"/>
                </w:tcPr>
                <w:p w14:paraId="2BD82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rPr>
                    <w:t>15</w:t>
                  </w:r>
                </w:p>
              </w:tc>
              <w:tc>
                <w:tcPr>
                  <w:tcW w:w="833" w:type="pct"/>
                  <w:noWrap w:val="0"/>
                  <w:vAlign w:val="center"/>
                </w:tcPr>
                <w:p w14:paraId="69296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rPr>
                    <w:t>周界外浓度最高点</w:t>
                  </w:r>
                </w:p>
              </w:tc>
              <w:tc>
                <w:tcPr>
                  <w:tcW w:w="834" w:type="pct"/>
                  <w:noWrap w:val="0"/>
                  <w:vAlign w:val="center"/>
                </w:tcPr>
                <w:p w14:paraId="608CB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rPr>
                    <w:t>1.0</w:t>
                  </w:r>
                </w:p>
              </w:tc>
            </w:tr>
          </w:tbl>
          <w:p w14:paraId="6B67AE89">
            <w:pPr>
              <w:keepNext w:val="0"/>
              <w:keepLines w:val="0"/>
              <w:widowControl w:val="0"/>
              <w:suppressLineNumbers w:val="0"/>
              <w:adjustRightInd w:val="0"/>
              <w:snapToGrid w:val="0"/>
              <w:spacing w:before="313" w:beforeLines="100" w:beforeAutospacing="0" w:after="0" w:afterAutospacing="0" w:line="240" w:lineRule="auto"/>
              <w:ind w:left="0" w:right="0"/>
              <w:jc w:val="center"/>
              <w:rPr>
                <w:rFonts w:hint="eastAsia" w:ascii="Times New Roman" w:hAnsi="Times New Roman" w:eastAsia="宋体" w:cs="Times New Roman"/>
                <w:b/>
                <w:bCs/>
                <w:snapToGrid w:val="0"/>
                <w:color w:val="auto"/>
                <w:kern w:val="2"/>
                <w:sz w:val="21"/>
                <w:szCs w:val="21"/>
                <w:u w:val="single"/>
                <w:lang w:val="en-US" w:eastAsia="zh-CN" w:bidi="ar-SA"/>
              </w:rPr>
            </w:pPr>
            <w:r>
              <w:rPr>
                <w:rFonts w:hint="eastAsia" w:ascii="Times New Roman" w:hAnsi="Times New Roman" w:eastAsia="宋体" w:cs="Times New Roman"/>
                <w:b/>
                <w:bCs/>
                <w:snapToGrid w:val="0"/>
                <w:color w:val="auto"/>
                <w:kern w:val="2"/>
                <w:sz w:val="21"/>
                <w:szCs w:val="21"/>
                <w:u w:val="none"/>
                <w:lang w:val="en-US" w:eastAsia="zh-CN" w:bidi="ar-SA"/>
              </w:rPr>
              <w:t>表 3-</w:t>
            </w:r>
            <w:r>
              <w:rPr>
                <w:rFonts w:hint="eastAsia" w:cs="Times New Roman"/>
                <w:b/>
                <w:bCs/>
                <w:snapToGrid w:val="0"/>
                <w:color w:val="auto"/>
                <w:kern w:val="2"/>
                <w:sz w:val="21"/>
                <w:szCs w:val="21"/>
                <w:u w:val="none"/>
                <w:lang w:val="en-US" w:eastAsia="zh-CN" w:bidi="ar-SA"/>
              </w:rPr>
              <w:t>9</w:t>
            </w:r>
            <w:r>
              <w:rPr>
                <w:rFonts w:hint="eastAsia" w:ascii="Times New Roman" w:hAnsi="Times New Roman" w:eastAsia="宋体" w:cs="Times New Roman"/>
                <w:b/>
                <w:bCs/>
                <w:snapToGrid w:val="0"/>
                <w:color w:val="auto"/>
                <w:kern w:val="2"/>
                <w:sz w:val="21"/>
                <w:szCs w:val="21"/>
                <w:u w:val="none"/>
                <w:lang w:val="en-US" w:eastAsia="zh-CN" w:bidi="ar-SA"/>
              </w:rPr>
              <w:t>《表面涂装（汽车制造及维修）挥发性有机物、镍排放标准》（DB43/1356-2017）</w:t>
            </w:r>
          </w:p>
          <w:tbl>
            <w:tblPr>
              <w:tblStyle w:val="25"/>
              <w:tblW w:w="87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1923"/>
              <w:gridCol w:w="994"/>
              <w:gridCol w:w="751"/>
              <w:gridCol w:w="2796"/>
            </w:tblGrid>
            <w:tr w14:paraId="17A3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06" w:type="dxa"/>
                  <w:gridSpan w:val="5"/>
                  <w:noWrap w:val="0"/>
                  <w:vAlign w:val="center"/>
                </w:tcPr>
                <w:p w14:paraId="79F9B82C">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snapToGrid w:val="0"/>
                      <w:color w:val="auto"/>
                      <w:kern w:val="2"/>
                      <w:sz w:val="21"/>
                      <w:szCs w:val="21"/>
                      <w:vertAlign w:val="baseline"/>
                      <w:lang w:val="en-US" w:eastAsia="zh-CN" w:bidi="ar-SA"/>
                    </w:rPr>
                  </w:pPr>
                  <w:r>
                    <w:rPr>
                      <w:rFonts w:hint="eastAsia" w:ascii="Times New Roman" w:hAnsi="Times New Roman" w:eastAsia="宋体" w:cs="Times New Roman"/>
                      <w:b/>
                      <w:bCs/>
                      <w:snapToGrid w:val="0"/>
                      <w:color w:val="auto"/>
                      <w:kern w:val="2"/>
                      <w:sz w:val="21"/>
                      <w:szCs w:val="21"/>
                      <w:vertAlign w:val="baseline"/>
                      <w:lang w:val="en-US" w:eastAsia="zh-CN" w:bidi="ar-SA"/>
                    </w:rPr>
                    <w:t>排气筒挥发性有机物排放浓度限值</w:t>
                  </w:r>
                </w:p>
              </w:tc>
            </w:tr>
            <w:tr w14:paraId="4AD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5" w:type="dxa"/>
                  <w:gridSpan w:val="2"/>
                  <w:noWrap w:val="0"/>
                  <w:vAlign w:val="center"/>
                </w:tcPr>
                <w:p w14:paraId="10D27C4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napToGrid w:val="0"/>
                      <w:color w:val="auto"/>
                      <w:kern w:val="2"/>
                      <w:sz w:val="21"/>
                      <w:szCs w:val="21"/>
                      <w:vertAlign w:val="baseline"/>
                      <w:lang w:val="en-US" w:eastAsia="zh-CN" w:bidi="ar-SA"/>
                    </w:rPr>
                  </w:pPr>
                  <w:r>
                    <w:rPr>
                      <w:rFonts w:hint="eastAsia" w:ascii="Times New Roman" w:hAnsi="Times New Roman" w:eastAsia="宋体" w:cs="Times New Roman"/>
                      <w:b/>
                      <w:bCs/>
                      <w:snapToGrid w:val="0"/>
                      <w:color w:val="auto"/>
                      <w:kern w:val="2"/>
                      <w:sz w:val="21"/>
                      <w:szCs w:val="21"/>
                      <w:vertAlign w:val="baseline"/>
                      <w:lang w:val="en-US" w:eastAsia="zh-CN" w:bidi="ar-SA"/>
                    </w:rPr>
                    <w:t>污染物项目</w:t>
                  </w:r>
                </w:p>
              </w:tc>
              <w:tc>
                <w:tcPr>
                  <w:tcW w:w="4541" w:type="dxa"/>
                  <w:gridSpan w:val="3"/>
                  <w:noWrap w:val="0"/>
                  <w:vAlign w:val="center"/>
                </w:tcPr>
                <w:p w14:paraId="43A6CF2A">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snapToGrid w:val="0"/>
                      <w:color w:val="auto"/>
                      <w:kern w:val="2"/>
                      <w:sz w:val="21"/>
                      <w:szCs w:val="21"/>
                      <w:vertAlign w:val="baseline"/>
                      <w:lang w:val="en-US" w:eastAsia="zh-CN" w:bidi="ar-SA"/>
                    </w:rPr>
                  </w:pPr>
                  <w:r>
                    <w:rPr>
                      <w:rFonts w:hint="eastAsia" w:ascii="Times New Roman" w:hAnsi="Times New Roman" w:eastAsia="宋体" w:cs="Times New Roman"/>
                      <w:b/>
                      <w:bCs/>
                      <w:snapToGrid w:val="0"/>
                      <w:color w:val="auto"/>
                      <w:kern w:val="2"/>
                      <w:sz w:val="21"/>
                      <w:szCs w:val="21"/>
                      <w:vertAlign w:val="baseline"/>
                      <w:lang w:val="en-US" w:eastAsia="zh-CN" w:bidi="ar-SA"/>
                    </w:rPr>
                    <w:t>汽车制造</w:t>
                  </w:r>
                </w:p>
              </w:tc>
            </w:tr>
            <w:tr w14:paraId="3AB3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5" w:type="dxa"/>
                  <w:gridSpan w:val="2"/>
                  <w:noWrap w:val="0"/>
                  <w:vAlign w:val="center"/>
                </w:tcPr>
                <w:p w14:paraId="763BB90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snapToGrid w:val="0"/>
                      <w:color w:val="auto"/>
                      <w:kern w:val="2"/>
                      <w:sz w:val="21"/>
                      <w:szCs w:val="21"/>
                      <w:vertAlign w:val="baseline"/>
                      <w:lang w:val="en-US" w:eastAsia="zh-CN" w:bidi="ar-SA"/>
                    </w:rPr>
                  </w:pPr>
                  <w:r>
                    <w:rPr>
                      <w:rFonts w:hint="eastAsia" w:ascii="Times New Roman" w:hAnsi="Times New Roman" w:eastAsia="宋体" w:cs="Times New Roman"/>
                      <w:b w:val="0"/>
                      <w:bCs w:val="0"/>
                      <w:snapToGrid w:val="0"/>
                      <w:color w:val="auto"/>
                      <w:kern w:val="2"/>
                      <w:sz w:val="21"/>
                      <w:szCs w:val="21"/>
                      <w:vertAlign w:val="baseline"/>
                      <w:lang w:val="en-US" w:eastAsia="zh-CN" w:bidi="ar-SA"/>
                    </w:rPr>
                    <w:t>非甲烷总烃</w:t>
                  </w:r>
                </w:p>
              </w:tc>
              <w:tc>
                <w:tcPr>
                  <w:tcW w:w="4541" w:type="dxa"/>
                  <w:gridSpan w:val="3"/>
                  <w:noWrap w:val="0"/>
                  <w:vAlign w:val="center"/>
                </w:tcPr>
                <w:p w14:paraId="69BFDD2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snapToGrid w:val="0"/>
                      <w:color w:val="auto"/>
                      <w:kern w:val="2"/>
                      <w:sz w:val="21"/>
                      <w:szCs w:val="21"/>
                      <w:vertAlign w:val="baseline"/>
                      <w:lang w:val="en-US" w:eastAsia="zh-CN" w:bidi="ar-SA"/>
                    </w:rPr>
                  </w:pPr>
                  <w:r>
                    <w:rPr>
                      <w:rFonts w:hint="eastAsia" w:ascii="Times New Roman" w:hAnsi="Times New Roman" w:eastAsia="宋体" w:cs="Times New Roman"/>
                      <w:b w:val="0"/>
                      <w:bCs w:val="0"/>
                      <w:snapToGrid w:val="0"/>
                      <w:color w:val="auto"/>
                      <w:kern w:val="2"/>
                      <w:sz w:val="21"/>
                      <w:szCs w:val="21"/>
                      <w:vertAlign w:val="baseline"/>
                      <w:lang w:val="en-US" w:eastAsia="zh-CN" w:bidi="ar-SA"/>
                    </w:rPr>
                    <w:t>40mg/m</w:t>
                  </w:r>
                  <w:r>
                    <w:rPr>
                      <w:rFonts w:hint="eastAsia" w:ascii="Times New Roman" w:hAnsi="Times New Roman" w:eastAsia="宋体" w:cs="Times New Roman"/>
                      <w:b w:val="0"/>
                      <w:bCs w:val="0"/>
                      <w:snapToGrid w:val="0"/>
                      <w:color w:val="auto"/>
                      <w:kern w:val="2"/>
                      <w:sz w:val="21"/>
                      <w:szCs w:val="21"/>
                      <w:vertAlign w:val="superscript"/>
                      <w:lang w:val="en-US" w:eastAsia="zh-CN" w:bidi="ar-SA"/>
                    </w:rPr>
                    <w:t>3</w:t>
                  </w:r>
                </w:p>
              </w:tc>
            </w:tr>
            <w:tr w14:paraId="58BD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65" w:type="dxa"/>
                  <w:gridSpan w:val="2"/>
                  <w:noWrap w:val="0"/>
                  <w:vAlign w:val="center"/>
                </w:tcPr>
                <w:p w14:paraId="7A32B4F0">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snapToGrid w:val="0"/>
                      <w:color w:val="auto"/>
                      <w:kern w:val="2"/>
                      <w:sz w:val="21"/>
                      <w:szCs w:val="21"/>
                      <w:vertAlign w:val="baseline"/>
                      <w:lang w:val="en-US" w:eastAsia="zh-CN" w:bidi="ar-SA"/>
                    </w:rPr>
                  </w:pPr>
                  <w:r>
                    <w:rPr>
                      <w:rFonts w:hint="eastAsia" w:ascii="Times New Roman" w:hAnsi="Times New Roman" w:eastAsia="宋体" w:cs="Times New Roman"/>
                      <w:b w:val="0"/>
                      <w:bCs w:val="0"/>
                      <w:snapToGrid w:val="0"/>
                      <w:color w:val="auto"/>
                      <w:kern w:val="2"/>
                      <w:sz w:val="21"/>
                      <w:szCs w:val="21"/>
                      <w:vertAlign w:val="baseline"/>
                      <w:lang w:val="en-US" w:eastAsia="zh-CN" w:bidi="ar-SA"/>
                    </w:rPr>
                    <w:t>总挥发性有机物（TVOCs）</w:t>
                  </w:r>
                </w:p>
              </w:tc>
              <w:tc>
                <w:tcPr>
                  <w:tcW w:w="1745" w:type="dxa"/>
                  <w:gridSpan w:val="2"/>
                  <w:noWrap w:val="0"/>
                  <w:vAlign w:val="center"/>
                </w:tcPr>
                <w:p w14:paraId="75C5D29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snapToGrid w:val="0"/>
                      <w:color w:val="auto"/>
                      <w:kern w:val="2"/>
                      <w:sz w:val="21"/>
                      <w:szCs w:val="21"/>
                      <w:vertAlign w:val="baseline"/>
                      <w:lang w:val="en-US" w:eastAsia="zh-CN" w:bidi="ar-SA"/>
                    </w:rPr>
                  </w:pPr>
                  <w:r>
                    <w:rPr>
                      <w:rFonts w:hint="eastAsia" w:ascii="Times New Roman" w:hAnsi="Times New Roman" w:eastAsia="宋体" w:cs="Times New Roman"/>
                      <w:b w:val="0"/>
                      <w:bCs w:val="0"/>
                      <w:snapToGrid w:val="0"/>
                      <w:color w:val="auto"/>
                      <w:kern w:val="2"/>
                      <w:sz w:val="21"/>
                      <w:szCs w:val="21"/>
                      <w:vertAlign w:val="baseline"/>
                      <w:lang w:val="en-US" w:eastAsia="zh-CN" w:bidi="ar-SA"/>
                    </w:rPr>
                    <w:t>其他车型</w:t>
                  </w:r>
                </w:p>
              </w:tc>
              <w:tc>
                <w:tcPr>
                  <w:tcW w:w="2796" w:type="dxa"/>
                  <w:noWrap w:val="0"/>
                  <w:vAlign w:val="center"/>
                </w:tcPr>
                <w:p w14:paraId="661F6DC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snapToGrid w:val="0"/>
                      <w:color w:val="auto"/>
                      <w:kern w:val="2"/>
                      <w:sz w:val="21"/>
                      <w:szCs w:val="21"/>
                      <w:vertAlign w:val="baseline"/>
                      <w:lang w:val="en-US" w:eastAsia="zh-CN" w:bidi="ar-SA"/>
                    </w:rPr>
                  </w:pPr>
                  <w:r>
                    <w:rPr>
                      <w:rFonts w:hint="eastAsia" w:ascii="Times New Roman" w:hAnsi="Times New Roman" w:eastAsia="宋体" w:cs="Times New Roman"/>
                      <w:b w:val="0"/>
                      <w:bCs w:val="0"/>
                      <w:snapToGrid w:val="0"/>
                      <w:color w:val="auto"/>
                      <w:kern w:val="2"/>
                      <w:sz w:val="21"/>
                      <w:szCs w:val="21"/>
                      <w:vertAlign w:val="baseline"/>
                      <w:lang w:val="en-US" w:eastAsia="zh-CN" w:bidi="ar-SA"/>
                    </w:rPr>
                    <w:t>80mg/m</w:t>
                  </w:r>
                  <w:r>
                    <w:rPr>
                      <w:rFonts w:hint="eastAsia" w:ascii="Times New Roman" w:hAnsi="Times New Roman" w:eastAsia="宋体" w:cs="Times New Roman"/>
                      <w:b w:val="0"/>
                      <w:bCs w:val="0"/>
                      <w:snapToGrid w:val="0"/>
                      <w:color w:val="auto"/>
                      <w:kern w:val="2"/>
                      <w:sz w:val="21"/>
                      <w:szCs w:val="21"/>
                      <w:vertAlign w:val="superscript"/>
                      <w:lang w:val="en-US" w:eastAsia="zh-CN" w:bidi="ar-SA"/>
                    </w:rPr>
                    <w:t>3</w:t>
                  </w:r>
                </w:p>
              </w:tc>
            </w:tr>
            <w:tr w14:paraId="6530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06" w:type="dxa"/>
                  <w:gridSpan w:val="5"/>
                  <w:noWrap w:val="0"/>
                  <w:vAlign w:val="center"/>
                </w:tcPr>
                <w:p w14:paraId="6006AB36">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snapToGrid w:val="0"/>
                      <w:color w:val="auto"/>
                      <w:kern w:val="2"/>
                      <w:sz w:val="21"/>
                      <w:szCs w:val="21"/>
                      <w:vertAlign w:val="baseline"/>
                      <w:lang w:val="en-US" w:eastAsia="zh-CN" w:bidi="ar-SA"/>
                    </w:rPr>
                  </w:pPr>
                  <w:r>
                    <w:rPr>
                      <w:rFonts w:hint="eastAsia" w:ascii="Times New Roman" w:hAnsi="Times New Roman" w:eastAsia="宋体" w:cs="Times New Roman"/>
                      <w:b/>
                      <w:bCs/>
                      <w:snapToGrid w:val="0"/>
                      <w:color w:val="auto"/>
                      <w:kern w:val="2"/>
                      <w:sz w:val="21"/>
                      <w:szCs w:val="21"/>
                      <w:vertAlign w:val="baseline"/>
                      <w:lang w:val="en-US" w:eastAsia="zh-CN" w:bidi="ar-SA"/>
                    </w:rPr>
                    <w:t>汽车制造企业无组织监控点挥发性有机物浓度限值</w:t>
                  </w:r>
                </w:p>
              </w:tc>
            </w:tr>
            <w:tr w14:paraId="05BE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42" w:type="dxa"/>
                  <w:noWrap w:val="0"/>
                  <w:vAlign w:val="center"/>
                </w:tcPr>
                <w:p w14:paraId="58AF175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napToGrid w:val="0"/>
                      <w:color w:val="auto"/>
                      <w:kern w:val="2"/>
                      <w:sz w:val="21"/>
                      <w:szCs w:val="21"/>
                      <w:vertAlign w:val="baseline"/>
                      <w:lang w:val="en-US" w:eastAsia="zh-CN" w:bidi="ar-SA"/>
                    </w:rPr>
                  </w:pPr>
                  <w:r>
                    <w:rPr>
                      <w:rFonts w:hint="eastAsia" w:ascii="Times New Roman" w:hAnsi="Times New Roman" w:eastAsia="宋体" w:cs="Times New Roman"/>
                      <w:b/>
                      <w:bCs/>
                      <w:snapToGrid w:val="0"/>
                      <w:color w:val="auto"/>
                      <w:kern w:val="2"/>
                      <w:sz w:val="21"/>
                      <w:szCs w:val="21"/>
                      <w:vertAlign w:val="baseline"/>
                      <w:lang w:val="en-US" w:eastAsia="zh-CN" w:bidi="ar-SA"/>
                    </w:rPr>
                    <w:t>污染物项目</w:t>
                  </w:r>
                </w:p>
              </w:tc>
              <w:tc>
                <w:tcPr>
                  <w:tcW w:w="2917" w:type="dxa"/>
                  <w:gridSpan w:val="2"/>
                  <w:noWrap w:val="0"/>
                  <w:vAlign w:val="center"/>
                </w:tcPr>
                <w:p w14:paraId="4888CA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napToGrid w:val="0"/>
                      <w:color w:val="auto"/>
                      <w:kern w:val="2"/>
                      <w:sz w:val="21"/>
                      <w:szCs w:val="21"/>
                      <w:vertAlign w:val="baseline"/>
                      <w:lang w:val="en-US" w:eastAsia="zh-CN" w:bidi="ar-SA"/>
                    </w:rPr>
                  </w:pPr>
                  <w:r>
                    <w:rPr>
                      <w:rFonts w:hint="eastAsia" w:ascii="Times New Roman" w:hAnsi="Times New Roman" w:eastAsia="宋体" w:cs="Times New Roman"/>
                      <w:b/>
                      <w:bCs/>
                      <w:snapToGrid w:val="0"/>
                      <w:color w:val="auto"/>
                      <w:kern w:val="2"/>
                      <w:sz w:val="21"/>
                      <w:szCs w:val="21"/>
                      <w:vertAlign w:val="baseline"/>
                      <w:lang w:val="en-US" w:eastAsia="zh-CN" w:bidi="ar-SA"/>
                    </w:rPr>
                    <w:t>汽车制造</w:t>
                  </w:r>
                </w:p>
              </w:tc>
              <w:tc>
                <w:tcPr>
                  <w:tcW w:w="3547" w:type="dxa"/>
                  <w:gridSpan w:val="2"/>
                  <w:noWrap w:val="0"/>
                  <w:vAlign w:val="center"/>
                </w:tcPr>
                <w:p w14:paraId="4BDC1F4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napToGrid w:val="0"/>
                      <w:color w:val="auto"/>
                      <w:kern w:val="2"/>
                      <w:sz w:val="21"/>
                      <w:szCs w:val="21"/>
                      <w:vertAlign w:val="baseline"/>
                      <w:lang w:val="en-US" w:eastAsia="zh-CN" w:bidi="ar-SA"/>
                    </w:rPr>
                  </w:pPr>
                  <w:r>
                    <w:rPr>
                      <w:rFonts w:hint="eastAsia" w:ascii="Times New Roman" w:hAnsi="Times New Roman" w:eastAsia="宋体" w:cs="Times New Roman"/>
                      <w:b/>
                      <w:bCs/>
                      <w:snapToGrid w:val="0"/>
                      <w:color w:val="auto"/>
                      <w:kern w:val="2"/>
                      <w:sz w:val="21"/>
                      <w:szCs w:val="21"/>
                      <w:vertAlign w:val="baseline"/>
                      <w:lang w:val="en-US" w:eastAsia="zh-CN" w:bidi="ar-SA"/>
                    </w:rPr>
                    <w:t>监测点位</w:t>
                  </w:r>
                </w:p>
              </w:tc>
            </w:tr>
            <w:tr w14:paraId="2722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42" w:type="dxa"/>
                  <w:noWrap w:val="0"/>
                  <w:vAlign w:val="center"/>
                </w:tcPr>
                <w:p w14:paraId="78C7A5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snapToGrid w:val="0"/>
                      <w:color w:val="auto"/>
                      <w:kern w:val="2"/>
                      <w:sz w:val="21"/>
                      <w:szCs w:val="21"/>
                      <w:vertAlign w:val="baseline"/>
                      <w:lang w:val="en-US" w:eastAsia="zh-CN" w:bidi="ar-SA"/>
                    </w:rPr>
                  </w:pPr>
                  <w:r>
                    <w:rPr>
                      <w:rFonts w:hint="eastAsia" w:ascii="Times New Roman" w:hAnsi="Times New Roman" w:eastAsia="宋体" w:cs="Times New Roman"/>
                      <w:b w:val="0"/>
                      <w:bCs w:val="0"/>
                      <w:snapToGrid w:val="0"/>
                      <w:color w:val="auto"/>
                      <w:kern w:val="2"/>
                      <w:sz w:val="21"/>
                      <w:szCs w:val="21"/>
                      <w:vertAlign w:val="baseline"/>
                      <w:lang w:val="en-US" w:eastAsia="zh-CN" w:bidi="ar-SA"/>
                    </w:rPr>
                    <w:t>非甲烷总烃</w:t>
                  </w:r>
                </w:p>
              </w:tc>
              <w:tc>
                <w:tcPr>
                  <w:tcW w:w="2917" w:type="dxa"/>
                  <w:gridSpan w:val="2"/>
                  <w:noWrap w:val="0"/>
                  <w:vAlign w:val="center"/>
                </w:tcPr>
                <w:p w14:paraId="17580E2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snapToGrid w:val="0"/>
                      <w:color w:val="auto"/>
                      <w:kern w:val="2"/>
                      <w:sz w:val="21"/>
                      <w:szCs w:val="21"/>
                      <w:vertAlign w:val="baseline"/>
                      <w:lang w:val="en-US" w:eastAsia="zh-CN" w:bidi="ar-SA"/>
                    </w:rPr>
                  </w:pPr>
                  <w:r>
                    <w:rPr>
                      <w:rFonts w:hint="eastAsia" w:ascii="Times New Roman" w:hAnsi="Times New Roman" w:eastAsia="宋体" w:cs="Times New Roman"/>
                      <w:b w:val="0"/>
                      <w:bCs w:val="0"/>
                      <w:snapToGrid w:val="0"/>
                      <w:color w:val="auto"/>
                      <w:kern w:val="2"/>
                      <w:sz w:val="21"/>
                      <w:szCs w:val="21"/>
                      <w:vertAlign w:val="baseline"/>
                      <w:lang w:val="en-US" w:eastAsia="zh-CN" w:bidi="ar-SA"/>
                    </w:rPr>
                    <w:t>2.0mg/m³</w:t>
                  </w:r>
                </w:p>
              </w:tc>
              <w:tc>
                <w:tcPr>
                  <w:tcW w:w="3547" w:type="dxa"/>
                  <w:gridSpan w:val="2"/>
                  <w:noWrap w:val="0"/>
                  <w:vAlign w:val="center"/>
                </w:tcPr>
                <w:p w14:paraId="2B7A7EE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snapToGrid w:val="0"/>
                      <w:color w:val="auto"/>
                      <w:kern w:val="2"/>
                      <w:sz w:val="21"/>
                      <w:szCs w:val="21"/>
                      <w:vertAlign w:val="baseline"/>
                      <w:lang w:val="en-US" w:eastAsia="zh-CN" w:bidi="ar-SA"/>
                    </w:rPr>
                  </w:pPr>
                  <w:r>
                    <w:rPr>
                      <w:rFonts w:hint="eastAsia" w:ascii="Times New Roman" w:hAnsi="Times New Roman" w:eastAsia="宋体" w:cs="Times New Roman"/>
                      <w:b w:val="0"/>
                      <w:bCs w:val="0"/>
                      <w:snapToGrid w:val="0"/>
                      <w:color w:val="auto"/>
                      <w:kern w:val="2"/>
                      <w:sz w:val="21"/>
                      <w:szCs w:val="21"/>
                      <w:vertAlign w:val="baseline"/>
                      <w:lang w:val="en-US" w:eastAsia="zh-CN" w:bidi="ar-SA"/>
                    </w:rPr>
                    <w:t>周界外浓度最高点</w:t>
                  </w:r>
                </w:p>
              </w:tc>
            </w:tr>
          </w:tbl>
          <w:p w14:paraId="294C4B49">
            <w:pPr>
              <w:keepNext w:val="0"/>
              <w:keepLines w:val="0"/>
              <w:widowControl w:val="0"/>
              <w:suppressLineNumbers w:val="0"/>
              <w:adjustRightInd w:val="0"/>
              <w:snapToGrid w:val="0"/>
              <w:spacing w:before="313" w:beforeLines="100" w:beforeAutospacing="0" w:after="0" w:afterAutospacing="0" w:line="240" w:lineRule="auto"/>
              <w:ind w:left="0" w:right="0"/>
              <w:jc w:val="center"/>
              <w:rPr>
                <w:rFonts w:hint="default" w:ascii="Times New Roman" w:hAnsi="Times New Roman" w:eastAsia="宋体" w:cs="Times New Roman"/>
                <w:b/>
                <w:bCs/>
                <w:snapToGrid w:val="0"/>
                <w:color w:val="auto"/>
                <w:kern w:val="2"/>
                <w:sz w:val="21"/>
                <w:szCs w:val="21"/>
                <w:lang w:val="en-US" w:eastAsia="zh-CN" w:bidi="ar-SA"/>
              </w:rPr>
            </w:pPr>
            <w:r>
              <w:rPr>
                <w:rFonts w:hint="eastAsia" w:ascii="Times New Roman" w:hAnsi="Times New Roman" w:eastAsia="宋体" w:cs="Times New Roman"/>
                <w:b/>
                <w:bCs/>
                <w:snapToGrid w:val="0"/>
                <w:color w:val="auto"/>
                <w:kern w:val="2"/>
                <w:sz w:val="21"/>
                <w:szCs w:val="21"/>
                <w:lang w:val="en-US" w:eastAsia="zh-CN" w:bidi="ar-SA"/>
              </w:rPr>
              <w:t>表3-1</w:t>
            </w:r>
            <w:r>
              <w:rPr>
                <w:rFonts w:hint="eastAsia" w:cs="Times New Roman"/>
                <w:b/>
                <w:bCs/>
                <w:snapToGrid w:val="0"/>
                <w:color w:val="auto"/>
                <w:kern w:val="2"/>
                <w:sz w:val="21"/>
                <w:szCs w:val="21"/>
                <w:lang w:val="en-US" w:eastAsia="zh-CN" w:bidi="ar-SA"/>
              </w:rPr>
              <w:t>0</w:t>
            </w:r>
            <w:r>
              <w:rPr>
                <w:rFonts w:hint="eastAsia" w:ascii="Times New Roman" w:hAnsi="Times New Roman" w:eastAsia="宋体" w:cs="Times New Roman"/>
                <w:b/>
                <w:bCs/>
                <w:snapToGrid w:val="0"/>
                <w:color w:val="auto"/>
                <w:kern w:val="2"/>
                <w:sz w:val="21"/>
                <w:szCs w:val="21"/>
                <w:lang w:val="en-US" w:eastAsia="zh-CN" w:bidi="ar-SA"/>
              </w:rPr>
              <w:t xml:space="preserve">《挥发性有机物无组织排放控制标准》(GB37822-2019) </w:t>
            </w:r>
          </w:p>
          <w:tbl>
            <w:tblPr>
              <w:tblStyle w:val="24"/>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815"/>
              <w:gridCol w:w="3199"/>
              <w:gridCol w:w="1733"/>
            </w:tblGrid>
            <w:tr w14:paraId="6A5D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noWrap w:val="0"/>
                  <w:vAlign w:val="center"/>
                </w:tcPr>
                <w:p w14:paraId="6CEA9B9A">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rPr>
                  </w:pPr>
                  <w:r>
                    <w:rPr>
                      <w:rFonts w:hint="default" w:ascii="Times New Roman" w:hAnsi="Times New Roman" w:eastAsia="宋体" w:cs="Times New Roman"/>
                      <w:b/>
                      <w:color w:val="auto"/>
                      <w:spacing w:val="4"/>
                      <w:kern w:val="0"/>
                      <w:szCs w:val="21"/>
                    </w:rPr>
                    <w:t>污染物项目</w:t>
                  </w:r>
                </w:p>
              </w:tc>
              <w:tc>
                <w:tcPr>
                  <w:tcW w:w="1037" w:type="pct"/>
                  <w:noWrap w:val="0"/>
                  <w:vAlign w:val="center"/>
                </w:tcPr>
                <w:p w14:paraId="446BF7A4">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rPr>
                  </w:pPr>
                  <w:r>
                    <w:rPr>
                      <w:rFonts w:hint="eastAsia" w:ascii="Times New Roman" w:hAnsi="Times New Roman" w:eastAsia="宋体" w:cs="Times New Roman"/>
                      <w:b/>
                      <w:color w:val="auto"/>
                      <w:spacing w:val="4"/>
                      <w:kern w:val="0"/>
                      <w:szCs w:val="21"/>
                    </w:rPr>
                    <w:t>无组织</w:t>
                  </w:r>
                  <w:r>
                    <w:rPr>
                      <w:rFonts w:hint="eastAsia" w:ascii="Times New Roman" w:hAnsi="Times New Roman" w:eastAsia="宋体" w:cs="Times New Roman"/>
                      <w:b/>
                      <w:color w:val="auto"/>
                      <w:spacing w:val="4"/>
                      <w:kern w:val="0"/>
                      <w:szCs w:val="21"/>
                      <w:lang w:val="en-US" w:eastAsia="zh-CN"/>
                    </w:rPr>
                    <w:t>排放限值</w:t>
                  </w:r>
                  <w:r>
                    <w:rPr>
                      <w:rFonts w:hint="eastAsia" w:ascii="Times New Roman" w:hAnsi="Times New Roman" w:eastAsia="宋体" w:cs="Times New Roman"/>
                      <w:b/>
                      <w:color w:val="auto"/>
                      <w:spacing w:val="4"/>
                      <w:kern w:val="0"/>
                      <w:szCs w:val="21"/>
                    </w:rPr>
                    <w:t>（mg/m</w:t>
                  </w:r>
                  <w:r>
                    <w:rPr>
                      <w:rFonts w:hint="eastAsia" w:ascii="Times New Roman" w:hAnsi="Times New Roman" w:eastAsia="宋体" w:cs="Times New Roman"/>
                      <w:b/>
                      <w:color w:val="auto"/>
                      <w:spacing w:val="4"/>
                      <w:kern w:val="0"/>
                      <w:szCs w:val="21"/>
                      <w:vertAlign w:val="superscript"/>
                    </w:rPr>
                    <w:t>3</w:t>
                  </w:r>
                  <w:r>
                    <w:rPr>
                      <w:rFonts w:hint="eastAsia" w:ascii="Times New Roman" w:hAnsi="Times New Roman" w:eastAsia="宋体" w:cs="Times New Roman"/>
                      <w:b/>
                      <w:color w:val="auto"/>
                      <w:spacing w:val="4"/>
                      <w:kern w:val="0"/>
                      <w:szCs w:val="21"/>
                    </w:rPr>
                    <w:t>）</w:t>
                  </w:r>
                </w:p>
              </w:tc>
              <w:tc>
                <w:tcPr>
                  <w:tcW w:w="1828" w:type="pct"/>
                  <w:noWrap w:val="0"/>
                  <w:vAlign w:val="center"/>
                </w:tcPr>
                <w:p w14:paraId="585AB825">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lang w:val="en-US" w:eastAsia="zh-CN"/>
                    </w:rPr>
                  </w:pPr>
                  <w:r>
                    <w:rPr>
                      <w:rFonts w:hint="eastAsia" w:ascii="Times New Roman" w:hAnsi="Times New Roman" w:eastAsia="宋体" w:cs="Times New Roman"/>
                      <w:b/>
                      <w:color w:val="auto"/>
                      <w:spacing w:val="4"/>
                      <w:kern w:val="0"/>
                      <w:szCs w:val="21"/>
                      <w:lang w:val="en-US" w:eastAsia="zh-CN"/>
                    </w:rPr>
                    <w:t>限值含义</w:t>
                  </w:r>
                </w:p>
              </w:tc>
              <w:tc>
                <w:tcPr>
                  <w:tcW w:w="990" w:type="pct"/>
                  <w:noWrap w:val="0"/>
                  <w:vAlign w:val="center"/>
                </w:tcPr>
                <w:p w14:paraId="5FF12633">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lang w:val="en-US" w:eastAsia="zh-CN"/>
                    </w:rPr>
                  </w:pPr>
                  <w:r>
                    <w:rPr>
                      <w:rFonts w:hint="eastAsia" w:ascii="Times New Roman" w:hAnsi="Times New Roman" w:eastAsia="宋体" w:cs="Times New Roman"/>
                      <w:b/>
                      <w:color w:val="auto"/>
                      <w:spacing w:val="4"/>
                      <w:kern w:val="0"/>
                      <w:szCs w:val="21"/>
                      <w:lang w:val="en-US" w:eastAsia="zh-CN"/>
                    </w:rPr>
                    <w:t>无组织排放监控位置</w:t>
                  </w:r>
                </w:p>
              </w:tc>
            </w:tr>
            <w:tr w14:paraId="562C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43" w:type="pct"/>
                  <w:vMerge w:val="restart"/>
                  <w:noWrap w:val="0"/>
                  <w:vAlign w:val="center"/>
                </w:tcPr>
                <w:p w14:paraId="6352F487">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eastAsia="宋体" w:cs="Times New Roman"/>
                      <w:bCs/>
                      <w:color w:val="auto"/>
                      <w:spacing w:val="4"/>
                      <w:kern w:val="0"/>
                      <w:szCs w:val="21"/>
                      <w:lang w:eastAsia="zh-CN"/>
                    </w:rPr>
                  </w:pPr>
                  <w:r>
                    <w:rPr>
                      <w:rFonts w:hint="eastAsia" w:ascii="Times New Roman" w:hAnsi="Times New Roman" w:eastAsia="宋体" w:cs="Times New Roman"/>
                      <w:bCs/>
                      <w:color w:val="auto"/>
                      <w:spacing w:val="4"/>
                      <w:kern w:val="0"/>
                      <w:szCs w:val="21"/>
                      <w:lang w:val="en-US" w:eastAsia="zh-CN"/>
                    </w:rPr>
                    <w:t>非甲烷总烃</w:t>
                  </w:r>
                </w:p>
              </w:tc>
              <w:tc>
                <w:tcPr>
                  <w:tcW w:w="1037" w:type="pct"/>
                  <w:noWrap w:val="0"/>
                  <w:vAlign w:val="center"/>
                </w:tcPr>
                <w:p w14:paraId="2C3BBEF9">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lang w:val="en-US" w:eastAsia="zh-CN"/>
                    </w:rPr>
                  </w:pPr>
                  <w:r>
                    <w:rPr>
                      <w:rFonts w:hint="eastAsia" w:cs="Times New Roman"/>
                      <w:bCs/>
                      <w:color w:val="auto"/>
                      <w:spacing w:val="4"/>
                      <w:kern w:val="0"/>
                      <w:szCs w:val="21"/>
                      <w:lang w:val="en-US" w:eastAsia="zh-CN"/>
                    </w:rPr>
                    <w:t>10</w:t>
                  </w:r>
                </w:p>
              </w:tc>
              <w:tc>
                <w:tcPr>
                  <w:tcW w:w="1828" w:type="pct"/>
                  <w:noWrap w:val="0"/>
                  <w:vAlign w:val="center"/>
                </w:tcPr>
                <w:p w14:paraId="051F110E">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lang w:val="en-US" w:eastAsia="zh-CN"/>
                    </w:rPr>
                  </w:pPr>
                  <w:r>
                    <w:rPr>
                      <w:rFonts w:hint="eastAsia" w:ascii="Times New Roman" w:hAnsi="Times New Roman" w:eastAsia="宋体" w:cs="Times New Roman"/>
                      <w:bCs/>
                      <w:color w:val="auto"/>
                      <w:spacing w:val="4"/>
                      <w:kern w:val="0"/>
                      <w:szCs w:val="21"/>
                      <w:lang w:val="en-US" w:eastAsia="zh-CN"/>
                    </w:rPr>
                    <w:t>监控点处任意一次浓度值</w:t>
                  </w:r>
                </w:p>
              </w:tc>
              <w:tc>
                <w:tcPr>
                  <w:tcW w:w="990" w:type="pct"/>
                  <w:vMerge w:val="restart"/>
                  <w:noWrap w:val="0"/>
                  <w:vAlign w:val="center"/>
                </w:tcPr>
                <w:p w14:paraId="2AF59512">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lang w:val="en-US" w:eastAsia="zh-CN"/>
                    </w:rPr>
                  </w:pPr>
                  <w:r>
                    <w:rPr>
                      <w:rFonts w:hint="eastAsia" w:ascii="Times New Roman" w:hAnsi="Times New Roman" w:eastAsia="宋体" w:cs="Times New Roman"/>
                      <w:bCs/>
                      <w:color w:val="auto"/>
                      <w:spacing w:val="4"/>
                      <w:kern w:val="0"/>
                      <w:szCs w:val="21"/>
                      <w:lang w:val="en-US" w:eastAsia="zh-CN"/>
                    </w:rPr>
                    <w:t>在厂房外设置监控点</w:t>
                  </w:r>
                </w:p>
              </w:tc>
            </w:tr>
            <w:tr w14:paraId="270A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43" w:type="pct"/>
                  <w:vMerge w:val="continue"/>
                  <w:noWrap w:val="0"/>
                  <w:vAlign w:val="center"/>
                </w:tcPr>
                <w:p w14:paraId="26136E61">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rPr>
                  </w:pPr>
                </w:p>
              </w:tc>
              <w:tc>
                <w:tcPr>
                  <w:tcW w:w="1037" w:type="pct"/>
                  <w:noWrap w:val="0"/>
                  <w:vAlign w:val="center"/>
                </w:tcPr>
                <w:p w14:paraId="01B35D5F">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lang w:val="en-US" w:eastAsia="zh-CN"/>
                    </w:rPr>
                  </w:pPr>
                  <w:r>
                    <w:rPr>
                      <w:rFonts w:hint="eastAsia" w:cs="Times New Roman"/>
                      <w:lang w:val="en-US" w:eastAsia="zh-CN"/>
                    </w:rPr>
                    <w:t>30</w:t>
                  </w:r>
                </w:p>
              </w:tc>
              <w:tc>
                <w:tcPr>
                  <w:tcW w:w="1828" w:type="pct"/>
                  <w:noWrap w:val="0"/>
                  <w:vAlign w:val="center"/>
                </w:tcPr>
                <w:p w14:paraId="5083D379">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lang w:val="en-US" w:eastAsia="zh-CN"/>
                    </w:rPr>
                  </w:pPr>
                  <w:r>
                    <w:rPr>
                      <w:rFonts w:hint="eastAsia" w:ascii="Times New Roman" w:hAnsi="Times New Roman" w:eastAsia="宋体" w:cs="Times New Roman"/>
                      <w:bCs/>
                      <w:color w:val="auto"/>
                      <w:spacing w:val="4"/>
                      <w:kern w:val="0"/>
                      <w:szCs w:val="21"/>
                      <w:lang w:val="en-US" w:eastAsia="zh-CN"/>
                    </w:rPr>
                    <w:t>监控点处1h平均浓度值</w:t>
                  </w:r>
                </w:p>
              </w:tc>
              <w:tc>
                <w:tcPr>
                  <w:tcW w:w="990" w:type="pct"/>
                  <w:vMerge w:val="continue"/>
                  <w:noWrap w:val="0"/>
                  <w:vAlign w:val="center"/>
                </w:tcPr>
                <w:p w14:paraId="4DDD5B1A">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eastAsia="宋体" w:cs="Times New Roman"/>
                      <w:bCs/>
                      <w:color w:val="auto"/>
                      <w:spacing w:val="4"/>
                      <w:kern w:val="0"/>
                      <w:szCs w:val="21"/>
                      <w:lang w:val="en-US" w:eastAsia="zh-CN"/>
                    </w:rPr>
                  </w:pPr>
                </w:p>
              </w:tc>
            </w:tr>
          </w:tbl>
          <w:p w14:paraId="623C2AC8">
            <w:pPr>
              <w:pStyle w:val="109"/>
              <w:keepNext w:val="0"/>
              <w:keepLines w:val="0"/>
              <w:suppressLineNumbers w:val="0"/>
              <w:spacing w:before="157" w:beforeLines="50" w:beforeAutospacing="0" w:after="0" w:afterAutospacing="0"/>
              <w:ind w:left="0" w:right="0" w:firstLine="482"/>
              <w:rPr>
                <w:rFonts w:hint="eastAsia" w:eastAsia="宋体"/>
                <w:b/>
                <w:snapToGrid w:val="0"/>
                <w:color w:val="auto"/>
                <w:u w:val="none"/>
                <w:lang w:eastAsia="zh-CN"/>
              </w:rPr>
            </w:pPr>
            <w:r>
              <w:rPr>
                <w:rFonts w:hint="default"/>
                <w:b/>
                <w:snapToGrid w:val="0"/>
                <w:color w:val="auto"/>
                <w:u w:val="none"/>
              </w:rPr>
              <w:t>2、废水排放标准</w:t>
            </w:r>
          </w:p>
          <w:p w14:paraId="7EA57483">
            <w:pPr>
              <w:pStyle w:val="109"/>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本项目无生产废水；</w:t>
            </w:r>
            <w:r>
              <w:rPr>
                <w:rFonts w:hint="default"/>
                <w:color w:val="auto"/>
                <w:u w:val="none"/>
                <w:lang w:val="en-US" w:eastAsia="zh-CN"/>
              </w:rPr>
              <w:t>项目生活污水经</w:t>
            </w:r>
            <w:r>
              <w:rPr>
                <w:rFonts w:hint="eastAsia"/>
                <w:color w:val="auto"/>
                <w:u w:val="none"/>
                <w:lang w:val="en-US" w:eastAsia="zh-CN"/>
              </w:rPr>
              <w:t>隔油池+四格净化设施处理</w:t>
            </w:r>
            <w:r>
              <w:rPr>
                <w:rFonts w:hint="default"/>
                <w:color w:val="auto"/>
                <w:u w:val="none"/>
                <w:lang w:val="en-US" w:eastAsia="zh-CN"/>
              </w:rPr>
              <w:t>达到《农田灌溉水质标准》（GB5084-2021）旱作标准后用作农肥</w:t>
            </w:r>
            <w:r>
              <w:rPr>
                <w:rFonts w:hint="eastAsia"/>
                <w:color w:val="auto"/>
                <w:u w:val="none"/>
                <w:lang w:val="en-US" w:eastAsia="zh-CN"/>
              </w:rPr>
              <w:t>。</w:t>
            </w:r>
          </w:p>
          <w:p w14:paraId="538A46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表3-</w:t>
            </w:r>
            <w:r>
              <w:rPr>
                <w:rFonts w:hint="eastAsia" w:ascii="Times New Roman" w:hAnsi="Times New Roman" w:eastAsia="宋体" w:cs="Times New Roman"/>
                <w:b/>
                <w:bCs/>
                <w:color w:val="auto"/>
                <w:kern w:val="2"/>
                <w:sz w:val="21"/>
                <w:szCs w:val="21"/>
                <w:lang w:val="en-US" w:eastAsia="zh-CN" w:bidi="ar-SA"/>
              </w:rPr>
              <w:t>1</w:t>
            </w:r>
            <w:r>
              <w:rPr>
                <w:rFonts w:hint="eastAsia" w:cs="Times New Roman"/>
                <w:b/>
                <w:bCs/>
                <w:color w:val="auto"/>
                <w:kern w:val="2"/>
                <w:sz w:val="21"/>
                <w:szCs w:val="21"/>
                <w:lang w:val="en-US" w:eastAsia="zh-CN" w:bidi="ar-SA"/>
              </w:rPr>
              <w:t>1</w:t>
            </w:r>
            <w:r>
              <w:rPr>
                <w:rFonts w:hint="default"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b/>
                <w:bCs/>
                <w:color w:val="auto"/>
                <w:kern w:val="2"/>
                <w:sz w:val="21"/>
                <w:szCs w:val="21"/>
                <w:lang w:val="en-US" w:eastAsia="zh-CN" w:bidi="ar-SA"/>
              </w:rPr>
              <w:t>农田灌溉水质标准</w:t>
            </w:r>
            <w:r>
              <w:rPr>
                <w:rFonts w:hint="default" w:ascii="Times New Roman" w:hAnsi="Times New Roman" w:eastAsia="宋体" w:cs="Times New Roman"/>
                <w:b/>
                <w:bCs/>
                <w:color w:val="auto"/>
                <w:kern w:val="2"/>
                <w:sz w:val="21"/>
                <w:szCs w:val="21"/>
                <w:lang w:val="en-US" w:eastAsia="zh-CN" w:bidi="ar-SA"/>
              </w:rPr>
              <w:t xml:space="preserve">  单位：pH</w:t>
            </w:r>
            <w:r>
              <w:rPr>
                <w:rFonts w:hint="eastAsia" w:ascii="Times New Roman" w:hAnsi="Times New Roman" w:eastAsia="宋体" w:cs="Times New Roman"/>
                <w:b/>
                <w:bCs/>
                <w:color w:val="auto"/>
                <w:kern w:val="2"/>
                <w:sz w:val="21"/>
                <w:szCs w:val="21"/>
                <w:lang w:val="en-US" w:eastAsia="zh-CN" w:bidi="ar-SA"/>
              </w:rPr>
              <w:t>无量纲</w:t>
            </w:r>
            <w:r>
              <w:rPr>
                <w:rFonts w:hint="default" w:ascii="Times New Roman" w:hAnsi="Times New Roman" w:eastAsia="宋体" w:cs="Times New Roman"/>
                <w:b/>
                <w:bCs/>
                <w:color w:val="auto"/>
                <w:kern w:val="2"/>
                <w:sz w:val="21"/>
                <w:szCs w:val="21"/>
                <w:lang w:val="en-US" w:eastAsia="zh-CN" w:bidi="ar-SA"/>
              </w:rPr>
              <w:t>，mg/L</w:t>
            </w:r>
          </w:p>
          <w:tbl>
            <w:tblPr>
              <w:tblStyle w:val="25"/>
              <w:tblW w:w="4999"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108" w:type="dxa"/>
                <w:bottom w:w="28" w:type="dxa"/>
                <w:right w:w="108" w:type="dxa"/>
              </w:tblCellMar>
            </w:tblPr>
            <w:tblGrid>
              <w:gridCol w:w="1253"/>
              <w:gridCol w:w="4575"/>
              <w:gridCol w:w="2915"/>
            </w:tblGrid>
            <w:tr w14:paraId="60740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c>
                <w:tcPr>
                  <w:tcW w:w="716" w:type="pct"/>
                  <w:vMerge w:val="restart"/>
                  <w:tcBorders>
                    <w:tl2br w:val="nil"/>
                    <w:tr2bl w:val="nil"/>
                  </w:tcBorders>
                  <w:noWrap w:val="0"/>
                  <w:vAlign w:val="center"/>
                </w:tcPr>
                <w:p w14:paraId="1C23FAE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b/>
                      <w:bCs/>
                      <w:snapToGrid w:val="0"/>
                      <w:color w:val="auto"/>
                      <w:kern w:val="2"/>
                      <w:sz w:val="21"/>
                      <w:szCs w:val="21"/>
                      <w:lang w:val="en-US" w:eastAsia="zh-CN" w:bidi="ar-SA"/>
                    </w:rPr>
                  </w:pPr>
                  <w:r>
                    <w:rPr>
                      <w:rFonts w:hint="eastAsia" w:ascii="Times New Roman" w:hAnsi="宋体" w:eastAsia="宋体" w:cs="Times New Roman"/>
                      <w:b/>
                      <w:bCs/>
                      <w:snapToGrid w:val="0"/>
                      <w:color w:val="auto"/>
                      <w:kern w:val="2"/>
                      <w:sz w:val="21"/>
                      <w:szCs w:val="21"/>
                      <w:lang w:val="en-US" w:eastAsia="zh-CN" w:bidi="ar-SA"/>
                    </w:rPr>
                    <w:t>序号</w:t>
                  </w:r>
                </w:p>
              </w:tc>
              <w:tc>
                <w:tcPr>
                  <w:tcW w:w="2616" w:type="pct"/>
                  <w:vMerge w:val="restart"/>
                  <w:tcBorders>
                    <w:tl2br w:val="nil"/>
                    <w:tr2bl w:val="nil"/>
                  </w:tcBorders>
                  <w:noWrap w:val="0"/>
                  <w:vAlign w:val="center"/>
                </w:tcPr>
                <w:p w14:paraId="5FFD028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b/>
                      <w:bCs/>
                      <w:snapToGrid w:val="0"/>
                      <w:color w:val="auto"/>
                      <w:kern w:val="2"/>
                      <w:sz w:val="21"/>
                      <w:szCs w:val="21"/>
                      <w:lang w:val="en-US" w:eastAsia="zh-CN" w:bidi="ar-SA"/>
                    </w:rPr>
                  </w:pPr>
                  <w:r>
                    <w:rPr>
                      <w:rFonts w:hint="eastAsia" w:ascii="Times New Roman" w:hAnsi="宋体" w:eastAsia="宋体" w:cs="Times New Roman"/>
                      <w:b/>
                      <w:bCs/>
                      <w:snapToGrid w:val="0"/>
                      <w:color w:val="auto"/>
                      <w:kern w:val="2"/>
                      <w:sz w:val="21"/>
                      <w:szCs w:val="21"/>
                      <w:lang w:val="en-US" w:eastAsia="zh-CN" w:bidi="ar-SA"/>
                    </w:rPr>
                    <w:t>项目类别</w:t>
                  </w:r>
                </w:p>
              </w:tc>
              <w:tc>
                <w:tcPr>
                  <w:tcW w:w="1666" w:type="pct"/>
                  <w:tcBorders>
                    <w:tl2br w:val="nil"/>
                    <w:tr2bl w:val="nil"/>
                  </w:tcBorders>
                  <w:noWrap w:val="0"/>
                  <w:vAlign w:val="center"/>
                </w:tcPr>
                <w:p w14:paraId="5EE279F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b/>
                      <w:bCs/>
                      <w:snapToGrid w:val="0"/>
                      <w:color w:val="auto"/>
                      <w:kern w:val="2"/>
                      <w:sz w:val="21"/>
                      <w:szCs w:val="21"/>
                      <w:lang w:val="en-US" w:eastAsia="zh-CN" w:bidi="ar-SA"/>
                    </w:rPr>
                  </w:pPr>
                  <w:r>
                    <w:rPr>
                      <w:rFonts w:hint="eastAsia" w:ascii="Times New Roman" w:hAnsi="宋体" w:eastAsia="宋体" w:cs="Times New Roman"/>
                      <w:b/>
                      <w:bCs/>
                      <w:snapToGrid w:val="0"/>
                      <w:color w:val="auto"/>
                      <w:kern w:val="2"/>
                      <w:sz w:val="21"/>
                      <w:szCs w:val="21"/>
                      <w:lang w:val="en-US" w:eastAsia="zh-CN" w:bidi="ar-SA"/>
                    </w:rPr>
                    <w:t>作物种类</w:t>
                  </w:r>
                </w:p>
              </w:tc>
            </w:tr>
            <w:tr w14:paraId="3D52C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c>
                <w:tcPr>
                  <w:tcW w:w="716" w:type="pct"/>
                  <w:vMerge w:val="continue"/>
                  <w:tcBorders>
                    <w:tl2br w:val="nil"/>
                    <w:tr2bl w:val="nil"/>
                  </w:tcBorders>
                  <w:noWrap w:val="0"/>
                  <w:vAlign w:val="center"/>
                </w:tcPr>
                <w:p w14:paraId="358A8BF7">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宋体" w:eastAsia="宋体" w:cs="Times New Roman"/>
                      <w:b/>
                      <w:bCs/>
                      <w:snapToGrid w:val="0"/>
                      <w:color w:val="auto"/>
                      <w:kern w:val="2"/>
                      <w:sz w:val="21"/>
                      <w:szCs w:val="21"/>
                      <w:lang w:val="en-US" w:eastAsia="zh-CN" w:bidi="ar-SA"/>
                    </w:rPr>
                  </w:pPr>
                </w:p>
              </w:tc>
              <w:tc>
                <w:tcPr>
                  <w:tcW w:w="2616" w:type="pct"/>
                  <w:vMerge w:val="continue"/>
                  <w:tcBorders>
                    <w:tl2br w:val="nil"/>
                    <w:tr2bl w:val="nil"/>
                  </w:tcBorders>
                  <w:noWrap w:val="0"/>
                  <w:vAlign w:val="center"/>
                </w:tcPr>
                <w:p w14:paraId="678C67FC">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宋体" w:eastAsia="宋体" w:cs="Times New Roman"/>
                      <w:b/>
                      <w:bCs/>
                      <w:snapToGrid w:val="0"/>
                      <w:color w:val="auto"/>
                      <w:kern w:val="2"/>
                      <w:sz w:val="21"/>
                      <w:szCs w:val="21"/>
                      <w:lang w:val="en-US" w:eastAsia="zh-CN" w:bidi="ar-SA"/>
                    </w:rPr>
                  </w:pPr>
                </w:p>
              </w:tc>
              <w:tc>
                <w:tcPr>
                  <w:tcW w:w="1666" w:type="pct"/>
                  <w:tcBorders>
                    <w:tl2br w:val="nil"/>
                    <w:tr2bl w:val="nil"/>
                  </w:tcBorders>
                  <w:noWrap w:val="0"/>
                  <w:vAlign w:val="center"/>
                </w:tcPr>
                <w:p w14:paraId="0D45FFD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b/>
                      <w:bCs/>
                      <w:snapToGrid w:val="0"/>
                      <w:color w:val="auto"/>
                      <w:kern w:val="2"/>
                      <w:sz w:val="21"/>
                      <w:szCs w:val="21"/>
                      <w:lang w:val="en-US" w:eastAsia="zh-CN" w:bidi="ar-SA"/>
                    </w:rPr>
                  </w:pPr>
                  <w:r>
                    <w:rPr>
                      <w:rFonts w:hint="eastAsia" w:ascii="Times New Roman" w:hAnsi="宋体" w:eastAsia="宋体" w:cs="Times New Roman"/>
                      <w:b/>
                      <w:bCs/>
                      <w:snapToGrid w:val="0"/>
                      <w:color w:val="auto"/>
                      <w:kern w:val="2"/>
                      <w:sz w:val="21"/>
                      <w:szCs w:val="21"/>
                      <w:highlight w:val="none"/>
                      <w:lang w:val="en-US" w:eastAsia="zh-CN" w:bidi="ar-SA"/>
                    </w:rPr>
                    <w:t>旱地作物</w:t>
                  </w:r>
                </w:p>
              </w:tc>
            </w:tr>
            <w:tr w14:paraId="5C936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c>
                <w:tcPr>
                  <w:tcW w:w="716" w:type="pct"/>
                  <w:tcBorders>
                    <w:tl2br w:val="nil"/>
                    <w:tr2bl w:val="nil"/>
                  </w:tcBorders>
                  <w:noWrap w:val="0"/>
                  <w:vAlign w:val="center"/>
                </w:tcPr>
                <w:p w14:paraId="711B9EF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1</w:t>
                  </w:r>
                </w:p>
              </w:tc>
              <w:tc>
                <w:tcPr>
                  <w:tcW w:w="2616" w:type="pct"/>
                  <w:tcBorders>
                    <w:tl2br w:val="nil"/>
                    <w:tr2bl w:val="nil"/>
                  </w:tcBorders>
                  <w:noWrap w:val="0"/>
                  <w:vAlign w:val="center"/>
                </w:tcPr>
                <w:p w14:paraId="2517DE8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pH（无量纲）</w:t>
                  </w:r>
                </w:p>
              </w:tc>
              <w:tc>
                <w:tcPr>
                  <w:tcW w:w="1666" w:type="pct"/>
                  <w:tcBorders>
                    <w:tl2br w:val="nil"/>
                    <w:tr2bl w:val="nil"/>
                  </w:tcBorders>
                  <w:noWrap w:val="0"/>
                  <w:vAlign w:val="center"/>
                </w:tcPr>
                <w:p w14:paraId="5E43A1A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5.5~8.5</w:t>
                  </w:r>
                </w:p>
              </w:tc>
            </w:tr>
            <w:tr w14:paraId="5A1BF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c>
                <w:tcPr>
                  <w:tcW w:w="716" w:type="pct"/>
                  <w:tcBorders>
                    <w:tl2br w:val="nil"/>
                    <w:tr2bl w:val="nil"/>
                  </w:tcBorders>
                  <w:noWrap w:val="0"/>
                  <w:vAlign w:val="center"/>
                </w:tcPr>
                <w:p w14:paraId="70FC5A8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2</w:t>
                  </w:r>
                </w:p>
              </w:tc>
              <w:tc>
                <w:tcPr>
                  <w:tcW w:w="2616" w:type="pct"/>
                  <w:tcBorders>
                    <w:tl2br w:val="nil"/>
                    <w:tr2bl w:val="nil"/>
                  </w:tcBorders>
                  <w:noWrap w:val="0"/>
                  <w:vAlign w:val="center"/>
                </w:tcPr>
                <w:p w14:paraId="24A590F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悬浮物（mg/L）</w:t>
                  </w:r>
                </w:p>
              </w:tc>
              <w:tc>
                <w:tcPr>
                  <w:tcW w:w="1666" w:type="pct"/>
                  <w:tcBorders>
                    <w:tl2br w:val="nil"/>
                    <w:tr2bl w:val="nil"/>
                  </w:tcBorders>
                  <w:noWrap w:val="0"/>
                  <w:vAlign w:val="center"/>
                </w:tcPr>
                <w:p w14:paraId="56060A4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100</w:t>
                  </w:r>
                </w:p>
              </w:tc>
            </w:tr>
            <w:tr w14:paraId="69D40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c>
                <w:tcPr>
                  <w:tcW w:w="716" w:type="pct"/>
                  <w:tcBorders>
                    <w:tl2br w:val="nil"/>
                    <w:tr2bl w:val="nil"/>
                  </w:tcBorders>
                  <w:noWrap w:val="0"/>
                  <w:vAlign w:val="center"/>
                </w:tcPr>
                <w:p w14:paraId="6C18564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3</w:t>
                  </w:r>
                </w:p>
              </w:tc>
              <w:tc>
                <w:tcPr>
                  <w:tcW w:w="2616" w:type="pct"/>
                  <w:tcBorders>
                    <w:tl2br w:val="nil"/>
                    <w:tr2bl w:val="nil"/>
                  </w:tcBorders>
                  <w:noWrap w:val="0"/>
                  <w:vAlign w:val="center"/>
                </w:tcPr>
                <w:p w14:paraId="4AA6683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五日生化需氧量（mg/L）</w:t>
                  </w:r>
                </w:p>
              </w:tc>
              <w:tc>
                <w:tcPr>
                  <w:tcW w:w="1666" w:type="pct"/>
                  <w:tcBorders>
                    <w:tl2br w:val="nil"/>
                    <w:tr2bl w:val="nil"/>
                  </w:tcBorders>
                  <w:noWrap w:val="0"/>
                  <w:vAlign w:val="center"/>
                </w:tcPr>
                <w:p w14:paraId="3EFA238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100</w:t>
                  </w:r>
                </w:p>
              </w:tc>
            </w:tr>
            <w:tr w14:paraId="7489F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c>
                <w:tcPr>
                  <w:tcW w:w="716" w:type="pct"/>
                  <w:tcBorders>
                    <w:tl2br w:val="nil"/>
                    <w:tr2bl w:val="nil"/>
                  </w:tcBorders>
                  <w:noWrap w:val="0"/>
                  <w:vAlign w:val="center"/>
                </w:tcPr>
                <w:p w14:paraId="447D654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4</w:t>
                  </w:r>
                </w:p>
              </w:tc>
              <w:tc>
                <w:tcPr>
                  <w:tcW w:w="2616" w:type="pct"/>
                  <w:tcBorders>
                    <w:tl2br w:val="nil"/>
                    <w:tr2bl w:val="nil"/>
                  </w:tcBorders>
                  <w:noWrap w:val="0"/>
                  <w:vAlign w:val="center"/>
                </w:tcPr>
                <w:p w14:paraId="5000AEF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化学需氧量（mg/L）</w:t>
                  </w:r>
                </w:p>
              </w:tc>
              <w:tc>
                <w:tcPr>
                  <w:tcW w:w="1666" w:type="pct"/>
                  <w:tcBorders>
                    <w:tl2br w:val="nil"/>
                    <w:tr2bl w:val="nil"/>
                  </w:tcBorders>
                  <w:noWrap w:val="0"/>
                  <w:vAlign w:val="center"/>
                </w:tcPr>
                <w:p w14:paraId="7142726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宋体" w:eastAsia="宋体" w:cs="Times New Roman"/>
                      <w:snapToGrid w:val="0"/>
                      <w:color w:val="auto"/>
                      <w:kern w:val="2"/>
                      <w:sz w:val="21"/>
                      <w:szCs w:val="21"/>
                      <w:lang w:val="en-US" w:eastAsia="zh-CN" w:bidi="ar-SA"/>
                    </w:rPr>
                  </w:pPr>
                  <w:r>
                    <w:rPr>
                      <w:rFonts w:hint="eastAsia" w:ascii="Times New Roman" w:hAnsi="宋体" w:eastAsia="宋体" w:cs="Times New Roman"/>
                      <w:snapToGrid w:val="0"/>
                      <w:color w:val="auto"/>
                      <w:kern w:val="2"/>
                      <w:sz w:val="21"/>
                      <w:szCs w:val="21"/>
                      <w:lang w:val="en-US" w:eastAsia="zh-CN" w:bidi="ar-SA"/>
                    </w:rPr>
                    <w:t>200</w:t>
                  </w:r>
                </w:p>
              </w:tc>
            </w:tr>
          </w:tbl>
          <w:p w14:paraId="7B3EAA97">
            <w:pPr>
              <w:pStyle w:val="109"/>
              <w:keepNext w:val="0"/>
              <w:keepLines w:val="0"/>
              <w:suppressLineNumbers w:val="0"/>
              <w:spacing w:before="157" w:beforeLines="50" w:beforeAutospacing="0" w:after="0" w:afterAutospacing="0"/>
              <w:ind w:left="0" w:right="0" w:firstLine="482"/>
              <w:rPr>
                <w:rFonts w:hint="default"/>
                <w:b/>
                <w:snapToGrid w:val="0"/>
                <w:color w:val="auto"/>
                <w:u w:val="none"/>
              </w:rPr>
            </w:pPr>
            <w:r>
              <w:rPr>
                <w:rFonts w:hint="default"/>
                <w:b/>
                <w:snapToGrid w:val="0"/>
                <w:color w:val="auto"/>
                <w:u w:val="none"/>
              </w:rPr>
              <w:t>3、噪声排放标准</w:t>
            </w:r>
          </w:p>
          <w:p w14:paraId="4B5294A4">
            <w:pPr>
              <w:pStyle w:val="109"/>
              <w:keepNext w:val="0"/>
              <w:keepLines w:val="0"/>
              <w:suppressLineNumbers w:val="0"/>
              <w:spacing w:before="0" w:beforeAutospacing="0" w:after="0" w:afterAutospacing="0"/>
              <w:ind w:left="0" w:right="0" w:firstLine="480"/>
              <w:rPr>
                <w:rFonts w:hint="default" w:hAnsi="Times New Roman"/>
                <w:snapToGrid w:val="0"/>
                <w:color w:val="auto"/>
                <w:u w:val="none"/>
              </w:rPr>
            </w:pPr>
            <w:r>
              <w:rPr>
                <w:rFonts w:hint="eastAsia" w:hAnsi="Times New Roman"/>
                <w:snapToGrid w:val="0"/>
                <w:color w:val="auto"/>
                <w:u w:val="none"/>
                <w:lang w:val="en-US" w:eastAsia="zh-CN"/>
              </w:rPr>
              <w:t>本项目运营期四周厂界噪声排放执行《工业企业厂界环境噪声排放标准》（GB12348-2008）中的2类标准，具体见下表</w:t>
            </w:r>
            <w:r>
              <w:rPr>
                <w:rFonts w:hint="default" w:hAnsi="Times New Roman"/>
                <w:snapToGrid w:val="0"/>
                <w:color w:val="auto"/>
                <w:u w:val="none"/>
              </w:rPr>
              <w:t>。</w:t>
            </w:r>
          </w:p>
          <w:p w14:paraId="0F7714F9">
            <w:pPr>
              <w:pStyle w:val="35"/>
              <w:keepNext w:val="0"/>
              <w:keepLines w:val="0"/>
              <w:suppressLineNumbers w:val="0"/>
              <w:spacing w:before="0" w:beforeAutospacing="0" w:after="0" w:afterAutospacing="0"/>
              <w:ind w:left="0" w:right="0" w:firstLine="422"/>
              <w:rPr>
                <w:rFonts w:hint="default"/>
                <w:snapToGrid w:val="0"/>
                <w:color w:val="auto"/>
                <w:kern w:val="0"/>
                <w:szCs w:val="21"/>
                <w:u w:val="none"/>
              </w:rPr>
            </w:pPr>
            <w:r>
              <w:rPr>
                <w:rFonts w:hint="default"/>
                <w:snapToGrid w:val="0"/>
                <w:color w:val="auto"/>
                <w:kern w:val="0"/>
                <w:sz w:val="21"/>
                <w:szCs w:val="21"/>
                <w:u w:val="none"/>
              </w:rPr>
              <w:t>表3-</w:t>
            </w:r>
            <w:r>
              <w:rPr>
                <w:rFonts w:hint="eastAsia"/>
                <w:snapToGrid w:val="0"/>
                <w:color w:val="auto"/>
                <w:kern w:val="0"/>
                <w:sz w:val="21"/>
                <w:szCs w:val="21"/>
                <w:u w:val="none"/>
                <w:lang w:val="en-US" w:eastAsia="zh-CN"/>
              </w:rPr>
              <w:t>12</w:t>
            </w:r>
            <w:r>
              <w:rPr>
                <w:rFonts w:hint="default"/>
                <w:snapToGrid w:val="0"/>
                <w:color w:val="auto"/>
                <w:kern w:val="0"/>
                <w:sz w:val="21"/>
                <w:szCs w:val="21"/>
                <w:u w:val="none"/>
              </w:rPr>
              <w:t xml:space="preserve"> 工业企业厂界环境噪声排放标准</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4"/>
              <w:gridCol w:w="1984"/>
              <w:gridCol w:w="851"/>
              <w:gridCol w:w="1098"/>
              <w:gridCol w:w="2446"/>
              <w:gridCol w:w="1180"/>
            </w:tblGrid>
            <w:tr w14:paraId="6BF5B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4" w:type="dxa"/>
                  <w:vMerge w:val="restart"/>
                  <w:noWrap w:val="0"/>
                  <w:vAlign w:val="center"/>
                </w:tcPr>
                <w:p w14:paraId="37AE89A9">
                  <w:pPr>
                    <w:pStyle w:val="87"/>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要素分类</w:t>
                  </w:r>
                </w:p>
              </w:tc>
              <w:tc>
                <w:tcPr>
                  <w:tcW w:w="1984" w:type="dxa"/>
                  <w:vMerge w:val="restart"/>
                  <w:noWrap w:val="0"/>
                  <w:vAlign w:val="center"/>
                </w:tcPr>
                <w:p w14:paraId="2ACC6A9C">
                  <w:pPr>
                    <w:pStyle w:val="87"/>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标准名称</w:t>
                  </w:r>
                </w:p>
              </w:tc>
              <w:tc>
                <w:tcPr>
                  <w:tcW w:w="851" w:type="dxa"/>
                  <w:vMerge w:val="restart"/>
                  <w:noWrap w:val="0"/>
                  <w:vAlign w:val="center"/>
                </w:tcPr>
                <w:p w14:paraId="2FB48148">
                  <w:pPr>
                    <w:pStyle w:val="87"/>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适用</w:t>
                  </w:r>
                </w:p>
                <w:p w14:paraId="7F298B30">
                  <w:pPr>
                    <w:pStyle w:val="87"/>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类别</w:t>
                  </w:r>
                </w:p>
              </w:tc>
              <w:tc>
                <w:tcPr>
                  <w:tcW w:w="3544" w:type="dxa"/>
                  <w:gridSpan w:val="2"/>
                  <w:noWrap w:val="0"/>
                  <w:vAlign w:val="center"/>
                </w:tcPr>
                <w:p w14:paraId="1AE86A03">
                  <w:pPr>
                    <w:pStyle w:val="87"/>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标准限值</w:t>
                  </w:r>
                </w:p>
              </w:tc>
              <w:tc>
                <w:tcPr>
                  <w:tcW w:w="1180" w:type="dxa"/>
                  <w:vMerge w:val="restart"/>
                  <w:noWrap w:val="0"/>
                  <w:vAlign w:val="center"/>
                </w:tcPr>
                <w:p w14:paraId="75890A22">
                  <w:pPr>
                    <w:pStyle w:val="87"/>
                    <w:keepNext w:val="0"/>
                    <w:keepLines w:val="0"/>
                    <w:suppressLineNumbers w:val="0"/>
                    <w:spacing w:before="0" w:beforeAutospacing="0" w:after="0" w:afterAutospacing="0"/>
                    <w:ind w:left="0" w:right="0"/>
                    <w:rPr>
                      <w:rFonts w:hint="default"/>
                      <w:color w:val="auto"/>
                      <w:u w:val="none"/>
                    </w:rPr>
                  </w:pPr>
                  <w:r>
                    <w:rPr>
                      <w:rFonts w:hint="default"/>
                      <w:b/>
                      <w:bCs/>
                      <w:color w:val="auto"/>
                      <w:u w:val="none"/>
                    </w:rPr>
                    <w:t>评价对象</w:t>
                  </w:r>
                </w:p>
              </w:tc>
            </w:tr>
            <w:tr w14:paraId="7D12E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4" w:type="dxa"/>
                  <w:vMerge w:val="continue"/>
                  <w:noWrap w:val="0"/>
                  <w:vAlign w:val="center"/>
                </w:tcPr>
                <w:p w14:paraId="309512D7">
                  <w:pPr>
                    <w:pStyle w:val="87"/>
                    <w:keepNext w:val="0"/>
                    <w:keepLines w:val="0"/>
                    <w:suppressLineNumbers w:val="0"/>
                    <w:spacing w:before="0" w:beforeAutospacing="0" w:after="0" w:afterAutospacing="0"/>
                    <w:ind w:left="0" w:right="0"/>
                    <w:rPr>
                      <w:rFonts w:hint="default"/>
                      <w:b/>
                      <w:bCs/>
                      <w:color w:val="auto"/>
                      <w:u w:val="none"/>
                    </w:rPr>
                  </w:pPr>
                </w:p>
              </w:tc>
              <w:tc>
                <w:tcPr>
                  <w:tcW w:w="1984" w:type="dxa"/>
                  <w:vMerge w:val="continue"/>
                  <w:noWrap w:val="0"/>
                  <w:vAlign w:val="center"/>
                </w:tcPr>
                <w:p w14:paraId="27F142F6">
                  <w:pPr>
                    <w:pStyle w:val="87"/>
                    <w:keepNext w:val="0"/>
                    <w:keepLines w:val="0"/>
                    <w:suppressLineNumbers w:val="0"/>
                    <w:spacing w:before="0" w:beforeAutospacing="0" w:after="0" w:afterAutospacing="0"/>
                    <w:ind w:left="0" w:right="0"/>
                    <w:rPr>
                      <w:rFonts w:hint="default"/>
                      <w:b/>
                      <w:bCs/>
                      <w:color w:val="auto"/>
                      <w:u w:val="none"/>
                    </w:rPr>
                  </w:pPr>
                </w:p>
              </w:tc>
              <w:tc>
                <w:tcPr>
                  <w:tcW w:w="851" w:type="dxa"/>
                  <w:vMerge w:val="continue"/>
                  <w:noWrap w:val="0"/>
                  <w:vAlign w:val="center"/>
                </w:tcPr>
                <w:p w14:paraId="1BD25167">
                  <w:pPr>
                    <w:pStyle w:val="87"/>
                    <w:keepNext w:val="0"/>
                    <w:keepLines w:val="0"/>
                    <w:suppressLineNumbers w:val="0"/>
                    <w:spacing w:before="0" w:beforeAutospacing="0" w:after="0" w:afterAutospacing="0"/>
                    <w:ind w:left="0" w:right="0"/>
                    <w:rPr>
                      <w:rFonts w:hint="default"/>
                      <w:b/>
                      <w:bCs/>
                      <w:color w:val="auto"/>
                      <w:u w:val="none"/>
                    </w:rPr>
                  </w:pPr>
                </w:p>
              </w:tc>
              <w:tc>
                <w:tcPr>
                  <w:tcW w:w="1098" w:type="dxa"/>
                  <w:noWrap w:val="0"/>
                  <w:vAlign w:val="center"/>
                </w:tcPr>
                <w:p w14:paraId="4534E5BB">
                  <w:pPr>
                    <w:pStyle w:val="87"/>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参数名称</w:t>
                  </w:r>
                </w:p>
              </w:tc>
              <w:tc>
                <w:tcPr>
                  <w:tcW w:w="2446" w:type="dxa"/>
                  <w:noWrap w:val="0"/>
                  <w:vAlign w:val="center"/>
                </w:tcPr>
                <w:p w14:paraId="73E0AF20">
                  <w:pPr>
                    <w:pStyle w:val="87"/>
                    <w:keepNext w:val="0"/>
                    <w:keepLines w:val="0"/>
                    <w:suppressLineNumbers w:val="0"/>
                    <w:spacing w:before="0" w:beforeAutospacing="0" w:after="0" w:afterAutospacing="0"/>
                    <w:ind w:left="0" w:right="0"/>
                    <w:rPr>
                      <w:rFonts w:hint="default"/>
                      <w:b/>
                      <w:bCs/>
                      <w:color w:val="auto"/>
                      <w:u w:val="none"/>
                    </w:rPr>
                  </w:pPr>
                  <w:r>
                    <w:rPr>
                      <w:rFonts w:hint="default"/>
                      <w:b/>
                      <w:bCs/>
                      <w:color w:val="auto"/>
                      <w:u w:val="none"/>
                    </w:rPr>
                    <w:t>限值</w:t>
                  </w:r>
                </w:p>
              </w:tc>
              <w:tc>
                <w:tcPr>
                  <w:tcW w:w="1180" w:type="dxa"/>
                  <w:vMerge w:val="continue"/>
                  <w:noWrap w:val="0"/>
                  <w:vAlign w:val="center"/>
                </w:tcPr>
                <w:p w14:paraId="6C1EC4A3">
                  <w:pPr>
                    <w:pStyle w:val="87"/>
                    <w:keepNext w:val="0"/>
                    <w:keepLines w:val="0"/>
                    <w:suppressLineNumbers w:val="0"/>
                    <w:spacing w:before="0" w:beforeAutospacing="0" w:after="0" w:afterAutospacing="0"/>
                    <w:ind w:left="0" w:right="0"/>
                    <w:rPr>
                      <w:rFonts w:hint="default"/>
                      <w:color w:val="auto"/>
                      <w:u w:val="none"/>
                    </w:rPr>
                  </w:pPr>
                </w:p>
              </w:tc>
            </w:tr>
            <w:tr w14:paraId="643DB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54" w:type="dxa"/>
                  <w:tcBorders>
                    <w:bottom w:val="single" w:color="auto" w:sz="4" w:space="0"/>
                  </w:tcBorders>
                  <w:noWrap w:val="0"/>
                  <w:vAlign w:val="center"/>
                </w:tcPr>
                <w:p w14:paraId="461F7094">
                  <w:pPr>
                    <w:pStyle w:val="87"/>
                    <w:keepNext w:val="0"/>
                    <w:keepLines w:val="0"/>
                    <w:suppressLineNumbers w:val="0"/>
                    <w:spacing w:before="0" w:beforeAutospacing="0" w:after="0" w:afterAutospacing="0"/>
                    <w:ind w:left="0" w:right="0"/>
                    <w:rPr>
                      <w:rFonts w:hint="default"/>
                      <w:color w:val="auto"/>
                      <w:u w:val="none"/>
                    </w:rPr>
                  </w:pPr>
                  <w:r>
                    <w:rPr>
                      <w:rFonts w:hint="default"/>
                      <w:color w:val="auto"/>
                      <w:u w:val="none"/>
                    </w:rPr>
                    <w:t>噪声</w:t>
                  </w:r>
                </w:p>
              </w:tc>
              <w:tc>
                <w:tcPr>
                  <w:tcW w:w="1984" w:type="dxa"/>
                  <w:tcBorders>
                    <w:bottom w:val="single" w:color="auto" w:sz="4" w:space="0"/>
                  </w:tcBorders>
                  <w:noWrap w:val="0"/>
                  <w:vAlign w:val="center"/>
                </w:tcPr>
                <w:p w14:paraId="003CBE1F">
                  <w:pPr>
                    <w:pStyle w:val="87"/>
                    <w:keepNext w:val="0"/>
                    <w:keepLines w:val="0"/>
                    <w:suppressLineNumbers w:val="0"/>
                    <w:spacing w:before="0" w:beforeAutospacing="0" w:after="0" w:afterAutospacing="0"/>
                    <w:ind w:left="0" w:right="0"/>
                    <w:rPr>
                      <w:rFonts w:hint="default"/>
                      <w:snapToGrid w:val="0"/>
                      <w:color w:val="auto"/>
                      <w:u w:val="none"/>
                    </w:rPr>
                  </w:pPr>
                  <w:r>
                    <w:rPr>
                      <w:rFonts w:hint="default"/>
                      <w:color w:val="auto"/>
                      <w:u w:val="none"/>
                    </w:rPr>
                    <w:t>《工业企业厂界环境噪声排放标准》（GB12348-2008）</w:t>
                  </w:r>
                </w:p>
              </w:tc>
              <w:tc>
                <w:tcPr>
                  <w:tcW w:w="851" w:type="dxa"/>
                  <w:tcBorders>
                    <w:bottom w:val="single" w:color="auto" w:sz="4" w:space="0"/>
                  </w:tcBorders>
                  <w:noWrap w:val="0"/>
                  <w:vAlign w:val="center"/>
                </w:tcPr>
                <w:p w14:paraId="10A255DC">
                  <w:pPr>
                    <w:pStyle w:val="87"/>
                    <w:keepNext w:val="0"/>
                    <w:keepLines w:val="0"/>
                    <w:suppressLineNumbers w:val="0"/>
                    <w:spacing w:before="0" w:beforeAutospacing="0" w:after="0" w:afterAutospacing="0"/>
                    <w:ind w:left="0" w:right="0"/>
                    <w:rPr>
                      <w:rFonts w:hint="default"/>
                      <w:color w:val="auto"/>
                      <w:u w:val="none"/>
                    </w:rPr>
                  </w:pPr>
                  <w:r>
                    <w:rPr>
                      <w:rFonts w:hint="eastAsia"/>
                      <w:color w:val="auto"/>
                      <w:u w:val="none"/>
                      <w:lang w:val="en-US" w:eastAsia="zh-CN"/>
                    </w:rPr>
                    <w:t>2类</w:t>
                  </w:r>
                </w:p>
              </w:tc>
              <w:tc>
                <w:tcPr>
                  <w:tcW w:w="1098" w:type="dxa"/>
                  <w:noWrap w:val="0"/>
                  <w:vAlign w:val="center"/>
                </w:tcPr>
                <w:p w14:paraId="03D09B30">
                  <w:pPr>
                    <w:pStyle w:val="87"/>
                    <w:keepNext w:val="0"/>
                    <w:keepLines w:val="0"/>
                    <w:suppressLineNumbers w:val="0"/>
                    <w:spacing w:before="0" w:beforeAutospacing="0" w:after="0" w:afterAutospacing="0"/>
                    <w:ind w:left="0" w:right="0"/>
                    <w:rPr>
                      <w:rFonts w:hint="default"/>
                      <w:color w:val="auto"/>
                      <w:u w:val="none"/>
                    </w:rPr>
                  </w:pPr>
                  <w:r>
                    <w:rPr>
                      <w:rFonts w:hint="default"/>
                      <w:color w:val="auto"/>
                      <w:u w:val="none"/>
                    </w:rPr>
                    <w:t>等效连续A声级</w:t>
                  </w:r>
                </w:p>
              </w:tc>
              <w:tc>
                <w:tcPr>
                  <w:tcW w:w="2446" w:type="dxa"/>
                  <w:noWrap w:val="0"/>
                  <w:vAlign w:val="center"/>
                </w:tcPr>
                <w:p w14:paraId="25038E49">
                  <w:pPr>
                    <w:keepNext w:val="0"/>
                    <w:keepLines w:val="0"/>
                    <w:suppressLineNumbers w:val="0"/>
                    <w:spacing w:before="0" w:beforeAutospacing="0" w:after="0" w:afterAutospacing="0"/>
                    <w:ind w:left="0" w:right="0"/>
                    <w:jc w:val="center"/>
                    <w:rPr>
                      <w:rFonts w:hint="default" w:eastAsia="宋体"/>
                      <w:lang w:val="en-US" w:eastAsia="zh-CN"/>
                    </w:rPr>
                  </w:pPr>
                  <w:r>
                    <w:rPr>
                      <w:rFonts w:hint="default"/>
                      <w:color w:val="auto"/>
                      <w:u w:val="none"/>
                    </w:rPr>
                    <w:t>昼间</w:t>
                  </w:r>
                  <w:r>
                    <w:rPr>
                      <w:rFonts w:hint="eastAsia"/>
                      <w:color w:val="auto"/>
                      <w:u w:val="none"/>
                      <w:lang w:val="en-US" w:eastAsia="zh-CN"/>
                    </w:rPr>
                    <w:t>60</w:t>
                  </w:r>
                  <w:r>
                    <w:rPr>
                      <w:rFonts w:hint="default"/>
                      <w:color w:val="auto"/>
                      <w:u w:val="none"/>
                    </w:rPr>
                    <w:t>dB(A)</w:t>
                  </w:r>
                </w:p>
              </w:tc>
              <w:tc>
                <w:tcPr>
                  <w:tcW w:w="1180" w:type="dxa"/>
                  <w:noWrap w:val="0"/>
                  <w:vAlign w:val="center"/>
                </w:tcPr>
                <w:p w14:paraId="04504AC4">
                  <w:pPr>
                    <w:pStyle w:val="87"/>
                    <w:keepNext w:val="0"/>
                    <w:keepLines w:val="0"/>
                    <w:suppressLineNumbers w:val="0"/>
                    <w:spacing w:before="0" w:beforeAutospacing="0" w:after="0" w:afterAutospacing="0"/>
                    <w:ind w:left="0" w:right="0"/>
                    <w:rPr>
                      <w:rFonts w:hint="eastAsia" w:eastAsia="宋体"/>
                      <w:color w:val="auto"/>
                      <w:u w:val="none"/>
                      <w:lang w:val="en-US" w:eastAsia="zh-CN"/>
                    </w:rPr>
                  </w:pPr>
                  <w:r>
                    <w:rPr>
                      <w:rFonts w:hint="eastAsia"/>
                      <w:color w:val="auto"/>
                      <w:u w:val="none"/>
                      <w:lang w:val="en-US" w:eastAsia="zh-CN"/>
                    </w:rPr>
                    <w:t>厂界四周</w:t>
                  </w:r>
                </w:p>
              </w:tc>
            </w:tr>
          </w:tbl>
          <w:p w14:paraId="54BBC2B5">
            <w:pPr>
              <w:pStyle w:val="109"/>
              <w:keepNext w:val="0"/>
              <w:keepLines w:val="0"/>
              <w:suppressLineNumbers w:val="0"/>
              <w:spacing w:before="157" w:beforeLines="50" w:beforeAutospacing="0" w:after="0" w:afterAutospacing="0"/>
              <w:ind w:left="0" w:right="0" w:firstLine="482"/>
              <w:rPr>
                <w:rFonts w:hint="default"/>
                <w:b/>
                <w:snapToGrid w:val="0"/>
                <w:color w:val="auto"/>
                <w:u w:val="none"/>
              </w:rPr>
            </w:pPr>
            <w:r>
              <w:rPr>
                <w:rFonts w:hint="default"/>
                <w:b/>
                <w:snapToGrid w:val="0"/>
                <w:color w:val="auto"/>
                <w:u w:val="none"/>
              </w:rPr>
              <w:t>4、固体废弃物</w:t>
            </w:r>
          </w:p>
          <w:p w14:paraId="7214C141">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cs="宋体"/>
                <w:snapToGrid/>
                <w:color w:val="000000"/>
                <w:kern w:val="0"/>
                <w:sz w:val="24"/>
                <w:u w:val="none"/>
                <w:lang w:bidi="ar"/>
              </w:rPr>
            </w:pPr>
            <w:r>
              <w:rPr>
                <w:rFonts w:hint="eastAsia" w:ascii="宋体" w:hAnsi="宋体" w:eastAsia="宋体" w:cs="宋体"/>
                <w:color w:val="000000"/>
                <w:kern w:val="0"/>
                <w:sz w:val="24"/>
                <w:szCs w:val="24"/>
                <w:u w:val="none"/>
                <w:lang w:val="en-US" w:eastAsia="zh-CN" w:bidi="ar"/>
              </w:rPr>
              <w:t>一般固体废物执行《一般工业固体废物贮存和填埋污染控制标准》（</w:t>
            </w:r>
            <w:r>
              <w:rPr>
                <w:rFonts w:hint="default" w:ascii="Times New Roman" w:hAnsi="Times New Roman" w:eastAsia="宋体" w:cs="Times New Roman"/>
                <w:color w:val="000000"/>
                <w:kern w:val="0"/>
                <w:sz w:val="24"/>
                <w:szCs w:val="24"/>
                <w:u w:val="none"/>
                <w:lang w:val="en-US" w:eastAsia="zh-CN" w:bidi="ar"/>
              </w:rPr>
              <w:t>GB18599-2020</w:t>
            </w:r>
            <w:r>
              <w:rPr>
                <w:rFonts w:hint="eastAsia" w:ascii="宋体" w:hAnsi="宋体" w:eastAsia="宋体" w:cs="宋体"/>
                <w:color w:val="000000"/>
                <w:kern w:val="0"/>
                <w:sz w:val="24"/>
                <w:szCs w:val="24"/>
                <w:u w:val="none"/>
                <w:lang w:val="en-US" w:eastAsia="zh-CN" w:bidi="ar"/>
              </w:rPr>
              <w:t>）；</w:t>
            </w:r>
            <w:r>
              <w:rPr>
                <w:rFonts w:hint="eastAsia" w:ascii="宋体" w:hAnsi="宋体" w:cs="宋体"/>
                <w:snapToGrid/>
                <w:color w:val="000000"/>
                <w:kern w:val="0"/>
                <w:sz w:val="24"/>
                <w:u w:val="none"/>
                <w:lang w:bidi="ar"/>
              </w:rPr>
              <w:t>危险废物执行《危险废物贮存污染控制标准》（</w:t>
            </w:r>
            <w:r>
              <w:rPr>
                <w:rFonts w:hint="default" w:ascii="Times New Roman" w:hAnsi="Times New Roman" w:cs="Times New Roman"/>
                <w:snapToGrid/>
                <w:color w:val="000000"/>
                <w:kern w:val="0"/>
                <w:sz w:val="24"/>
                <w:u w:val="none"/>
                <w:lang w:bidi="ar"/>
              </w:rPr>
              <w:t>GB18597-20</w:t>
            </w:r>
            <w:r>
              <w:rPr>
                <w:rFonts w:hint="eastAsia" w:cs="Times New Roman"/>
                <w:snapToGrid/>
                <w:color w:val="000000"/>
                <w:kern w:val="0"/>
                <w:sz w:val="24"/>
                <w:u w:val="none"/>
                <w:lang w:val="en-US" w:eastAsia="zh-CN" w:bidi="ar"/>
              </w:rPr>
              <w:t>23</w:t>
            </w:r>
            <w:r>
              <w:rPr>
                <w:rFonts w:hint="default" w:ascii="Times New Roman" w:hAnsi="Times New Roman" w:cs="Times New Roman"/>
                <w:snapToGrid/>
                <w:color w:val="000000"/>
                <w:kern w:val="0"/>
                <w:sz w:val="24"/>
                <w:u w:val="none"/>
                <w:lang w:bidi="ar"/>
              </w:rPr>
              <w:t>）</w:t>
            </w:r>
            <w:r>
              <w:rPr>
                <w:rFonts w:hint="eastAsia" w:ascii="宋体" w:hAnsi="宋体" w:cs="宋体"/>
                <w:snapToGrid/>
                <w:color w:val="000000"/>
                <w:kern w:val="0"/>
                <w:sz w:val="24"/>
                <w:u w:val="none"/>
                <w:lang w:bidi="ar"/>
              </w:rPr>
              <w:t>。</w:t>
            </w:r>
          </w:p>
          <w:p w14:paraId="790F6433">
            <w:pPr>
              <w:pStyle w:val="109"/>
              <w:keepNext w:val="0"/>
              <w:keepLines w:val="0"/>
              <w:suppressLineNumbers w:val="0"/>
              <w:spacing w:before="0" w:beforeAutospacing="0" w:after="0" w:afterAutospacing="0"/>
              <w:ind w:left="0" w:right="0" w:firstLine="0" w:firstLineChars="0"/>
              <w:rPr>
                <w:rFonts w:hint="default"/>
                <w:snapToGrid w:val="0"/>
                <w:color w:val="auto"/>
                <w:u w:val="none"/>
              </w:rPr>
            </w:pPr>
          </w:p>
        </w:tc>
      </w:tr>
      <w:tr w14:paraId="74C74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79" w:type="dxa"/>
            <w:noWrap w:val="0"/>
            <w:vAlign w:val="center"/>
          </w:tcPr>
          <w:p w14:paraId="1A1D9A51">
            <w:pPr>
              <w:pStyle w:val="36"/>
              <w:keepNext w:val="0"/>
              <w:keepLines w:val="0"/>
              <w:suppressLineNumbers w:val="0"/>
              <w:spacing w:before="0" w:beforeAutospacing="0" w:after="0" w:afterAutospacing="0"/>
              <w:ind w:left="0" w:right="0"/>
              <w:rPr>
                <w:rFonts w:hint="default"/>
                <w:snapToGrid w:val="0"/>
                <w:color w:val="auto"/>
                <w:highlight w:val="none"/>
                <w:u w:val="none"/>
              </w:rPr>
            </w:pPr>
            <w:r>
              <w:rPr>
                <w:rFonts w:hint="default"/>
                <w:snapToGrid w:val="0"/>
                <w:color w:val="auto"/>
                <w:highlight w:val="none"/>
                <w:u w:val="none"/>
              </w:rPr>
              <w:t>总量控制指标</w:t>
            </w:r>
          </w:p>
        </w:tc>
        <w:tc>
          <w:tcPr>
            <w:tcW w:w="8977" w:type="dxa"/>
            <w:noWrap w:val="0"/>
            <w:vAlign w:val="top"/>
          </w:tcPr>
          <w:p w14:paraId="700EDFCE">
            <w:pPr>
              <w:keepNext w:val="0"/>
              <w:keepLines w:val="0"/>
              <w:suppressLineNumbers w:val="0"/>
              <w:spacing w:before="0" w:beforeAutospacing="0" w:after="0" w:afterAutospacing="0"/>
              <w:ind w:left="0" w:right="0"/>
              <w:jc w:val="center"/>
              <w:rPr>
                <w:rFonts w:hint="eastAsia" w:ascii="Times New Roman" w:hAnsi="宋体" w:eastAsia="宋体" w:cs="Times New Roman"/>
                <w:snapToGrid w:val="0"/>
                <w:color w:val="auto"/>
                <w:kern w:val="2"/>
                <w:sz w:val="24"/>
                <w:szCs w:val="24"/>
                <w:highlight w:val="none"/>
                <w:u w:val="none"/>
                <w:lang w:val="en-US" w:eastAsia="zh-CN" w:bidi="ar-SA"/>
              </w:rPr>
            </w:pPr>
          </w:p>
          <w:p w14:paraId="2B764BEE">
            <w:pPr>
              <w:keepNext w:val="0"/>
              <w:keepLines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snapToGrid w:val="0"/>
                <w:color w:val="auto"/>
                <w:kern w:val="2"/>
                <w:sz w:val="24"/>
                <w:szCs w:val="24"/>
                <w:highlight w:val="none"/>
                <w:u w:val="none"/>
                <w:lang w:val="en-US" w:eastAsia="zh-CN" w:bidi="ar-SA"/>
              </w:rPr>
            </w:pPr>
            <w:r>
              <w:rPr>
                <w:rFonts w:hint="eastAsia" w:ascii="Times New Roman" w:hAnsi="宋体" w:eastAsia="宋体" w:cs="Times New Roman"/>
                <w:snapToGrid w:val="0"/>
                <w:color w:val="auto"/>
                <w:kern w:val="2"/>
                <w:sz w:val="24"/>
                <w:szCs w:val="24"/>
                <w:highlight w:val="none"/>
                <w:u w:val="none"/>
                <w:lang w:val="en-US" w:eastAsia="zh-CN" w:bidi="ar-SA"/>
              </w:rPr>
              <w:t>根据《</w:t>
            </w:r>
            <w:r>
              <w:rPr>
                <w:rFonts w:hint="eastAsia" w:hAnsi="宋体" w:cs="Times New Roman"/>
                <w:snapToGrid w:val="0"/>
                <w:color w:val="auto"/>
                <w:kern w:val="2"/>
                <w:sz w:val="24"/>
                <w:szCs w:val="24"/>
                <w:highlight w:val="none"/>
                <w:u w:val="none"/>
                <w:lang w:val="en-US" w:eastAsia="zh-CN" w:bidi="ar-SA"/>
              </w:rPr>
              <w:t>“</w:t>
            </w:r>
            <w:r>
              <w:rPr>
                <w:rFonts w:hint="eastAsia" w:ascii="Times New Roman" w:hAnsi="宋体" w:eastAsia="宋体" w:cs="Times New Roman"/>
                <w:snapToGrid w:val="0"/>
                <w:color w:val="auto"/>
                <w:kern w:val="2"/>
                <w:sz w:val="24"/>
                <w:szCs w:val="24"/>
                <w:highlight w:val="none"/>
                <w:u w:val="none"/>
                <w:lang w:val="en-US" w:eastAsia="zh-CN" w:bidi="ar-SA"/>
              </w:rPr>
              <w:t>十四五</w:t>
            </w:r>
            <w:r>
              <w:rPr>
                <w:rFonts w:hint="eastAsia" w:hAnsi="宋体" w:cs="Times New Roman"/>
                <w:snapToGrid w:val="0"/>
                <w:color w:val="auto"/>
                <w:kern w:val="2"/>
                <w:sz w:val="24"/>
                <w:szCs w:val="24"/>
                <w:highlight w:val="none"/>
                <w:u w:val="none"/>
                <w:lang w:val="en-US" w:eastAsia="zh-CN" w:bidi="ar-SA"/>
              </w:rPr>
              <w:t>”</w:t>
            </w:r>
            <w:r>
              <w:rPr>
                <w:rFonts w:hint="eastAsia" w:ascii="Times New Roman" w:hAnsi="宋体" w:eastAsia="宋体" w:cs="Times New Roman"/>
                <w:snapToGrid w:val="0"/>
                <w:color w:val="auto"/>
                <w:kern w:val="2"/>
                <w:sz w:val="24"/>
                <w:szCs w:val="24"/>
                <w:highlight w:val="none"/>
                <w:u w:val="none"/>
                <w:lang w:val="en-US" w:eastAsia="zh-CN" w:bidi="ar-SA"/>
              </w:rPr>
              <w:t>节能减排综合工作方案》以及《湖南省主要污染物排污权有权有偿使用和交易管理办法》（湘政办发[2022]23号），本项目涉及的总量控制因子有COD、NH</w:t>
            </w:r>
            <w:r>
              <w:rPr>
                <w:rFonts w:hint="eastAsia" w:ascii="Times New Roman" w:hAnsi="宋体" w:eastAsia="宋体" w:cs="Times New Roman"/>
                <w:snapToGrid w:val="0"/>
                <w:color w:val="auto"/>
                <w:kern w:val="2"/>
                <w:sz w:val="24"/>
                <w:szCs w:val="24"/>
                <w:highlight w:val="none"/>
                <w:u w:val="none"/>
                <w:vertAlign w:val="subscript"/>
                <w:lang w:val="en-US" w:eastAsia="zh-CN" w:bidi="ar-SA"/>
              </w:rPr>
              <w:t>3</w:t>
            </w:r>
            <w:r>
              <w:rPr>
                <w:rFonts w:hint="eastAsia" w:ascii="Times New Roman" w:hAnsi="宋体" w:eastAsia="宋体" w:cs="Times New Roman"/>
                <w:snapToGrid w:val="0"/>
                <w:color w:val="auto"/>
                <w:kern w:val="2"/>
                <w:sz w:val="24"/>
                <w:szCs w:val="24"/>
                <w:highlight w:val="none"/>
                <w:u w:val="none"/>
                <w:lang w:val="en-US" w:eastAsia="zh-CN" w:bidi="ar-SA"/>
              </w:rPr>
              <w:t>-N、二氧化硫、氮氧化物、挥发性有机物，结合本项目实际情况分析如下：</w:t>
            </w:r>
          </w:p>
          <w:p w14:paraId="053249A1">
            <w:pPr>
              <w:keepNext w:val="0"/>
              <w:keepLines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snapToGrid w:val="0"/>
                <w:color w:val="auto"/>
                <w:kern w:val="2"/>
                <w:sz w:val="24"/>
                <w:szCs w:val="24"/>
                <w:highlight w:val="none"/>
                <w:u w:val="none"/>
                <w:lang w:val="en-US" w:eastAsia="zh-CN" w:bidi="ar-SA"/>
              </w:rPr>
            </w:pPr>
            <w:r>
              <w:rPr>
                <w:rFonts w:hint="eastAsia" w:ascii="Times New Roman" w:hAnsi="宋体" w:eastAsia="宋体" w:cs="Times New Roman"/>
                <w:snapToGrid w:val="0"/>
                <w:color w:val="auto"/>
                <w:kern w:val="2"/>
                <w:sz w:val="24"/>
                <w:szCs w:val="24"/>
                <w:highlight w:val="none"/>
                <w:u w:val="none"/>
                <w:lang w:val="en-US" w:eastAsia="zh-CN" w:bidi="ar-SA"/>
              </w:rPr>
              <w:t>本项目运营期生活污水处理后收集作绿化种植及农肥，</w:t>
            </w:r>
            <w:r>
              <w:rPr>
                <w:rFonts w:hint="eastAsia" w:hAnsi="宋体" w:cs="Times New Roman"/>
                <w:snapToGrid w:val="0"/>
                <w:color w:val="auto"/>
                <w:kern w:val="2"/>
                <w:sz w:val="24"/>
                <w:szCs w:val="24"/>
                <w:highlight w:val="none"/>
                <w:u w:val="none"/>
                <w:lang w:val="en-US" w:eastAsia="zh-CN" w:bidi="ar-SA"/>
              </w:rPr>
              <w:t>本项目无生产废水</w:t>
            </w:r>
            <w:r>
              <w:rPr>
                <w:rFonts w:hint="eastAsia" w:ascii="Times New Roman" w:hAnsi="宋体" w:eastAsia="宋体" w:cs="Times New Roman"/>
                <w:snapToGrid w:val="0"/>
                <w:color w:val="auto"/>
                <w:kern w:val="2"/>
                <w:sz w:val="24"/>
                <w:szCs w:val="24"/>
                <w:highlight w:val="none"/>
                <w:u w:val="none"/>
                <w:lang w:val="en-US" w:eastAsia="zh-CN" w:bidi="ar-SA"/>
              </w:rPr>
              <w:t>。</w:t>
            </w:r>
          </w:p>
          <w:p w14:paraId="51075E1F">
            <w:pPr>
              <w:keepNext w:val="0"/>
              <w:keepLines w:val="0"/>
              <w:suppressLineNumbers w:val="0"/>
              <w:spacing w:before="0" w:beforeAutospacing="0" w:after="0" w:afterAutospacing="0" w:line="360" w:lineRule="auto"/>
              <w:ind w:left="0" w:right="0" w:firstLine="480" w:firstLineChars="200"/>
              <w:jc w:val="both"/>
              <w:rPr>
                <w:rFonts w:hint="eastAsia"/>
                <w:color w:val="auto"/>
                <w:highlight w:val="none"/>
                <w:u w:val="none"/>
              </w:rPr>
            </w:pPr>
            <w:r>
              <w:rPr>
                <w:rFonts w:hint="eastAsia" w:ascii="Times New Roman" w:hAnsi="宋体" w:eastAsia="宋体" w:cs="Times New Roman"/>
                <w:snapToGrid w:val="0"/>
                <w:color w:val="auto"/>
                <w:kern w:val="2"/>
                <w:sz w:val="24"/>
                <w:szCs w:val="24"/>
                <w:highlight w:val="none"/>
                <w:u w:val="none"/>
                <w:lang w:val="en-US" w:eastAsia="zh-CN" w:bidi="ar-SA"/>
              </w:rPr>
              <w:t>本项目</w:t>
            </w:r>
            <w:r>
              <w:rPr>
                <w:rFonts w:hint="eastAsia" w:hAnsi="宋体" w:cs="Times New Roman"/>
                <w:snapToGrid w:val="0"/>
                <w:color w:val="auto"/>
                <w:kern w:val="2"/>
                <w:sz w:val="24"/>
                <w:szCs w:val="24"/>
                <w:highlight w:val="none"/>
                <w:u w:val="none"/>
                <w:lang w:val="en-US" w:eastAsia="zh-CN" w:bidi="ar-SA"/>
              </w:rPr>
              <w:t>生产过程中</w:t>
            </w:r>
            <w:r>
              <w:rPr>
                <w:rFonts w:hint="eastAsia" w:ascii="Times New Roman" w:hAnsi="宋体" w:eastAsia="宋体" w:cs="Times New Roman"/>
                <w:snapToGrid w:val="0"/>
                <w:color w:val="auto"/>
                <w:kern w:val="2"/>
                <w:sz w:val="24"/>
                <w:szCs w:val="24"/>
                <w:highlight w:val="none"/>
                <w:u w:val="none"/>
                <w:lang w:val="en-US" w:eastAsia="zh-CN" w:bidi="ar-SA"/>
              </w:rPr>
              <w:t>产生的VOCs排放量约</w:t>
            </w:r>
            <w:r>
              <w:rPr>
                <w:rFonts w:hint="eastAsia" w:hAnsi="宋体" w:cs="Times New Roman"/>
                <w:snapToGrid w:val="0"/>
                <w:color w:val="auto"/>
                <w:kern w:val="2"/>
                <w:sz w:val="24"/>
                <w:szCs w:val="24"/>
                <w:highlight w:val="none"/>
                <w:u w:val="none"/>
                <w:lang w:val="en-US" w:eastAsia="zh-CN" w:bidi="ar-SA"/>
              </w:rPr>
              <w:t>0.1062</w:t>
            </w:r>
            <w:r>
              <w:rPr>
                <w:rFonts w:hint="eastAsia" w:ascii="Times New Roman" w:hAnsi="宋体" w:eastAsia="宋体" w:cs="Times New Roman"/>
                <w:snapToGrid w:val="0"/>
                <w:color w:val="auto"/>
                <w:kern w:val="2"/>
                <w:sz w:val="24"/>
                <w:szCs w:val="24"/>
                <w:highlight w:val="none"/>
                <w:u w:val="none"/>
                <w:lang w:val="en-US" w:eastAsia="zh-CN" w:bidi="ar-SA"/>
              </w:rPr>
              <w:t>t/a，因此项目需设置总量控制指标VOCs：</w:t>
            </w:r>
            <w:r>
              <w:rPr>
                <w:rFonts w:hint="eastAsia" w:hAnsi="宋体" w:cs="Times New Roman"/>
                <w:snapToGrid w:val="0"/>
                <w:color w:val="auto"/>
                <w:kern w:val="2"/>
                <w:sz w:val="24"/>
                <w:szCs w:val="24"/>
                <w:highlight w:val="none"/>
                <w:u w:val="none"/>
                <w:lang w:val="en-US" w:eastAsia="zh-CN" w:bidi="ar-SA"/>
              </w:rPr>
              <w:t>0.1062t/a</w:t>
            </w:r>
            <w:r>
              <w:rPr>
                <w:rFonts w:hint="eastAsia" w:ascii="Times New Roman" w:hAnsi="宋体" w:eastAsia="宋体" w:cs="Times New Roman"/>
                <w:snapToGrid w:val="0"/>
                <w:color w:val="auto"/>
                <w:kern w:val="2"/>
                <w:sz w:val="24"/>
                <w:szCs w:val="24"/>
                <w:highlight w:val="none"/>
                <w:u w:val="none"/>
                <w:lang w:val="en-US" w:eastAsia="zh-CN" w:bidi="ar-SA"/>
              </w:rPr>
              <w:t>。企业应向当地生态环境部门申请VOCs总量控制指标。</w:t>
            </w:r>
          </w:p>
        </w:tc>
      </w:tr>
    </w:tbl>
    <w:p w14:paraId="7230893E">
      <w:pPr>
        <w:pStyle w:val="20"/>
        <w:spacing w:before="105" w:beforeAutospacing="0" w:after="0" w:afterAutospacing="0" w:line="360" w:lineRule="auto"/>
        <w:ind w:firstLine="600"/>
        <w:jc w:val="center"/>
        <w:outlineLvl w:val="0"/>
        <w:rPr>
          <w:rFonts w:ascii="Times New Roman" w:hAnsi="Times New Roman"/>
          <w:snapToGrid w:val="0"/>
          <w:color w:val="auto"/>
          <w:sz w:val="30"/>
          <w:szCs w:val="30"/>
        </w:rPr>
        <w:sectPr>
          <w:pgSz w:w="11907" w:h="16840"/>
          <w:pgMar w:top="1440" w:right="1531" w:bottom="1440" w:left="1531" w:header="851" w:footer="851" w:gutter="0"/>
          <w:pgNumType w:fmt="decimal"/>
          <w:cols w:space="720" w:num="1"/>
          <w:docGrid w:linePitch="312" w:charSpace="0"/>
        </w:sectPr>
      </w:pPr>
    </w:p>
    <w:p w14:paraId="34B8A8B8">
      <w:pPr>
        <w:pStyle w:val="20"/>
        <w:spacing w:before="105" w:beforeAutospacing="0" w:after="0" w:afterAutospacing="0" w:line="360" w:lineRule="auto"/>
        <w:jc w:val="center"/>
        <w:outlineLvl w:val="0"/>
        <w:rPr>
          <w:rFonts w:ascii="Times New Roman" w:hAnsi="Times New Roman"/>
          <w:b/>
          <w:bCs/>
          <w:snapToGrid w:val="0"/>
          <w:color w:val="auto"/>
          <w:sz w:val="30"/>
          <w:szCs w:val="30"/>
        </w:rPr>
      </w:pPr>
      <w:bookmarkStart w:id="8" w:name="_Toc72704842"/>
      <w:bookmarkStart w:id="9" w:name="_Toc24081"/>
      <w:r>
        <w:rPr>
          <w:rFonts w:ascii="Times New Roman" w:hAnsi="Times New Roman"/>
          <w:b/>
          <w:bCs/>
          <w:snapToGrid w:val="0"/>
          <w:color w:val="auto"/>
          <w:sz w:val="30"/>
          <w:szCs w:val="30"/>
        </w:rPr>
        <w:t>四、主要环境影响和保护措施</w:t>
      </w:r>
      <w:bookmarkEnd w:id="8"/>
      <w:bookmarkEnd w:id="9"/>
    </w:p>
    <w:tbl>
      <w:tblPr>
        <w:tblStyle w:val="24"/>
        <w:tblW w:w="50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8564"/>
      </w:tblGrid>
      <w:tr w14:paraId="5CE90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4" w:type="pct"/>
            <w:noWrap w:val="0"/>
            <w:tcMar>
              <w:left w:w="28" w:type="dxa"/>
              <w:right w:w="28" w:type="dxa"/>
            </w:tcMar>
            <w:vAlign w:val="center"/>
          </w:tcPr>
          <w:p w14:paraId="31398526">
            <w:pPr>
              <w:pStyle w:val="109"/>
              <w:keepNext w:val="0"/>
              <w:keepLines w:val="0"/>
              <w:suppressLineNumbers w:val="0"/>
              <w:spacing w:before="0" w:beforeAutospacing="0" w:after="0" w:afterAutospacing="0"/>
              <w:ind w:left="0" w:right="0" w:firstLine="0" w:firstLineChars="0"/>
              <w:jc w:val="center"/>
              <w:rPr>
                <w:rFonts w:hint="default" w:hAnsi="Times New Roman"/>
                <w:snapToGrid w:val="0"/>
                <w:color w:val="auto"/>
                <w:u w:val="none"/>
              </w:rPr>
            </w:pPr>
            <w:r>
              <w:rPr>
                <w:rFonts w:hint="default" w:hAnsi="Times New Roman"/>
                <w:snapToGrid w:val="0"/>
                <w:color w:val="auto"/>
                <w:u w:val="none"/>
              </w:rPr>
              <w:t>施工期环境保护措施</w:t>
            </w:r>
          </w:p>
        </w:tc>
        <w:tc>
          <w:tcPr>
            <w:tcW w:w="4685" w:type="pct"/>
            <w:noWrap w:val="0"/>
            <w:vAlign w:val="top"/>
          </w:tcPr>
          <w:p w14:paraId="32654364">
            <w:pPr>
              <w:pStyle w:val="88"/>
              <w:keepNext w:val="0"/>
              <w:keepLines w:val="0"/>
              <w:widowControl/>
              <w:suppressLineNumbers w:val="0"/>
              <w:spacing w:before="0" w:beforeAutospacing="0" w:after="0" w:afterAutospacing="0"/>
              <w:ind w:left="0" w:right="0" w:firstLine="480"/>
              <w:rPr>
                <w:rFonts w:hint="default"/>
                <w:snapToGrid w:val="0"/>
                <w:color w:val="auto"/>
                <w:u w:val="none"/>
              </w:rPr>
            </w:pPr>
          </w:p>
          <w:p w14:paraId="4E63EE26">
            <w:pPr>
              <w:pStyle w:val="88"/>
              <w:keepNext w:val="0"/>
              <w:keepLines w:val="0"/>
              <w:widowControl/>
              <w:suppressLineNumbers w:val="0"/>
              <w:spacing w:before="0" w:beforeAutospacing="0" w:after="0" w:afterAutospacing="0"/>
              <w:ind w:left="0" w:right="0" w:firstLine="480"/>
              <w:rPr>
                <w:rFonts w:hint="default" w:eastAsia="宋体"/>
                <w:u w:val="none"/>
                <w:lang w:val="en-US" w:eastAsia="zh-CN"/>
              </w:rPr>
            </w:pPr>
            <w:r>
              <w:rPr>
                <w:rFonts w:hint="default"/>
                <w:snapToGrid w:val="0"/>
                <w:color w:val="auto"/>
                <w:u w:val="none"/>
              </w:rPr>
              <w:t>本项目</w:t>
            </w:r>
            <w:r>
              <w:rPr>
                <w:rFonts w:hint="eastAsia"/>
                <w:snapToGrid w:val="0"/>
                <w:color w:val="auto"/>
                <w:u w:val="none"/>
                <w:lang w:val="en-US" w:eastAsia="zh-CN"/>
              </w:rPr>
              <w:t>厂房已建设，为空置厂房</w:t>
            </w:r>
            <w:r>
              <w:rPr>
                <w:rFonts w:hint="default"/>
                <w:snapToGrid w:val="0"/>
                <w:color w:val="auto"/>
                <w:u w:val="none"/>
              </w:rPr>
              <w:t>，无需动土开挖，施工期仅为设备的运输</w:t>
            </w:r>
            <w:r>
              <w:rPr>
                <w:rFonts w:hint="eastAsia"/>
                <w:snapToGrid w:val="0"/>
                <w:color w:val="auto"/>
                <w:u w:val="none"/>
                <w:lang w:val="en-US" w:eastAsia="zh-CN"/>
              </w:rPr>
              <w:t>与</w:t>
            </w:r>
            <w:r>
              <w:rPr>
                <w:rFonts w:hint="default"/>
                <w:snapToGrid w:val="0"/>
                <w:color w:val="auto"/>
                <w:u w:val="none"/>
              </w:rPr>
              <w:t>安装，大气污染为少量运输扬尘、汽车尾气，对周边大气环境无不良影响；施工时间为昼间，夜间不施工，对周边声环境无不良影响。</w:t>
            </w:r>
          </w:p>
        </w:tc>
      </w:tr>
      <w:tr w14:paraId="7E9AC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314" w:type="pct"/>
            <w:noWrap w:val="0"/>
            <w:tcMar>
              <w:left w:w="28" w:type="dxa"/>
              <w:right w:w="28" w:type="dxa"/>
            </w:tcMar>
            <w:vAlign w:val="center"/>
          </w:tcPr>
          <w:p w14:paraId="798885C8">
            <w:pPr>
              <w:pStyle w:val="109"/>
              <w:keepNext w:val="0"/>
              <w:keepLines w:val="0"/>
              <w:suppressLineNumbers w:val="0"/>
              <w:spacing w:before="0" w:beforeAutospacing="0" w:after="0" w:afterAutospacing="0"/>
              <w:ind w:left="0" w:right="0" w:firstLine="0" w:firstLineChars="0"/>
              <w:jc w:val="both"/>
              <w:rPr>
                <w:rFonts w:hint="default" w:hAnsi="Times New Roman"/>
                <w:snapToGrid w:val="0"/>
                <w:color w:val="auto"/>
                <w:u w:val="none"/>
              </w:rPr>
            </w:pPr>
            <w:r>
              <w:rPr>
                <w:rFonts w:hint="eastAsia" w:hAnsi="Times New Roman"/>
                <w:snapToGrid w:val="0"/>
                <w:color w:val="auto"/>
                <w:u w:val="none"/>
                <w:lang w:val="en-US" w:eastAsia="zh-CN"/>
              </w:rPr>
              <w:t xml:space="preserve">       </w:t>
            </w:r>
            <w:r>
              <w:rPr>
                <w:rFonts w:hint="default" w:hAnsi="Times New Roman"/>
                <w:snapToGrid w:val="0"/>
                <w:color w:val="auto"/>
                <w:u w:val="none"/>
              </w:rPr>
              <w:t>运营期环境影响和保护措施</w:t>
            </w:r>
          </w:p>
        </w:tc>
        <w:tc>
          <w:tcPr>
            <w:tcW w:w="4685" w:type="pct"/>
            <w:noWrap w:val="0"/>
            <w:vAlign w:val="top"/>
          </w:tcPr>
          <w:p w14:paraId="416476C0">
            <w:pPr>
              <w:pStyle w:val="109"/>
              <w:keepNext w:val="0"/>
              <w:keepLines w:val="0"/>
              <w:suppressLineNumbers w:val="0"/>
              <w:spacing w:before="0" w:beforeAutospacing="0" w:after="0" w:afterAutospacing="0"/>
              <w:ind w:left="0" w:right="0" w:firstLine="482"/>
              <w:rPr>
                <w:rFonts w:hint="default"/>
                <w:b/>
                <w:bCs/>
                <w:color w:val="auto"/>
                <w:u w:val="none"/>
              </w:rPr>
            </w:pPr>
            <w:r>
              <w:rPr>
                <w:rFonts w:hint="default"/>
                <w:b/>
                <w:bCs/>
                <w:color w:val="auto"/>
                <w:u w:val="none"/>
                <w:lang w:val="en-US"/>
              </w:rPr>
              <w:t>1</w:t>
            </w:r>
            <w:r>
              <w:rPr>
                <w:rFonts w:hint="default"/>
                <w:b/>
                <w:bCs/>
                <w:color w:val="auto"/>
                <w:u w:val="none"/>
              </w:rPr>
              <w:t>、废气</w:t>
            </w:r>
          </w:p>
          <w:p w14:paraId="7A5B42ED">
            <w:pPr>
              <w:pStyle w:val="109"/>
              <w:keepNext w:val="0"/>
              <w:keepLines w:val="0"/>
              <w:suppressLineNumbers w:val="0"/>
              <w:spacing w:before="0" w:beforeAutospacing="0" w:after="0" w:afterAutospacing="0"/>
              <w:ind w:left="0" w:right="0" w:firstLine="0" w:firstLineChars="0"/>
              <w:rPr>
                <w:rFonts w:hint="default"/>
                <w:b/>
                <w:bCs/>
                <w:color w:val="auto"/>
                <w:u w:val="none"/>
                <w:lang w:val="en-US" w:eastAsia="zh-CN"/>
              </w:rPr>
            </w:pPr>
            <w:r>
              <w:rPr>
                <w:rFonts w:hint="eastAsia"/>
                <w:b/>
                <w:bCs/>
                <w:color w:val="auto"/>
                <w:u w:val="none"/>
                <w:lang w:val="en-US" w:eastAsia="zh-CN"/>
              </w:rPr>
              <w:t>1.1废气源强核算说明</w:t>
            </w:r>
          </w:p>
          <w:p w14:paraId="36CDEA71">
            <w:pPr>
              <w:pStyle w:val="109"/>
              <w:keepNext w:val="0"/>
              <w:keepLines w:val="0"/>
              <w:suppressLineNumbers w:val="0"/>
              <w:spacing w:before="0" w:beforeAutospacing="0" w:after="0" w:afterAutospacing="0"/>
              <w:ind w:left="0" w:right="0" w:firstLine="480"/>
              <w:rPr>
                <w:rFonts w:hint="eastAsia"/>
                <w:b w:val="0"/>
                <w:bCs w:val="0"/>
                <w:color w:val="auto"/>
                <w:u w:val="none"/>
                <w:lang w:val="en-US" w:eastAsia="zh-CN"/>
              </w:rPr>
            </w:pPr>
            <w:r>
              <w:rPr>
                <w:rFonts w:hint="eastAsia"/>
                <w:b w:val="0"/>
                <w:bCs w:val="0"/>
                <w:color w:val="auto"/>
                <w:u w:val="none"/>
                <w:lang w:val="en-US" w:eastAsia="zh-CN"/>
              </w:rPr>
              <w:t>本项目废气主要为金属加工工序产生的颗粒物、焊接工序产生的焊接烟尘、喷漆工序产生的颗粒物、补漆工序产生的有机废气。</w:t>
            </w:r>
          </w:p>
          <w:p w14:paraId="07DD7798">
            <w:pPr>
              <w:pStyle w:val="109"/>
              <w:keepNext w:val="0"/>
              <w:keepLines w:val="0"/>
              <w:suppressLineNumbers w:val="0"/>
              <w:spacing w:before="0" w:beforeAutospacing="0" w:after="0" w:afterAutospacing="0"/>
              <w:ind w:left="0" w:right="0" w:firstLine="480"/>
              <w:rPr>
                <w:rFonts w:hint="eastAsia"/>
                <w:b w:val="0"/>
                <w:bCs w:val="0"/>
                <w:color w:val="auto"/>
                <w:u w:val="none"/>
                <w:lang w:val="en-US" w:eastAsia="zh-CN"/>
              </w:rPr>
            </w:pPr>
            <w:r>
              <w:rPr>
                <w:rFonts w:hint="eastAsia"/>
                <w:b w:val="0"/>
                <w:bCs w:val="0"/>
                <w:color w:val="auto"/>
                <w:u w:val="none"/>
                <w:lang w:val="en-US" w:eastAsia="zh-CN"/>
              </w:rPr>
              <w:t>①金属加工废气</w:t>
            </w:r>
          </w:p>
          <w:p w14:paraId="5FE500D1">
            <w:pPr>
              <w:pStyle w:val="109"/>
              <w:keepNext w:val="0"/>
              <w:keepLines w:val="0"/>
              <w:suppressLineNumbers w:val="0"/>
              <w:spacing w:before="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项目部分钢件需进行车、铣、钻</w:t>
            </w:r>
            <w:r>
              <w:rPr>
                <w:rFonts w:hint="eastAsia"/>
                <w:b w:val="0"/>
                <w:bCs w:val="0"/>
                <w:color w:val="auto"/>
                <w:u w:val="none"/>
                <w:lang w:val="en-US" w:eastAsia="zh-CN"/>
              </w:rPr>
              <w:t>等金属</w:t>
            </w:r>
            <w:r>
              <w:rPr>
                <w:rFonts w:hint="default"/>
                <w:b w:val="0"/>
                <w:bCs w:val="0"/>
                <w:color w:val="auto"/>
                <w:u w:val="none"/>
                <w:lang w:val="en-US" w:eastAsia="zh-CN"/>
              </w:rPr>
              <w:t>加工，加工量为</w:t>
            </w:r>
            <w:r>
              <w:rPr>
                <w:rFonts w:hint="eastAsia"/>
                <w:b w:val="0"/>
                <w:bCs w:val="0"/>
                <w:color w:val="auto"/>
                <w:u w:val="none"/>
                <w:lang w:val="en-US" w:eastAsia="zh-CN"/>
              </w:rPr>
              <w:t>377</w:t>
            </w:r>
            <w:r>
              <w:rPr>
                <w:rFonts w:hint="default"/>
                <w:b w:val="0"/>
                <w:bCs w:val="0"/>
                <w:color w:val="auto"/>
                <w:u w:val="none"/>
                <w:lang w:val="en-US" w:eastAsia="zh-CN"/>
              </w:rPr>
              <w:t>t/a。根据《排放源统计调查产排污核算方法和系数手册》34通用设备制造业行业系数手册，锯床、砂轮切割机切割工艺颗粒物产污系数为5.3kg/t-原料。则切割工序粉尘产生量约</w:t>
            </w:r>
            <w:r>
              <w:rPr>
                <w:rFonts w:hint="eastAsia"/>
                <w:b w:val="0"/>
                <w:bCs w:val="0"/>
                <w:color w:val="auto"/>
                <w:u w:val="none"/>
                <w:lang w:val="en-US" w:eastAsia="zh-CN"/>
              </w:rPr>
              <w:t>2</w:t>
            </w:r>
            <w:r>
              <w:rPr>
                <w:rFonts w:hint="default"/>
                <w:b w:val="0"/>
                <w:bCs w:val="0"/>
                <w:color w:val="auto"/>
                <w:u w:val="none"/>
                <w:lang w:val="en-US" w:eastAsia="zh-CN"/>
              </w:rPr>
              <w:t>t/a。金属粉尘等质量较大的粉尘，沉降较快；另一方面，小部分较细小的颗粒物随机械运动而在空气中停留暂短时间后沉降于地面。此外，在车间厂房阻拦作用下，颗粒物散落范围很小，一般在5m以内，飘逸至车间外环境的颗粒物</w:t>
            </w:r>
            <w:r>
              <w:rPr>
                <w:rFonts w:hint="eastAsia"/>
                <w:b w:val="0"/>
                <w:bCs w:val="0"/>
                <w:color w:val="auto"/>
                <w:u w:val="none"/>
                <w:lang w:val="en-US" w:eastAsia="zh-CN"/>
              </w:rPr>
              <w:t>较少</w:t>
            </w:r>
            <w:r>
              <w:rPr>
                <w:rFonts w:hint="default"/>
                <w:b w:val="0"/>
                <w:bCs w:val="0"/>
                <w:color w:val="auto"/>
                <w:u w:val="none"/>
                <w:lang w:val="en-US" w:eastAsia="zh-CN"/>
              </w:rPr>
              <w:t>，</w:t>
            </w:r>
            <w:r>
              <w:rPr>
                <w:rFonts w:hint="eastAsia"/>
                <w:b w:val="0"/>
                <w:bCs w:val="0"/>
                <w:color w:val="auto"/>
                <w:u w:val="none"/>
                <w:lang w:val="en-US" w:eastAsia="zh-CN"/>
              </w:rPr>
              <w:t>参照《固体物料堆存颗粒物产排污核算系数手册》，半敞开式堆场粉尘控制效率为60%，本项目机加工位于厂房内，且金属颗粒比重较大，因此约80</w:t>
            </w:r>
            <w:r>
              <w:rPr>
                <w:rFonts w:hint="default"/>
                <w:b w:val="0"/>
                <w:bCs w:val="0"/>
                <w:color w:val="auto"/>
                <w:u w:val="none"/>
                <w:lang w:val="en-US" w:eastAsia="zh-CN"/>
              </w:rPr>
              <w:t>%颗粒物在车间</w:t>
            </w:r>
            <w:r>
              <w:rPr>
                <w:rFonts w:hint="eastAsia"/>
                <w:b w:val="0"/>
                <w:bCs w:val="0"/>
                <w:color w:val="auto"/>
                <w:u w:val="none"/>
                <w:lang w:val="en-US" w:eastAsia="zh-CN"/>
              </w:rPr>
              <w:t>内自然</w:t>
            </w:r>
            <w:r>
              <w:rPr>
                <w:rFonts w:hint="default"/>
                <w:b w:val="0"/>
                <w:bCs w:val="0"/>
                <w:color w:val="auto"/>
                <w:u w:val="none"/>
                <w:lang w:val="en-US" w:eastAsia="zh-CN"/>
              </w:rPr>
              <w:t>沉降（</w:t>
            </w:r>
            <w:r>
              <w:rPr>
                <w:rFonts w:hint="eastAsia"/>
                <w:b w:val="0"/>
                <w:bCs w:val="0"/>
                <w:color w:val="auto"/>
                <w:u w:val="none"/>
                <w:lang w:val="en-US" w:eastAsia="zh-CN"/>
              </w:rPr>
              <w:t>1.6</w:t>
            </w:r>
            <w:r>
              <w:rPr>
                <w:rFonts w:hint="default"/>
                <w:b w:val="0"/>
                <w:bCs w:val="0"/>
                <w:color w:val="auto"/>
                <w:u w:val="none"/>
                <w:lang w:val="en-US" w:eastAsia="zh-CN"/>
              </w:rPr>
              <w:t>t/a），约</w:t>
            </w:r>
            <w:r>
              <w:rPr>
                <w:rFonts w:hint="eastAsia"/>
                <w:b w:val="0"/>
                <w:bCs w:val="0"/>
                <w:color w:val="auto"/>
                <w:u w:val="none"/>
                <w:lang w:val="en-US" w:eastAsia="zh-CN"/>
              </w:rPr>
              <w:t>20</w:t>
            </w:r>
            <w:r>
              <w:rPr>
                <w:rFonts w:hint="default"/>
                <w:b w:val="0"/>
                <w:bCs w:val="0"/>
                <w:color w:val="auto"/>
                <w:u w:val="none"/>
                <w:lang w:val="en-US" w:eastAsia="zh-CN"/>
              </w:rPr>
              <w:t>%粉尘以无组织形式排放，预计排放量为</w:t>
            </w:r>
            <w:r>
              <w:rPr>
                <w:rFonts w:hint="eastAsia"/>
                <w:b w:val="0"/>
                <w:bCs w:val="0"/>
                <w:color w:val="auto"/>
                <w:u w:val="none"/>
                <w:lang w:val="en-US" w:eastAsia="zh-CN"/>
              </w:rPr>
              <w:t>0.4</w:t>
            </w:r>
            <w:r>
              <w:rPr>
                <w:rFonts w:hint="default"/>
                <w:b w:val="0"/>
                <w:bCs w:val="0"/>
                <w:color w:val="auto"/>
                <w:u w:val="none"/>
                <w:lang w:val="en-US" w:eastAsia="zh-CN"/>
              </w:rPr>
              <w:t>t/a，项目</w:t>
            </w:r>
            <w:r>
              <w:rPr>
                <w:rFonts w:hint="eastAsia"/>
                <w:b w:val="0"/>
                <w:bCs w:val="0"/>
                <w:color w:val="auto"/>
                <w:u w:val="none"/>
                <w:lang w:val="en-US" w:eastAsia="zh-CN"/>
              </w:rPr>
              <w:t>年工作时间为2400h/a</w:t>
            </w:r>
            <w:r>
              <w:rPr>
                <w:rFonts w:hint="default"/>
                <w:b w:val="0"/>
                <w:bCs w:val="0"/>
                <w:color w:val="auto"/>
                <w:u w:val="none"/>
                <w:lang w:val="en-US" w:eastAsia="zh-CN"/>
              </w:rPr>
              <w:t>，因此</w:t>
            </w:r>
            <w:r>
              <w:rPr>
                <w:rFonts w:hint="eastAsia"/>
                <w:b w:val="0"/>
                <w:bCs w:val="0"/>
                <w:color w:val="auto"/>
                <w:u w:val="none"/>
                <w:lang w:val="en-US" w:eastAsia="zh-CN"/>
              </w:rPr>
              <w:t>金属加工</w:t>
            </w:r>
            <w:r>
              <w:rPr>
                <w:rFonts w:hint="default"/>
                <w:b w:val="0"/>
                <w:bCs w:val="0"/>
                <w:color w:val="auto"/>
                <w:u w:val="none"/>
                <w:lang w:val="en-US" w:eastAsia="zh-CN"/>
              </w:rPr>
              <w:t>废气排放速率为</w:t>
            </w:r>
            <w:r>
              <w:rPr>
                <w:rFonts w:hint="eastAsia"/>
                <w:b w:val="0"/>
                <w:bCs w:val="0"/>
                <w:color w:val="auto"/>
                <w:u w:val="none"/>
                <w:lang w:val="en-US" w:eastAsia="zh-CN"/>
              </w:rPr>
              <w:t>0.167</w:t>
            </w:r>
            <w:r>
              <w:rPr>
                <w:rFonts w:hint="default"/>
                <w:b w:val="0"/>
                <w:bCs w:val="0"/>
                <w:color w:val="auto"/>
                <w:u w:val="none"/>
                <w:lang w:val="en-US" w:eastAsia="zh-CN"/>
              </w:rPr>
              <w:t>kg/h，在车间内无组织排放。</w:t>
            </w:r>
          </w:p>
          <w:p w14:paraId="0353D7C9">
            <w:pPr>
              <w:pStyle w:val="109"/>
              <w:keepNext w:val="0"/>
              <w:keepLines w:val="0"/>
              <w:suppressLineNumbers w:val="0"/>
              <w:spacing w:before="0" w:beforeAutospacing="0" w:after="0" w:afterAutospacing="0"/>
              <w:ind w:left="0" w:right="0" w:firstLine="480"/>
              <w:rPr>
                <w:rFonts w:hint="default"/>
                <w:color w:val="auto"/>
                <w:u w:val="none"/>
                <w:lang w:val="en-US" w:eastAsia="zh-CN"/>
              </w:rPr>
            </w:pPr>
            <w:r>
              <w:rPr>
                <w:rFonts w:hint="eastAsia"/>
                <w:b w:val="0"/>
                <w:bCs w:val="0"/>
                <w:color w:val="auto"/>
                <w:u w:val="none"/>
                <w:lang w:val="en-US" w:eastAsia="zh-CN"/>
              </w:rPr>
              <w:t>②焊接烟尘</w:t>
            </w:r>
          </w:p>
          <w:p w14:paraId="1BBF21FA">
            <w:pPr>
              <w:pStyle w:val="109"/>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本项目使用碳钢焊条进行焊接，焊接过程中会产生焊接烟尘，项目焊条用量为0.3t/a，根据《排放源统计调查产排污核算方法和系数手册》34 通用设备制造业行业系数手册，手工电弧焊颗粒物产污系数为20.2kg/t-原料，则焊接工序粉尘产生量约0.0061t/a。项目年工作时间为2400h/a，因此焊接烟尘排放速率为0.0025kg/h，焊接烟尘经移动式焊烟净化器处理后在厂房内排放。</w:t>
            </w:r>
          </w:p>
          <w:p w14:paraId="43DFAB43">
            <w:pPr>
              <w:pStyle w:val="109"/>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highlight w:val="none"/>
                <w:u w:val="none"/>
                <w:lang w:val="en-US" w:eastAsia="zh-CN"/>
              </w:rPr>
              <w:t>③补漆废气</w:t>
            </w:r>
          </w:p>
          <w:p w14:paraId="3DF60626">
            <w:pPr>
              <w:pStyle w:val="5"/>
              <w:keepNext w:val="0"/>
              <w:keepLines w:val="0"/>
              <w:suppressLineNumbers w:val="0"/>
              <w:spacing w:before="0" w:beforeAutospacing="0" w:after="0" w:afterAutospacing="0" w:line="360" w:lineRule="auto"/>
              <w:ind w:left="0" w:right="0" w:firstLine="480" w:firstLineChars="200"/>
              <w:rPr>
                <w:rFonts w:hint="eastAsia"/>
                <w:color w:val="auto"/>
                <w:u w:val="none"/>
                <w:lang w:val="en-US" w:eastAsia="zh-CN"/>
              </w:rPr>
            </w:pPr>
            <w:r>
              <w:rPr>
                <w:rFonts w:hint="eastAsia"/>
                <w:color w:val="auto"/>
                <w:u w:val="none"/>
                <w:lang w:val="en-US" w:eastAsia="zh-CN"/>
              </w:rPr>
              <w:t>工件喷粉未到位的地方需要进行补漆处理，产生污染物为有机废气及颗粒物。</w:t>
            </w:r>
          </w:p>
          <w:p w14:paraId="5DCBB832">
            <w:pPr>
              <w:pStyle w:val="5"/>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u w:val="none"/>
                <w:lang w:val="en-US" w:eastAsia="zh-CN"/>
              </w:rPr>
            </w:pPr>
            <w:r>
              <w:rPr>
                <w:rFonts w:hint="eastAsia"/>
                <w:color w:val="auto"/>
                <w:u w:val="none"/>
                <w:lang w:val="en-US" w:eastAsia="zh-CN"/>
              </w:rPr>
              <w:t>本项目树脂漆使用量为0.3t/a，</w:t>
            </w:r>
            <w:r>
              <w:rPr>
                <w:rFonts w:hint="eastAsia" w:ascii="Times New Roman" w:hAnsi="Times New Roman" w:eastAsia="宋体" w:cs="Times New Roman"/>
                <w:color w:val="auto"/>
                <w:u w:val="none"/>
                <w:lang w:val="en-US" w:eastAsia="zh-CN"/>
              </w:rPr>
              <w:t>补</w:t>
            </w:r>
            <w:r>
              <w:rPr>
                <w:rFonts w:hint="default" w:ascii="Times New Roman" w:hAnsi="Times New Roman" w:eastAsia="宋体" w:cs="Times New Roman"/>
                <w:color w:val="auto"/>
                <w:u w:val="none"/>
              </w:rPr>
              <w:t>漆为</w:t>
            </w:r>
            <w:r>
              <w:rPr>
                <w:rFonts w:hint="eastAsia" w:cs="Times New Roman"/>
                <w:color w:val="auto"/>
                <w:u w:val="none"/>
                <w:lang w:val="en-US" w:eastAsia="zh-CN"/>
              </w:rPr>
              <w:t>使用喷枪手工喷涂</w:t>
            </w:r>
            <w:r>
              <w:rPr>
                <w:rFonts w:hint="default" w:ascii="Times New Roman" w:hAnsi="Times New Roman" w:eastAsia="宋体" w:cs="Times New Roman"/>
                <w:color w:val="auto"/>
                <w:u w:val="none"/>
              </w:rPr>
              <w:t>的形式，</w:t>
            </w:r>
            <w:r>
              <w:rPr>
                <w:rFonts w:hint="eastAsia" w:cs="Times New Roman"/>
                <w:color w:val="auto"/>
                <w:u w:val="none"/>
                <w:lang w:val="en-US" w:eastAsia="zh-CN"/>
              </w:rPr>
              <w:t>喷涂完成后</w:t>
            </w:r>
            <w:r>
              <w:rPr>
                <w:rFonts w:hint="default" w:ascii="Times New Roman" w:hAnsi="Times New Roman" w:eastAsia="宋体" w:cs="Times New Roman"/>
                <w:color w:val="auto"/>
                <w:u w:val="none"/>
              </w:rPr>
              <w:t>在</w:t>
            </w:r>
            <w:r>
              <w:rPr>
                <w:rFonts w:hint="eastAsia" w:cs="Times New Roman"/>
                <w:color w:val="auto"/>
                <w:u w:val="none"/>
                <w:lang w:val="en-US" w:eastAsia="zh-CN"/>
              </w:rPr>
              <w:t>喷</w:t>
            </w:r>
            <w:r>
              <w:rPr>
                <w:rFonts w:hint="default" w:ascii="Times New Roman" w:hAnsi="Times New Roman" w:eastAsia="宋体" w:cs="Times New Roman"/>
                <w:color w:val="auto"/>
                <w:u w:val="none"/>
              </w:rPr>
              <w:t>漆房内室温晾干，</w:t>
            </w:r>
            <w:r>
              <w:rPr>
                <w:rFonts w:hint="eastAsia" w:cs="Times New Roman"/>
                <w:color w:val="auto"/>
                <w:u w:val="none"/>
                <w:lang w:val="en-US" w:eastAsia="zh-CN"/>
              </w:rPr>
              <w:t>喷</w:t>
            </w:r>
            <w:r>
              <w:rPr>
                <w:rFonts w:hint="eastAsia" w:ascii="Times New Roman" w:hAnsi="Times New Roman" w:eastAsia="宋体" w:cs="Times New Roman"/>
                <w:color w:val="auto"/>
                <w:u w:val="none"/>
                <w:lang w:eastAsia="zh-CN"/>
              </w:rPr>
              <w:t>漆</w:t>
            </w:r>
            <w:r>
              <w:rPr>
                <w:rFonts w:hint="default" w:ascii="Times New Roman" w:hAnsi="Times New Roman" w:eastAsia="宋体" w:cs="Times New Roman"/>
                <w:color w:val="auto"/>
                <w:u w:val="none"/>
              </w:rPr>
              <w:t>作业及晾干时</w:t>
            </w:r>
            <w:r>
              <w:rPr>
                <w:rFonts w:hint="eastAsia" w:cs="Times New Roman"/>
                <w:color w:val="auto"/>
                <w:u w:val="none"/>
                <w:lang w:val="en-US" w:eastAsia="zh-CN"/>
              </w:rPr>
              <w:t>喷</w:t>
            </w:r>
            <w:r>
              <w:rPr>
                <w:rFonts w:hint="eastAsia" w:ascii="Times New Roman" w:hAnsi="Times New Roman" w:eastAsia="宋体" w:cs="Times New Roman"/>
                <w:color w:val="auto"/>
                <w:u w:val="none"/>
                <w:lang w:eastAsia="zh-CN"/>
              </w:rPr>
              <w:t>漆</w:t>
            </w:r>
            <w:r>
              <w:rPr>
                <w:rFonts w:hint="default" w:ascii="Times New Roman" w:hAnsi="Times New Roman" w:eastAsia="宋体" w:cs="Times New Roman"/>
                <w:color w:val="auto"/>
                <w:u w:val="none"/>
              </w:rPr>
              <w:t>房处于封闭状态</w:t>
            </w:r>
            <w:r>
              <w:rPr>
                <w:rFonts w:hint="eastAsia" w:ascii="Times New Roman" w:hAnsi="Times New Roman" w:eastAsia="宋体" w:cs="Times New Roman"/>
                <w:color w:val="auto"/>
                <w:u w:val="none"/>
                <w:lang w:eastAsia="zh-CN"/>
              </w:rPr>
              <w:t>。项目补漆废气</w:t>
            </w:r>
            <w:r>
              <w:rPr>
                <w:rFonts w:hint="eastAsia" w:cs="Times New Roman"/>
                <w:color w:val="auto"/>
                <w:u w:val="none"/>
                <w:lang w:val="en-US" w:eastAsia="zh-CN"/>
              </w:rPr>
              <w:t>VOCs</w:t>
            </w:r>
            <w:r>
              <w:rPr>
                <w:rFonts w:hint="eastAsia" w:ascii="Times New Roman" w:hAnsi="Times New Roman" w:eastAsia="宋体" w:cs="Times New Roman"/>
                <w:color w:val="auto"/>
                <w:u w:val="none"/>
                <w:lang w:eastAsia="zh-CN"/>
              </w:rPr>
              <w:t>产生量见下表。</w:t>
            </w:r>
          </w:p>
          <w:p w14:paraId="3B5BFDF4">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0"/>
                <w:sz w:val="21"/>
                <w:szCs w:val="21"/>
                <w:u w:val="none"/>
                <w:lang w:val="en-US" w:eastAsia="zh-CN" w:bidi="ar-SA"/>
              </w:rPr>
            </w:pPr>
            <w:r>
              <w:rPr>
                <w:rFonts w:hint="default" w:ascii="Times New Roman" w:hAnsi="Times New Roman" w:eastAsia="宋体" w:cs="Times New Roman"/>
                <w:b/>
                <w:bCs/>
                <w:color w:val="auto"/>
                <w:kern w:val="0"/>
                <w:sz w:val="21"/>
                <w:szCs w:val="21"/>
                <w:u w:val="none"/>
                <w:lang w:val="en-US" w:eastAsia="zh-CN" w:bidi="ar-SA"/>
              </w:rPr>
              <w:t>表4-</w:t>
            </w:r>
            <w:r>
              <w:rPr>
                <w:rFonts w:hint="eastAsia" w:cs="Times New Roman"/>
                <w:b/>
                <w:bCs/>
                <w:color w:val="auto"/>
                <w:kern w:val="0"/>
                <w:sz w:val="21"/>
                <w:szCs w:val="21"/>
                <w:u w:val="none"/>
                <w:lang w:val="en-US" w:eastAsia="zh-CN" w:bidi="ar-SA"/>
              </w:rPr>
              <w:t>1</w:t>
            </w:r>
            <w:r>
              <w:rPr>
                <w:rFonts w:hint="default" w:ascii="Times New Roman" w:hAnsi="Times New Roman" w:eastAsia="宋体" w:cs="Times New Roman"/>
                <w:b/>
                <w:bCs/>
                <w:color w:val="auto"/>
                <w:kern w:val="0"/>
                <w:sz w:val="21"/>
                <w:szCs w:val="21"/>
                <w:u w:val="none"/>
                <w:lang w:val="en-US" w:eastAsia="zh-CN" w:bidi="ar-SA"/>
              </w:rPr>
              <w:t xml:space="preserve"> </w:t>
            </w:r>
            <w:r>
              <w:rPr>
                <w:rFonts w:hint="eastAsia" w:ascii="Times New Roman" w:hAnsi="Times New Roman" w:eastAsia="宋体" w:cs="Times New Roman"/>
                <w:b/>
                <w:bCs/>
                <w:color w:val="auto"/>
                <w:kern w:val="0"/>
                <w:sz w:val="21"/>
                <w:szCs w:val="21"/>
                <w:u w:val="none"/>
                <w:lang w:val="en-US" w:eastAsia="zh-CN" w:bidi="ar-SA"/>
              </w:rPr>
              <w:t>补漆</w:t>
            </w:r>
            <w:r>
              <w:rPr>
                <w:rFonts w:hint="default" w:ascii="Times New Roman" w:hAnsi="Times New Roman" w:eastAsia="宋体" w:cs="Times New Roman"/>
                <w:b/>
                <w:bCs/>
                <w:color w:val="auto"/>
                <w:kern w:val="0"/>
                <w:sz w:val="21"/>
                <w:szCs w:val="21"/>
                <w:u w:val="none"/>
                <w:lang w:val="en-US" w:eastAsia="zh-CN" w:bidi="ar-SA"/>
              </w:rPr>
              <w:t>废气</w:t>
            </w:r>
            <w:r>
              <w:rPr>
                <w:rFonts w:hint="eastAsia" w:cs="Times New Roman"/>
                <w:b/>
                <w:bCs/>
                <w:color w:val="auto"/>
                <w:kern w:val="0"/>
                <w:sz w:val="21"/>
                <w:szCs w:val="21"/>
                <w:u w:val="none"/>
                <w:lang w:val="en-US" w:eastAsia="zh-CN" w:bidi="ar-SA"/>
              </w:rPr>
              <w:t>VOCs</w:t>
            </w:r>
            <w:r>
              <w:rPr>
                <w:rFonts w:hint="default" w:ascii="Times New Roman" w:hAnsi="Times New Roman" w:eastAsia="宋体" w:cs="Times New Roman"/>
                <w:b/>
                <w:bCs/>
                <w:color w:val="auto"/>
                <w:kern w:val="0"/>
                <w:sz w:val="21"/>
                <w:szCs w:val="21"/>
                <w:u w:val="none"/>
                <w:lang w:val="en-US" w:eastAsia="zh-CN" w:bidi="ar-SA"/>
              </w:rPr>
              <w:t>产生情况一览表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389"/>
              <w:gridCol w:w="1389"/>
              <w:gridCol w:w="1389"/>
              <w:gridCol w:w="1389"/>
              <w:gridCol w:w="1390"/>
            </w:tblGrid>
            <w:tr w14:paraId="644C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14:paraId="33642BB2">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r>
                    <w:rPr>
                      <w:rFonts w:hint="eastAsia" w:ascii="Times New Roman" w:hAnsi="Times New Roman" w:eastAsia="宋体" w:cs="Times New Roman"/>
                      <w:b/>
                      <w:bCs/>
                      <w:color w:val="auto"/>
                      <w:kern w:val="0"/>
                      <w:sz w:val="21"/>
                      <w:szCs w:val="21"/>
                      <w:u w:val="none"/>
                      <w:vertAlign w:val="baseline"/>
                      <w:lang w:val="en-US" w:eastAsia="zh-CN" w:bidi="ar-SA"/>
                    </w:rPr>
                    <w:t>名称</w:t>
                  </w:r>
                </w:p>
              </w:tc>
              <w:tc>
                <w:tcPr>
                  <w:tcW w:w="833" w:type="pct"/>
                  <w:vMerge w:val="restart"/>
                  <w:vAlign w:val="center"/>
                </w:tcPr>
                <w:p w14:paraId="0EDE64B5">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r>
                    <w:rPr>
                      <w:rFonts w:hint="eastAsia" w:ascii="Times New Roman" w:hAnsi="Times New Roman" w:eastAsia="宋体" w:cs="Times New Roman"/>
                      <w:b/>
                      <w:bCs/>
                      <w:color w:val="auto"/>
                      <w:kern w:val="0"/>
                      <w:sz w:val="21"/>
                      <w:szCs w:val="21"/>
                      <w:u w:val="none"/>
                      <w:vertAlign w:val="baseline"/>
                      <w:lang w:val="en-US" w:eastAsia="zh-CN" w:bidi="ar-SA"/>
                    </w:rPr>
                    <w:t>耗量（t/a）</w:t>
                  </w:r>
                </w:p>
              </w:tc>
              <w:tc>
                <w:tcPr>
                  <w:tcW w:w="1666" w:type="pct"/>
                  <w:gridSpan w:val="2"/>
                  <w:vAlign w:val="center"/>
                </w:tcPr>
                <w:p w14:paraId="4311814A">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r>
                    <w:rPr>
                      <w:rFonts w:hint="eastAsia" w:cs="Times New Roman"/>
                      <w:b/>
                      <w:bCs/>
                      <w:color w:val="auto"/>
                      <w:kern w:val="0"/>
                      <w:sz w:val="21"/>
                      <w:szCs w:val="21"/>
                      <w:u w:val="none"/>
                      <w:vertAlign w:val="baseline"/>
                      <w:lang w:val="en-US" w:eastAsia="zh-CN" w:bidi="ar-SA"/>
                    </w:rPr>
                    <w:t>不挥发物含量</w:t>
                  </w:r>
                </w:p>
              </w:tc>
              <w:tc>
                <w:tcPr>
                  <w:tcW w:w="1666" w:type="pct"/>
                  <w:gridSpan w:val="2"/>
                  <w:vAlign w:val="center"/>
                </w:tcPr>
                <w:p w14:paraId="54FEC33E">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r>
                    <w:rPr>
                      <w:rFonts w:hint="eastAsia" w:cs="Times New Roman"/>
                      <w:b/>
                      <w:bCs/>
                      <w:color w:val="auto"/>
                      <w:kern w:val="0"/>
                      <w:sz w:val="21"/>
                      <w:szCs w:val="21"/>
                      <w:u w:val="none"/>
                      <w:vertAlign w:val="baseline"/>
                      <w:lang w:val="en-US" w:eastAsia="zh-CN" w:bidi="ar-SA"/>
                    </w:rPr>
                    <w:t>挥发物含量</w:t>
                  </w:r>
                </w:p>
              </w:tc>
            </w:tr>
            <w:tr w14:paraId="595E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090884DC">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p>
              </w:tc>
              <w:tc>
                <w:tcPr>
                  <w:tcW w:w="833" w:type="pct"/>
                  <w:vMerge w:val="continue"/>
                  <w:vAlign w:val="center"/>
                </w:tcPr>
                <w:p w14:paraId="1EBCF9A1">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p>
              </w:tc>
              <w:tc>
                <w:tcPr>
                  <w:tcW w:w="833" w:type="pct"/>
                  <w:vAlign w:val="center"/>
                </w:tcPr>
                <w:p w14:paraId="40B04AED">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r>
                    <w:rPr>
                      <w:rFonts w:hint="eastAsia" w:ascii="Times New Roman" w:hAnsi="Times New Roman" w:eastAsia="宋体" w:cs="Times New Roman"/>
                      <w:b/>
                      <w:bCs/>
                      <w:color w:val="auto"/>
                      <w:kern w:val="0"/>
                      <w:sz w:val="21"/>
                      <w:szCs w:val="21"/>
                      <w:u w:val="none"/>
                      <w:vertAlign w:val="baseline"/>
                      <w:lang w:val="en-US" w:eastAsia="zh-CN" w:bidi="ar-SA"/>
                    </w:rPr>
                    <w:t>比例%</w:t>
                  </w:r>
                </w:p>
              </w:tc>
              <w:tc>
                <w:tcPr>
                  <w:tcW w:w="833" w:type="pct"/>
                  <w:vAlign w:val="center"/>
                </w:tcPr>
                <w:p w14:paraId="40A1F67C">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r>
                    <w:rPr>
                      <w:rFonts w:hint="eastAsia" w:ascii="Times New Roman" w:hAnsi="Times New Roman" w:eastAsia="宋体" w:cs="Times New Roman"/>
                      <w:b/>
                      <w:bCs/>
                      <w:color w:val="auto"/>
                      <w:kern w:val="0"/>
                      <w:sz w:val="21"/>
                      <w:szCs w:val="21"/>
                      <w:u w:val="none"/>
                      <w:vertAlign w:val="baseline"/>
                      <w:lang w:val="en-US" w:eastAsia="zh-CN" w:bidi="ar-SA"/>
                    </w:rPr>
                    <w:t>净含量t/a</w:t>
                  </w:r>
                </w:p>
              </w:tc>
              <w:tc>
                <w:tcPr>
                  <w:tcW w:w="833" w:type="pct"/>
                  <w:vAlign w:val="center"/>
                </w:tcPr>
                <w:p w14:paraId="14E3F7A3">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r>
                    <w:rPr>
                      <w:rFonts w:hint="eastAsia" w:ascii="Times New Roman" w:hAnsi="Times New Roman" w:eastAsia="宋体" w:cs="Times New Roman"/>
                      <w:b/>
                      <w:bCs/>
                      <w:color w:val="auto"/>
                      <w:kern w:val="0"/>
                      <w:sz w:val="21"/>
                      <w:szCs w:val="21"/>
                      <w:u w:val="none"/>
                      <w:vertAlign w:val="baseline"/>
                      <w:lang w:val="en-US" w:eastAsia="zh-CN" w:bidi="ar-SA"/>
                    </w:rPr>
                    <w:t>比例%</w:t>
                  </w:r>
                </w:p>
              </w:tc>
              <w:tc>
                <w:tcPr>
                  <w:tcW w:w="833" w:type="pct"/>
                  <w:vAlign w:val="center"/>
                </w:tcPr>
                <w:p w14:paraId="46CDDB7E">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0"/>
                      <w:sz w:val="21"/>
                      <w:szCs w:val="21"/>
                      <w:u w:val="none"/>
                      <w:vertAlign w:val="baseline"/>
                      <w:lang w:val="en-US" w:eastAsia="zh-CN" w:bidi="ar-SA"/>
                    </w:rPr>
                  </w:pPr>
                  <w:r>
                    <w:rPr>
                      <w:rFonts w:hint="eastAsia" w:ascii="Times New Roman" w:hAnsi="Times New Roman" w:eastAsia="宋体" w:cs="Times New Roman"/>
                      <w:b/>
                      <w:bCs/>
                      <w:color w:val="auto"/>
                      <w:kern w:val="0"/>
                      <w:sz w:val="21"/>
                      <w:szCs w:val="21"/>
                      <w:u w:val="none"/>
                      <w:vertAlign w:val="baseline"/>
                      <w:lang w:val="en-US" w:eastAsia="zh-CN" w:bidi="ar-SA"/>
                    </w:rPr>
                    <w:t>净含量t/a</w:t>
                  </w:r>
                </w:p>
              </w:tc>
            </w:tr>
            <w:tr w14:paraId="430E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Align w:val="center"/>
                </w:tcPr>
                <w:p w14:paraId="5CF907E9">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eastAsia" w:ascii="Times New Roman" w:hAnsi="Times New Roman" w:eastAsia="宋体" w:cs="Times New Roman"/>
                      <w:b w:val="0"/>
                      <w:bCs w:val="0"/>
                      <w:color w:val="auto"/>
                      <w:kern w:val="0"/>
                      <w:sz w:val="21"/>
                      <w:szCs w:val="21"/>
                      <w:u w:val="none"/>
                      <w:vertAlign w:val="baseline"/>
                      <w:lang w:val="en-US" w:eastAsia="zh-CN" w:bidi="ar-SA"/>
                    </w:rPr>
                    <w:t>补漆</w:t>
                  </w:r>
                </w:p>
              </w:tc>
              <w:tc>
                <w:tcPr>
                  <w:tcW w:w="833" w:type="pct"/>
                  <w:vAlign w:val="center"/>
                </w:tcPr>
                <w:p w14:paraId="6BD8EC0D">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eastAsia" w:ascii="Times New Roman" w:hAnsi="Times New Roman" w:eastAsia="宋体" w:cs="Times New Roman"/>
                      <w:b w:val="0"/>
                      <w:bCs w:val="0"/>
                      <w:color w:val="auto"/>
                      <w:kern w:val="0"/>
                      <w:sz w:val="21"/>
                      <w:szCs w:val="21"/>
                      <w:u w:val="none"/>
                      <w:vertAlign w:val="baseline"/>
                      <w:lang w:val="en-US" w:eastAsia="zh-CN" w:bidi="ar-SA"/>
                    </w:rPr>
                    <w:t>0.3</w:t>
                  </w:r>
                </w:p>
              </w:tc>
              <w:tc>
                <w:tcPr>
                  <w:tcW w:w="1409" w:type="dxa"/>
                  <w:vAlign w:val="center"/>
                </w:tcPr>
                <w:p w14:paraId="6A41A8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409" w:type="dxa"/>
                  <w:vAlign w:val="center"/>
                </w:tcPr>
                <w:p w14:paraId="53DDF0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0.165</w:t>
                  </w:r>
                </w:p>
              </w:tc>
              <w:tc>
                <w:tcPr>
                  <w:tcW w:w="1409" w:type="dxa"/>
                  <w:vAlign w:val="center"/>
                </w:tcPr>
                <w:p w14:paraId="6B044A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409" w:type="dxa"/>
                  <w:vAlign w:val="center"/>
                </w:tcPr>
                <w:p w14:paraId="66FAEC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0.135</w:t>
                  </w:r>
                </w:p>
              </w:tc>
            </w:tr>
          </w:tbl>
          <w:p w14:paraId="2C2A9D0D">
            <w:pPr>
              <w:pStyle w:val="109"/>
              <w:keepNext w:val="0"/>
              <w:keepLines w:val="0"/>
              <w:suppressLineNumbers w:val="0"/>
              <w:spacing w:before="157" w:beforeLines="50" w:beforeAutospacing="0" w:after="0" w:afterAutospacing="0"/>
              <w:ind w:left="0" w:right="0" w:firstLine="480"/>
              <w:rPr>
                <w:rFonts w:hint="eastAsia" w:ascii="Times New Roman" w:hAnsi="Times New Roman" w:eastAsia="宋体" w:cs="Times New Roman"/>
                <w:color w:val="auto"/>
                <w:kern w:val="0"/>
                <w:sz w:val="24"/>
                <w:szCs w:val="20"/>
                <w:u w:val="none"/>
                <w:lang w:val="en-US" w:eastAsia="zh-CN" w:bidi="ar-SA"/>
              </w:rPr>
            </w:pPr>
            <w:r>
              <w:rPr>
                <w:rFonts w:hint="eastAsia" w:ascii="Times New Roman" w:hAnsi="Times New Roman" w:eastAsia="宋体" w:cs="Times New Roman"/>
                <w:color w:val="auto"/>
                <w:kern w:val="0"/>
                <w:sz w:val="24"/>
                <w:szCs w:val="20"/>
                <w:u w:val="none"/>
                <w:lang w:val="en-US" w:eastAsia="zh-CN" w:bidi="ar-SA"/>
              </w:rPr>
              <w:t>根据《涂装工艺与设备》（化学工业出版社），喷涂距离在15-20cm之间时，涂着效率约65-75%，本项目取70%</w:t>
            </w:r>
            <w:r>
              <w:rPr>
                <w:rFonts w:hint="eastAsia" w:hAnsi="Times New Roman" w:cs="Times New Roman"/>
                <w:color w:val="auto"/>
                <w:kern w:val="0"/>
                <w:sz w:val="24"/>
                <w:szCs w:val="20"/>
                <w:u w:val="none"/>
                <w:lang w:val="en-US" w:eastAsia="zh-CN" w:bidi="ar-SA"/>
              </w:rPr>
              <w:t>，</w:t>
            </w:r>
            <w:r>
              <w:rPr>
                <w:rFonts w:hint="eastAsia" w:ascii="Times New Roman" w:hAnsi="Times New Roman" w:eastAsia="宋体" w:cs="Times New Roman"/>
                <w:color w:val="auto"/>
                <w:kern w:val="0"/>
                <w:sz w:val="24"/>
                <w:szCs w:val="20"/>
                <w:u w:val="none"/>
                <w:lang w:val="en-US" w:eastAsia="zh-CN" w:bidi="ar-SA"/>
              </w:rPr>
              <w:t>固态不挥发组分形成漆膜进入产品，15%的固体组份形成</w:t>
            </w:r>
            <w:r>
              <w:rPr>
                <w:rFonts w:hint="eastAsia" w:hAnsi="Times New Roman" w:cs="Times New Roman"/>
                <w:color w:val="auto"/>
                <w:kern w:val="0"/>
                <w:sz w:val="24"/>
                <w:szCs w:val="20"/>
                <w:u w:val="none"/>
                <w:lang w:val="en-US" w:eastAsia="zh-CN" w:bidi="ar-SA"/>
              </w:rPr>
              <w:t>颗粒物</w:t>
            </w:r>
            <w:r>
              <w:rPr>
                <w:rFonts w:hint="eastAsia" w:ascii="Times New Roman" w:hAnsi="Times New Roman" w:eastAsia="宋体" w:cs="Times New Roman"/>
                <w:color w:val="auto"/>
                <w:kern w:val="0"/>
                <w:sz w:val="24"/>
                <w:szCs w:val="20"/>
                <w:u w:val="none"/>
                <w:lang w:val="en-US" w:eastAsia="zh-CN" w:bidi="ar-SA"/>
              </w:rPr>
              <w:t>，15%的固体组份掉落形成漆渣。根据喷漆工序平衡分析，项目</w:t>
            </w:r>
            <w:r>
              <w:rPr>
                <w:rFonts w:hint="eastAsia" w:hAnsi="Times New Roman" w:cs="Times New Roman"/>
                <w:color w:val="auto"/>
                <w:kern w:val="0"/>
                <w:sz w:val="24"/>
                <w:szCs w:val="20"/>
                <w:u w:val="none"/>
                <w:lang w:val="en-US" w:eastAsia="zh-CN" w:bidi="ar-SA"/>
              </w:rPr>
              <w:t>颗粒物</w:t>
            </w:r>
            <w:r>
              <w:rPr>
                <w:rFonts w:hint="eastAsia" w:ascii="Times New Roman" w:hAnsi="Times New Roman" w:eastAsia="宋体" w:cs="Times New Roman"/>
                <w:color w:val="auto"/>
                <w:kern w:val="0"/>
                <w:sz w:val="24"/>
                <w:szCs w:val="20"/>
                <w:u w:val="none"/>
                <w:lang w:val="en-US" w:eastAsia="zh-CN" w:bidi="ar-SA"/>
              </w:rPr>
              <w:t>总产生量为</w:t>
            </w:r>
            <w:r>
              <w:rPr>
                <w:rFonts w:hint="eastAsia" w:hAnsi="Times New Roman" w:cs="Times New Roman"/>
                <w:color w:val="auto"/>
                <w:kern w:val="0"/>
                <w:sz w:val="24"/>
                <w:szCs w:val="20"/>
                <w:u w:val="none"/>
                <w:lang w:val="en-US" w:eastAsia="zh-CN" w:bidi="ar-SA"/>
              </w:rPr>
              <w:t>0.0248</w:t>
            </w:r>
            <w:r>
              <w:rPr>
                <w:rFonts w:hint="eastAsia" w:ascii="Times New Roman" w:hAnsi="Times New Roman" w:eastAsia="宋体" w:cs="Times New Roman"/>
                <w:color w:val="auto"/>
                <w:kern w:val="0"/>
                <w:sz w:val="24"/>
                <w:szCs w:val="20"/>
                <w:u w:val="none"/>
                <w:lang w:val="en-US" w:eastAsia="zh-CN" w:bidi="ar-SA"/>
              </w:rPr>
              <w:t>t/a。</w:t>
            </w:r>
          </w:p>
          <w:p w14:paraId="275A879D">
            <w:pPr>
              <w:pStyle w:val="109"/>
              <w:keepNext w:val="0"/>
              <w:keepLines w:val="0"/>
              <w:suppressLineNumbers w:val="0"/>
              <w:spacing w:before="0" w:beforeLines="0" w:beforeAutospacing="0" w:after="0" w:afterAutospacing="0"/>
              <w:ind w:left="0" w:right="0" w:firstLine="480"/>
              <w:rPr>
                <w:rFonts w:hint="eastAsia" w:ascii="Times New Roman" w:hAnsi="Times New Roman" w:eastAsia="宋体" w:cs="Times New Roman"/>
                <w:color w:val="auto"/>
                <w:kern w:val="0"/>
                <w:sz w:val="24"/>
                <w:szCs w:val="20"/>
                <w:highlight w:val="none"/>
                <w:u w:val="none"/>
                <w:vertAlign w:val="baseline"/>
                <w:lang w:val="en-US" w:eastAsia="zh-CN" w:bidi="ar-SA"/>
              </w:rPr>
            </w:pPr>
            <w:r>
              <w:rPr>
                <w:rFonts w:hint="eastAsia" w:ascii="Times New Roman" w:hAnsi="Times New Roman" w:eastAsia="宋体" w:cs="Times New Roman"/>
                <w:color w:val="auto"/>
                <w:kern w:val="0"/>
                <w:sz w:val="24"/>
                <w:szCs w:val="20"/>
                <w:highlight w:val="none"/>
                <w:u w:val="none"/>
                <w:vertAlign w:val="baseline"/>
                <w:lang w:val="en-US" w:eastAsia="zh-CN" w:bidi="ar-SA"/>
              </w:rPr>
              <w:t>喷漆房产生的废气收集后各引入过滤棉吸附+</w:t>
            </w:r>
            <w:r>
              <w:rPr>
                <w:rFonts w:hint="eastAsia" w:hAnsi="Times New Roman" w:cs="Times New Roman"/>
                <w:color w:val="auto"/>
                <w:kern w:val="0"/>
                <w:sz w:val="24"/>
                <w:szCs w:val="20"/>
                <w:highlight w:val="none"/>
                <w:u w:val="none"/>
                <w:vertAlign w:val="baseline"/>
                <w:lang w:val="en-US" w:eastAsia="zh-CN" w:bidi="ar-SA"/>
              </w:rPr>
              <w:t>二级</w:t>
            </w:r>
            <w:r>
              <w:rPr>
                <w:rFonts w:hint="eastAsia" w:ascii="Times New Roman" w:hAnsi="Times New Roman" w:eastAsia="宋体" w:cs="Times New Roman"/>
                <w:color w:val="auto"/>
                <w:kern w:val="0"/>
                <w:sz w:val="24"/>
                <w:szCs w:val="20"/>
                <w:highlight w:val="none"/>
                <w:u w:val="none"/>
                <w:vertAlign w:val="baseline"/>
                <w:lang w:val="en-US" w:eastAsia="zh-CN" w:bidi="ar-SA"/>
              </w:rPr>
              <w:t>活性炭吸附装置进行处理。根据建设单位提供资料，喷漆、晾干过程均在密闭空间内进行，</w:t>
            </w:r>
            <w:r>
              <w:rPr>
                <w:rFonts w:hint="eastAsia" w:hAnsi="Times New Roman" w:cs="Times New Roman"/>
                <w:color w:val="auto"/>
                <w:kern w:val="0"/>
                <w:sz w:val="24"/>
                <w:szCs w:val="20"/>
                <w:highlight w:val="none"/>
                <w:u w:val="none"/>
                <w:vertAlign w:val="baseline"/>
                <w:lang w:val="en-US" w:eastAsia="zh-CN" w:bidi="ar-SA"/>
              </w:rPr>
              <w:t>采用</w:t>
            </w:r>
            <w:r>
              <w:rPr>
                <w:rFonts w:hint="eastAsia" w:ascii="Times New Roman" w:hAnsi="Times New Roman" w:eastAsia="宋体" w:cs="Times New Roman"/>
                <w:color w:val="auto"/>
                <w:kern w:val="0"/>
                <w:sz w:val="24"/>
                <w:szCs w:val="20"/>
                <w:highlight w:val="none"/>
                <w:u w:val="none"/>
                <w:vertAlign w:val="baseline"/>
                <w:lang w:val="en-US" w:eastAsia="zh-CN" w:bidi="ar-SA"/>
              </w:rPr>
              <w:t>半密闭集气罩</w:t>
            </w:r>
            <w:r>
              <w:rPr>
                <w:rFonts w:hint="eastAsia" w:hAnsi="Times New Roman" w:cs="Times New Roman"/>
                <w:color w:val="auto"/>
                <w:kern w:val="0"/>
                <w:sz w:val="24"/>
                <w:szCs w:val="20"/>
                <w:highlight w:val="none"/>
                <w:u w:val="none"/>
                <w:vertAlign w:val="baseline"/>
                <w:lang w:val="en-US" w:eastAsia="zh-CN" w:bidi="ar-SA"/>
              </w:rPr>
              <w:t>进行废气收集，根据《主要污染物总量减排核算技术指南》（2022年修订），</w:t>
            </w:r>
            <w:r>
              <w:rPr>
                <w:rFonts w:hint="eastAsia" w:ascii="Times New Roman" w:hAnsi="Times New Roman" w:eastAsia="宋体" w:cs="Times New Roman"/>
                <w:color w:val="auto"/>
                <w:kern w:val="0"/>
                <w:sz w:val="24"/>
                <w:szCs w:val="20"/>
                <w:highlight w:val="none"/>
                <w:u w:val="none"/>
                <w:vertAlign w:val="baseline"/>
                <w:lang w:val="en-US" w:eastAsia="zh-CN" w:bidi="ar-SA"/>
              </w:rPr>
              <w:t>废气捕集率按</w:t>
            </w:r>
            <w:r>
              <w:rPr>
                <w:rFonts w:hint="eastAsia" w:hAnsi="Times New Roman" w:cs="Times New Roman"/>
                <w:color w:val="auto"/>
                <w:kern w:val="0"/>
                <w:sz w:val="24"/>
                <w:szCs w:val="20"/>
                <w:highlight w:val="none"/>
                <w:u w:val="none"/>
                <w:vertAlign w:val="baseline"/>
                <w:lang w:val="en-US" w:eastAsia="zh-CN" w:bidi="ar-SA"/>
              </w:rPr>
              <w:t>65</w:t>
            </w:r>
            <w:r>
              <w:rPr>
                <w:rFonts w:hint="eastAsia" w:ascii="Times New Roman" w:hAnsi="Times New Roman" w:eastAsia="宋体" w:cs="Times New Roman"/>
                <w:color w:val="auto"/>
                <w:kern w:val="0"/>
                <w:sz w:val="24"/>
                <w:szCs w:val="20"/>
                <w:highlight w:val="none"/>
                <w:u w:val="none"/>
                <w:vertAlign w:val="baseline"/>
                <w:lang w:val="en-US" w:eastAsia="zh-CN" w:bidi="ar-SA"/>
              </w:rPr>
              <w:t>%算，剩余</w:t>
            </w:r>
            <w:r>
              <w:rPr>
                <w:rFonts w:hint="eastAsia" w:hAnsi="Times New Roman" w:cs="Times New Roman"/>
                <w:color w:val="auto"/>
                <w:kern w:val="0"/>
                <w:sz w:val="24"/>
                <w:szCs w:val="20"/>
                <w:highlight w:val="none"/>
                <w:u w:val="none"/>
                <w:vertAlign w:val="baseline"/>
                <w:lang w:val="en-US" w:eastAsia="zh-CN" w:bidi="ar-SA"/>
              </w:rPr>
              <w:t>3</w:t>
            </w:r>
            <w:r>
              <w:rPr>
                <w:rFonts w:hint="eastAsia" w:ascii="Times New Roman" w:hAnsi="Times New Roman" w:eastAsia="宋体" w:cs="Times New Roman"/>
                <w:color w:val="auto"/>
                <w:kern w:val="0"/>
                <w:sz w:val="24"/>
                <w:szCs w:val="20"/>
                <w:highlight w:val="none"/>
                <w:u w:val="none"/>
                <w:vertAlign w:val="baseline"/>
                <w:lang w:val="en-US" w:eastAsia="zh-CN" w:bidi="ar-SA"/>
              </w:rPr>
              <w:t>5%为喷漆房开门时以无组织形式溢出。</w:t>
            </w:r>
          </w:p>
          <w:p w14:paraId="4B838681">
            <w:pPr>
              <w:pStyle w:val="109"/>
              <w:keepNext w:val="0"/>
              <w:keepLines w:val="0"/>
              <w:suppressLineNumbers w:val="0"/>
              <w:spacing w:before="0" w:beforeLines="0" w:beforeAutospacing="0" w:after="0" w:afterAutospacing="0"/>
              <w:ind w:left="0" w:right="0" w:firstLine="480"/>
              <w:rPr>
                <w:rFonts w:hint="default" w:ascii="Times New Roman" w:hAnsi="Times New Roman" w:eastAsia="宋体" w:cs="Times New Roman"/>
                <w:color w:val="auto"/>
                <w:kern w:val="0"/>
                <w:sz w:val="24"/>
                <w:szCs w:val="20"/>
                <w:u w:val="single"/>
                <w:vertAlign w:val="baseline"/>
                <w:lang w:val="en-US" w:eastAsia="zh-CN" w:bidi="ar-SA"/>
              </w:rPr>
            </w:pPr>
            <w:r>
              <w:rPr>
                <w:rFonts w:hint="eastAsia" w:hAnsi="Times New Roman" w:cs="Times New Roman"/>
                <w:color w:val="auto"/>
                <w:kern w:val="0"/>
                <w:sz w:val="24"/>
                <w:szCs w:val="20"/>
                <w:highlight w:val="none"/>
                <w:u w:val="none"/>
                <w:vertAlign w:val="baseline"/>
                <w:lang w:val="en-US" w:eastAsia="zh-CN" w:bidi="ar-SA"/>
              </w:rPr>
              <w:t>本项目喷漆房容积约60m³，本次评价喷漆房废气按照每小时50次/小时换气次数计算，核算得风机风量为3000m³/h。</w:t>
            </w:r>
            <w:r>
              <w:rPr>
                <w:rFonts w:hint="eastAsia" w:ascii="Times New Roman" w:hAnsi="Times New Roman" w:eastAsia="宋体" w:cs="Times New Roman"/>
                <w:color w:val="auto"/>
                <w:kern w:val="0"/>
                <w:sz w:val="24"/>
                <w:szCs w:val="20"/>
                <w:highlight w:val="none"/>
                <w:u w:val="none"/>
                <w:vertAlign w:val="baseline"/>
                <w:lang w:val="en-US" w:eastAsia="zh-CN" w:bidi="ar-SA"/>
              </w:rPr>
              <w:t>有组织粉尘经15m高排气筒排放，排风量为3000m³/h，</w:t>
            </w:r>
            <w:r>
              <w:rPr>
                <w:rFonts w:hint="eastAsia" w:hAnsi="Times New Roman" w:cs="Times New Roman"/>
                <w:color w:val="auto"/>
                <w:kern w:val="0"/>
                <w:sz w:val="24"/>
                <w:szCs w:val="20"/>
                <w:highlight w:val="none"/>
                <w:u w:val="none"/>
                <w:vertAlign w:val="baseline"/>
                <w:lang w:val="en-US" w:eastAsia="zh-CN" w:bidi="ar-SA"/>
              </w:rPr>
              <w:t>喷漆有机废气</w:t>
            </w:r>
            <w:r>
              <w:rPr>
                <w:rFonts w:hint="eastAsia" w:ascii="Times New Roman" w:hAnsi="Times New Roman" w:eastAsia="宋体" w:cs="Times New Roman"/>
                <w:color w:val="auto"/>
                <w:kern w:val="0"/>
                <w:sz w:val="24"/>
                <w:szCs w:val="20"/>
                <w:highlight w:val="none"/>
                <w:u w:val="none"/>
                <w:vertAlign w:val="baseline"/>
                <w:lang w:val="en-US" w:eastAsia="zh-CN" w:bidi="ar-SA"/>
              </w:rPr>
              <w:t>有组织排放量为</w:t>
            </w:r>
            <w:r>
              <w:rPr>
                <w:rFonts w:hint="eastAsia" w:hAnsi="Times New Roman" w:cs="Times New Roman"/>
                <w:color w:val="auto"/>
                <w:kern w:val="0"/>
                <w:sz w:val="24"/>
                <w:szCs w:val="20"/>
                <w:highlight w:val="none"/>
                <w:u w:val="none"/>
                <w:vertAlign w:val="baseline"/>
                <w:lang w:val="en-US" w:eastAsia="zh-CN" w:bidi="ar-SA"/>
              </w:rPr>
              <w:t>0.059</w:t>
            </w:r>
            <w:r>
              <w:rPr>
                <w:rFonts w:hint="eastAsia" w:ascii="Times New Roman" w:hAnsi="Times New Roman" w:eastAsia="宋体" w:cs="Times New Roman"/>
                <w:color w:val="auto"/>
                <w:kern w:val="0"/>
                <w:sz w:val="24"/>
                <w:szCs w:val="20"/>
                <w:highlight w:val="none"/>
                <w:u w:val="none"/>
                <w:vertAlign w:val="baseline"/>
                <w:lang w:val="en-US" w:eastAsia="zh-CN" w:bidi="ar-SA"/>
              </w:rPr>
              <w:t>t/a，有组织排放速率为</w:t>
            </w:r>
            <w:r>
              <w:rPr>
                <w:rFonts w:hint="eastAsia" w:hAnsi="Times New Roman" w:cs="Times New Roman"/>
                <w:color w:val="auto"/>
                <w:kern w:val="0"/>
                <w:sz w:val="24"/>
                <w:szCs w:val="20"/>
                <w:highlight w:val="none"/>
                <w:u w:val="none"/>
                <w:vertAlign w:val="baseline"/>
                <w:lang w:val="en-US" w:eastAsia="zh-CN" w:bidi="ar-SA"/>
              </w:rPr>
              <w:t>0.0983</w:t>
            </w:r>
            <w:r>
              <w:rPr>
                <w:rFonts w:hint="eastAsia" w:ascii="Times New Roman" w:hAnsi="Times New Roman" w:eastAsia="宋体" w:cs="Times New Roman"/>
                <w:color w:val="auto"/>
                <w:kern w:val="0"/>
                <w:sz w:val="24"/>
                <w:szCs w:val="20"/>
                <w:highlight w:val="none"/>
                <w:u w:val="none"/>
                <w:vertAlign w:val="baseline"/>
                <w:lang w:val="en-US" w:eastAsia="zh-CN" w:bidi="ar-SA"/>
              </w:rPr>
              <w:t>kg/h</w:t>
            </w:r>
            <w:r>
              <w:rPr>
                <w:rFonts w:hint="eastAsia" w:hAnsi="Times New Roman" w:cs="Times New Roman"/>
                <w:color w:val="auto"/>
                <w:kern w:val="0"/>
                <w:sz w:val="24"/>
                <w:szCs w:val="20"/>
                <w:highlight w:val="none"/>
                <w:u w:val="none"/>
                <w:vertAlign w:val="baseline"/>
                <w:lang w:val="en-US" w:eastAsia="zh-CN" w:bidi="ar-SA"/>
              </w:rPr>
              <w:t>，排放浓度为32.76mg/m³；颗粒物有组织排放量为0.00161t/a，有组织排放速率为0.00268kg/h，排放浓度为0.894mg/m³。</w:t>
            </w:r>
          </w:p>
          <w:p w14:paraId="5EE200A9">
            <w:pPr>
              <w:pStyle w:val="109"/>
              <w:keepNext w:val="0"/>
              <w:keepLines w:val="0"/>
              <w:suppressLineNumbers w:val="0"/>
              <w:spacing w:before="0" w:beforeAutospacing="0" w:after="0" w:afterAutospacing="0"/>
              <w:ind w:left="0" w:right="0" w:firstLine="480"/>
              <w:rPr>
                <w:rFonts w:hint="eastAsia"/>
                <w:color w:val="auto"/>
                <w:u w:val="none"/>
                <w:lang w:val="en-US" w:eastAsia="zh-CN"/>
              </w:rPr>
            </w:pPr>
            <w:r>
              <w:rPr>
                <w:rFonts w:hint="eastAsia"/>
                <w:color w:val="auto"/>
                <w:u w:val="none"/>
                <w:lang w:val="en-US" w:eastAsia="zh-CN"/>
              </w:rPr>
              <w:t>④食堂油烟</w:t>
            </w:r>
          </w:p>
          <w:p w14:paraId="0FD86F0E">
            <w:pPr>
              <w:pStyle w:val="109"/>
              <w:keepNext w:val="0"/>
              <w:keepLines w:val="0"/>
              <w:suppressLineNumbers w:val="0"/>
              <w:spacing w:before="0" w:beforeAutospacing="0" w:after="0" w:afterAutospacing="0"/>
              <w:ind w:left="0" w:right="0" w:firstLine="480"/>
              <w:rPr>
                <w:rFonts w:hint="default"/>
                <w:color w:val="auto"/>
                <w:u w:val="none"/>
                <w:lang w:val="en-US" w:eastAsia="zh-CN"/>
              </w:rPr>
            </w:pPr>
            <w:r>
              <w:rPr>
                <w:rFonts w:hint="default"/>
                <w:color w:val="auto"/>
                <w:u w:val="none"/>
                <w:lang w:val="en-US" w:eastAsia="zh-CN"/>
              </w:rPr>
              <w:t>本项目提供员工</w:t>
            </w:r>
            <w:r>
              <w:rPr>
                <w:rFonts w:hint="eastAsia"/>
                <w:color w:val="auto"/>
                <w:u w:val="none"/>
                <w:lang w:val="en-US" w:eastAsia="zh-CN"/>
              </w:rPr>
              <w:t>中</w:t>
            </w:r>
            <w:r>
              <w:rPr>
                <w:rFonts w:hint="default"/>
                <w:color w:val="auto"/>
                <w:u w:val="none"/>
                <w:lang w:val="en-US" w:eastAsia="zh-CN"/>
              </w:rPr>
              <w:t>餐，就餐人数约为</w:t>
            </w:r>
            <w:r>
              <w:rPr>
                <w:rFonts w:hint="eastAsia"/>
                <w:color w:val="auto"/>
                <w:u w:val="none"/>
                <w:lang w:val="en-US" w:eastAsia="zh-CN"/>
              </w:rPr>
              <w:t>35</w:t>
            </w:r>
            <w:r>
              <w:rPr>
                <w:rFonts w:hint="default"/>
                <w:color w:val="auto"/>
                <w:u w:val="none"/>
                <w:lang w:val="en-US" w:eastAsia="zh-CN"/>
              </w:rPr>
              <w:t>人。根据有关统计资料，人均日食用油用量约30g/餐，一般油烟挥发量占总耗油量的2-</w:t>
            </w:r>
            <w:r>
              <w:rPr>
                <w:rFonts w:hint="eastAsia"/>
                <w:color w:val="auto"/>
                <w:u w:val="none"/>
                <w:lang w:val="en-US" w:eastAsia="zh-CN"/>
              </w:rPr>
              <w:t>3</w:t>
            </w:r>
            <w:r>
              <w:rPr>
                <w:rFonts w:hint="default"/>
                <w:color w:val="auto"/>
                <w:u w:val="none"/>
                <w:lang w:val="en-US" w:eastAsia="zh-CN"/>
              </w:rPr>
              <w:t>%，本项目取</w:t>
            </w:r>
            <w:r>
              <w:rPr>
                <w:rFonts w:hint="eastAsia"/>
                <w:color w:val="auto"/>
                <w:u w:val="none"/>
                <w:lang w:val="en-US" w:eastAsia="zh-CN"/>
              </w:rPr>
              <w:t>2.5</w:t>
            </w:r>
            <w:r>
              <w:rPr>
                <w:rFonts w:hint="default"/>
                <w:color w:val="auto"/>
                <w:u w:val="none"/>
                <w:lang w:val="en-US" w:eastAsia="zh-CN"/>
              </w:rPr>
              <w:t>%，则油烟产生量为</w:t>
            </w:r>
            <w:r>
              <w:rPr>
                <w:rFonts w:hint="eastAsia"/>
                <w:color w:val="auto"/>
                <w:u w:val="none"/>
                <w:lang w:val="en-US" w:eastAsia="zh-CN"/>
              </w:rPr>
              <w:t>0.0079t/a</w:t>
            </w:r>
            <w:r>
              <w:rPr>
                <w:rFonts w:hint="default"/>
                <w:color w:val="auto"/>
                <w:u w:val="none"/>
                <w:lang w:val="en-US" w:eastAsia="zh-CN"/>
              </w:rPr>
              <w:t>。食堂油烟风机排风量为</w:t>
            </w:r>
            <w:r>
              <w:rPr>
                <w:rFonts w:hint="eastAsia"/>
                <w:color w:val="auto"/>
                <w:u w:val="none"/>
                <w:lang w:val="en-US" w:eastAsia="zh-CN"/>
              </w:rPr>
              <w:t>2</w:t>
            </w:r>
            <w:r>
              <w:rPr>
                <w:rFonts w:hint="default"/>
                <w:color w:val="auto"/>
                <w:u w:val="none"/>
                <w:lang w:val="en-US" w:eastAsia="zh-CN"/>
              </w:rPr>
              <w:t>000m³/h，每天运行</w:t>
            </w:r>
            <w:r>
              <w:rPr>
                <w:rFonts w:hint="eastAsia"/>
                <w:color w:val="auto"/>
                <w:u w:val="none"/>
                <w:lang w:val="en-US" w:eastAsia="zh-CN"/>
              </w:rPr>
              <w:t>2</w:t>
            </w:r>
            <w:r>
              <w:rPr>
                <w:rFonts w:hint="default"/>
                <w:color w:val="auto"/>
                <w:u w:val="none"/>
                <w:lang w:val="en-US" w:eastAsia="zh-CN"/>
              </w:rPr>
              <w:t>小时，则油烟产生浓度为</w:t>
            </w:r>
            <w:r>
              <w:rPr>
                <w:rFonts w:hint="eastAsia"/>
                <w:color w:val="auto"/>
                <w:u w:val="none"/>
                <w:lang w:val="en-US" w:eastAsia="zh-CN"/>
              </w:rPr>
              <w:t>6.56</w:t>
            </w:r>
            <w:r>
              <w:rPr>
                <w:rFonts w:hint="default"/>
                <w:color w:val="auto"/>
                <w:u w:val="none"/>
                <w:lang w:val="en-US" w:eastAsia="zh-CN"/>
              </w:rPr>
              <w:t>mg/m³。油烟废气经高效静电油烟净化器处理后，由专用烟道引至屋顶高空排放，油烟净化效率按</w:t>
            </w:r>
            <w:r>
              <w:rPr>
                <w:rFonts w:hint="eastAsia"/>
                <w:color w:val="auto"/>
                <w:u w:val="none"/>
                <w:lang w:val="en-US" w:eastAsia="zh-CN"/>
              </w:rPr>
              <w:t>8</w:t>
            </w:r>
            <w:r>
              <w:rPr>
                <w:rFonts w:hint="default"/>
                <w:color w:val="auto"/>
                <w:u w:val="none"/>
                <w:lang w:val="en-US" w:eastAsia="zh-CN"/>
              </w:rPr>
              <w:t>0%计，则油烟排放量为</w:t>
            </w:r>
            <w:r>
              <w:rPr>
                <w:rFonts w:hint="eastAsia"/>
                <w:color w:val="auto"/>
                <w:u w:val="none"/>
                <w:lang w:val="en-US" w:eastAsia="zh-CN"/>
              </w:rPr>
              <w:t>0.00158</w:t>
            </w:r>
            <w:r>
              <w:rPr>
                <w:rFonts w:hint="default"/>
                <w:color w:val="auto"/>
                <w:u w:val="none"/>
                <w:lang w:val="en-US" w:eastAsia="zh-CN"/>
              </w:rPr>
              <w:t>t/a，排放速率为</w:t>
            </w:r>
            <w:r>
              <w:rPr>
                <w:rFonts w:hint="eastAsia"/>
                <w:color w:val="auto"/>
                <w:u w:val="none"/>
                <w:lang w:val="en-US" w:eastAsia="zh-CN"/>
              </w:rPr>
              <w:t>0.00263</w:t>
            </w:r>
            <w:r>
              <w:rPr>
                <w:rFonts w:hint="default"/>
                <w:color w:val="auto"/>
                <w:u w:val="none"/>
                <w:lang w:val="en-US" w:eastAsia="zh-CN"/>
              </w:rPr>
              <w:t>kg/h，排放浓度为</w:t>
            </w:r>
            <w:r>
              <w:rPr>
                <w:rFonts w:hint="eastAsia"/>
                <w:color w:val="auto"/>
                <w:u w:val="none"/>
                <w:lang w:val="en-US" w:eastAsia="zh-CN"/>
              </w:rPr>
              <w:t>1.313</w:t>
            </w:r>
            <w:r>
              <w:rPr>
                <w:rFonts w:hint="default"/>
                <w:color w:val="auto"/>
                <w:u w:val="none"/>
                <w:lang w:val="en-US" w:eastAsia="zh-CN"/>
              </w:rPr>
              <w:t>mg/m³。</w:t>
            </w:r>
          </w:p>
          <w:p w14:paraId="05E64A28">
            <w:pPr>
              <w:pStyle w:val="2"/>
              <w:keepLines w:val="0"/>
              <w:numPr>
                <w:ilvl w:val="-1"/>
                <w:numId w:val="0"/>
              </w:numPr>
              <w:suppressLineNumbers w:val="0"/>
              <w:spacing w:before="0" w:beforeAutospacing="0" w:after="0" w:afterAutospacing="0"/>
              <w:ind w:left="0" w:right="0" w:firstLine="0" w:firstLineChars="0"/>
              <w:rPr>
                <w:rFonts w:hint="default"/>
                <w:b w:val="0"/>
                <w:bCs w:val="0"/>
                <w:color w:val="auto"/>
                <w:kern w:val="2"/>
                <w:sz w:val="24"/>
                <w:szCs w:val="24"/>
                <w:u w:val="none"/>
                <w:lang w:val="en-US" w:eastAsia="zh-CN"/>
              </w:rPr>
            </w:pPr>
          </w:p>
        </w:tc>
      </w:tr>
    </w:tbl>
    <w:p w14:paraId="57E11B99">
      <w:pPr>
        <w:rPr>
          <w:rFonts w:ascii="Times New Roman" w:hAnsi="Times New Roman"/>
          <w:b/>
          <w:bCs/>
          <w:snapToGrid w:val="0"/>
          <w:color w:val="auto"/>
          <w:sz w:val="30"/>
          <w:szCs w:val="30"/>
        </w:rPr>
        <w:sectPr>
          <w:pgSz w:w="11906" w:h="16838"/>
          <w:pgMar w:top="1440" w:right="1531" w:bottom="1440" w:left="1531" w:header="851" w:footer="851" w:gutter="0"/>
          <w:pgNumType w:fmt="decimal"/>
          <w:cols w:space="720" w:num="1"/>
          <w:docGrid w:linePitch="312" w:charSpace="0"/>
        </w:sectPr>
      </w:pPr>
      <w:bookmarkStart w:id="10" w:name="_Toc72704843"/>
      <w:bookmarkStart w:id="11" w:name="_Toc30777"/>
      <w:r>
        <w:rPr>
          <w:rFonts w:ascii="Times New Roman" w:hAnsi="Times New Roman"/>
          <w:b/>
          <w:bCs/>
          <w:snapToGrid w:val="0"/>
          <w:color w:val="auto"/>
          <w:sz w:val="30"/>
          <w:szCs w:val="30"/>
        </w:rPr>
        <w:br w:type="page"/>
      </w:r>
    </w:p>
    <w:tbl>
      <w:tblPr>
        <w:tblStyle w:val="24"/>
        <w:tblW w:w="52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8"/>
        <w:gridCol w:w="14516"/>
      </w:tblGrid>
      <w:tr w14:paraId="4DB71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5" w:hRule="atLeast"/>
          <w:jc w:val="center"/>
        </w:trPr>
        <w:tc>
          <w:tcPr>
            <w:tcW w:w="104" w:type="pct"/>
            <w:noWrap w:val="0"/>
            <w:tcMar>
              <w:left w:w="28" w:type="dxa"/>
              <w:right w:w="28" w:type="dxa"/>
            </w:tcMar>
            <w:vAlign w:val="center"/>
          </w:tcPr>
          <w:p w14:paraId="4CC8FCE0">
            <w:pPr>
              <w:pStyle w:val="109"/>
              <w:keepNext w:val="0"/>
              <w:keepLines w:val="0"/>
              <w:suppressLineNumbers w:val="0"/>
              <w:spacing w:before="0" w:beforeAutospacing="0" w:after="0" w:afterAutospacing="0"/>
              <w:ind w:left="0" w:right="0" w:firstLine="0" w:firstLineChars="0"/>
              <w:jc w:val="both"/>
              <w:rPr>
                <w:rFonts w:hint="eastAsia" w:hAnsi="Times New Roman"/>
                <w:snapToGrid w:val="0"/>
                <w:color w:val="auto"/>
                <w:u w:val="none"/>
                <w:lang w:val="en-US" w:eastAsia="zh-CN"/>
              </w:rPr>
            </w:pPr>
          </w:p>
        </w:tc>
        <w:tc>
          <w:tcPr>
            <w:tcW w:w="4895" w:type="pct"/>
            <w:noWrap w:val="0"/>
            <w:vAlign w:val="top"/>
          </w:tcPr>
          <w:p w14:paraId="6309315F">
            <w:pPr>
              <w:pStyle w:val="10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ind w:left="0" w:right="0" w:firstLine="480"/>
              <w:textAlignment w:val="auto"/>
              <w:rPr>
                <w:rFonts w:hint="eastAsia"/>
                <w:b/>
                <w:bCs/>
                <w:color w:val="auto"/>
                <w:u w:val="none"/>
                <w:lang w:val="en-US" w:eastAsia="zh-CN"/>
              </w:rPr>
            </w:pPr>
            <w:r>
              <w:rPr>
                <w:rFonts w:hint="eastAsia"/>
                <w:b/>
                <w:bCs/>
                <w:color w:val="auto"/>
                <w:u w:val="none"/>
                <w:lang w:val="en-US" w:eastAsia="zh-CN"/>
              </w:rPr>
              <w:t>1.2本项目完成后全厂废气产排情况汇总</w:t>
            </w:r>
          </w:p>
          <w:p w14:paraId="4000FB8B">
            <w:pPr>
              <w:pStyle w:val="10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ind w:left="0" w:right="0" w:firstLine="480"/>
              <w:textAlignment w:val="auto"/>
              <w:rPr>
                <w:rFonts w:hint="eastAsia"/>
                <w:b w:val="0"/>
                <w:bCs w:val="0"/>
                <w:color w:val="auto"/>
                <w:u w:val="none"/>
                <w:lang w:val="en-US" w:eastAsia="zh-CN"/>
              </w:rPr>
            </w:pPr>
            <w:r>
              <w:rPr>
                <w:rFonts w:hint="eastAsia"/>
                <w:b w:val="0"/>
                <w:bCs w:val="0"/>
                <w:color w:val="auto"/>
                <w:u w:val="none"/>
                <w:lang w:val="en-US" w:eastAsia="zh-CN"/>
              </w:rPr>
              <w:t>（1）废气产排情况汇总</w:t>
            </w:r>
          </w:p>
          <w:p w14:paraId="6D365C34">
            <w:pPr>
              <w:pStyle w:val="10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240" w:lineRule="auto"/>
              <w:ind w:left="0" w:leftChars="0" w:right="0" w:firstLine="0" w:firstLineChars="0"/>
              <w:jc w:val="center"/>
              <w:textAlignment w:val="auto"/>
              <w:rPr>
                <w:rFonts w:hint="eastAsia"/>
                <w:b/>
                <w:bCs/>
                <w:color w:val="auto"/>
                <w:sz w:val="21"/>
                <w:szCs w:val="21"/>
                <w:u w:val="none"/>
                <w:lang w:val="en-US" w:eastAsia="zh-CN"/>
              </w:rPr>
            </w:pPr>
            <w:r>
              <w:rPr>
                <w:rFonts w:hint="eastAsia"/>
                <w:b/>
                <w:bCs/>
                <w:color w:val="auto"/>
                <w:sz w:val="21"/>
                <w:szCs w:val="21"/>
                <w:u w:val="none"/>
                <w:lang w:val="en-US" w:eastAsia="zh-CN"/>
              </w:rPr>
              <w:t>表4-2 废气产排情况汇总表</w:t>
            </w:r>
          </w:p>
          <w:tbl>
            <w:tblPr>
              <w:tblStyle w:val="24"/>
              <w:tblW w:w="14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5"/>
              <w:gridCol w:w="633"/>
              <w:gridCol w:w="650"/>
              <w:gridCol w:w="800"/>
              <w:gridCol w:w="617"/>
              <w:gridCol w:w="733"/>
              <w:gridCol w:w="883"/>
              <w:gridCol w:w="617"/>
              <w:gridCol w:w="767"/>
              <w:gridCol w:w="603"/>
              <w:gridCol w:w="647"/>
              <w:gridCol w:w="766"/>
              <w:gridCol w:w="817"/>
              <w:gridCol w:w="833"/>
              <w:gridCol w:w="917"/>
              <w:gridCol w:w="833"/>
              <w:gridCol w:w="584"/>
              <w:gridCol w:w="450"/>
              <w:gridCol w:w="516"/>
              <w:gridCol w:w="437"/>
              <w:gridCol w:w="599"/>
            </w:tblGrid>
            <w:tr w14:paraId="0171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95" w:type="dxa"/>
                  <w:vMerge w:val="restart"/>
                  <w:shd w:val="clear" w:color="auto" w:fill="auto"/>
                  <w:vAlign w:val="center"/>
                </w:tcPr>
                <w:p w14:paraId="07DED2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工序</w:t>
                  </w:r>
                </w:p>
              </w:tc>
              <w:tc>
                <w:tcPr>
                  <w:tcW w:w="633" w:type="dxa"/>
                  <w:vMerge w:val="restart"/>
                  <w:shd w:val="clear" w:color="auto" w:fill="auto"/>
                  <w:vAlign w:val="center"/>
                </w:tcPr>
                <w:p w14:paraId="2D6E22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污染源</w:t>
                  </w:r>
                </w:p>
              </w:tc>
              <w:tc>
                <w:tcPr>
                  <w:tcW w:w="650" w:type="dxa"/>
                  <w:vMerge w:val="restart"/>
                  <w:shd w:val="clear" w:color="auto" w:fill="auto"/>
                  <w:vAlign w:val="center"/>
                </w:tcPr>
                <w:p w14:paraId="330697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污染物</w:t>
                  </w:r>
                </w:p>
              </w:tc>
              <w:tc>
                <w:tcPr>
                  <w:tcW w:w="800" w:type="dxa"/>
                  <w:vMerge w:val="restart"/>
                  <w:shd w:val="clear" w:color="auto" w:fill="auto"/>
                  <w:vAlign w:val="center"/>
                </w:tcPr>
                <w:p w14:paraId="1EA7AE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核算方法</w:t>
                  </w:r>
                </w:p>
              </w:tc>
              <w:tc>
                <w:tcPr>
                  <w:tcW w:w="2233" w:type="dxa"/>
                  <w:gridSpan w:val="3"/>
                  <w:vMerge w:val="restart"/>
                  <w:shd w:val="clear" w:color="auto" w:fill="auto"/>
                  <w:vAlign w:val="center"/>
                </w:tcPr>
                <w:p w14:paraId="4DE8B9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污染物产生</w:t>
                  </w:r>
                </w:p>
              </w:tc>
              <w:tc>
                <w:tcPr>
                  <w:tcW w:w="1987" w:type="dxa"/>
                  <w:gridSpan w:val="3"/>
                  <w:vMerge w:val="restart"/>
                  <w:shd w:val="clear" w:color="auto" w:fill="auto"/>
                  <w:vAlign w:val="center"/>
                </w:tcPr>
                <w:p w14:paraId="164C0C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治理措施</w:t>
                  </w:r>
                </w:p>
              </w:tc>
              <w:tc>
                <w:tcPr>
                  <w:tcW w:w="7399" w:type="dxa"/>
                  <w:gridSpan w:val="11"/>
                  <w:shd w:val="clear" w:color="auto" w:fill="auto"/>
                  <w:vAlign w:val="center"/>
                </w:tcPr>
                <w:p w14:paraId="712F11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污染物排放</w:t>
                  </w:r>
                </w:p>
              </w:tc>
            </w:tr>
            <w:tr w14:paraId="0FE4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5" w:type="dxa"/>
                  <w:vMerge w:val="continue"/>
                  <w:shd w:val="clear" w:color="auto" w:fill="auto"/>
                  <w:vAlign w:val="center"/>
                </w:tcPr>
                <w:p w14:paraId="6F8265D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33" w:type="dxa"/>
                  <w:vMerge w:val="continue"/>
                  <w:shd w:val="clear" w:color="auto" w:fill="auto"/>
                  <w:vAlign w:val="center"/>
                </w:tcPr>
                <w:p w14:paraId="081DA6A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50" w:type="dxa"/>
                  <w:vMerge w:val="continue"/>
                  <w:shd w:val="clear" w:color="auto" w:fill="auto"/>
                  <w:vAlign w:val="center"/>
                </w:tcPr>
                <w:p w14:paraId="2E9683C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800" w:type="dxa"/>
                  <w:vMerge w:val="continue"/>
                  <w:shd w:val="clear" w:color="auto" w:fill="auto"/>
                  <w:vAlign w:val="center"/>
                </w:tcPr>
                <w:p w14:paraId="7E5FD9C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2233" w:type="dxa"/>
                  <w:gridSpan w:val="3"/>
                  <w:vMerge w:val="continue"/>
                  <w:shd w:val="clear" w:color="auto" w:fill="auto"/>
                  <w:vAlign w:val="center"/>
                </w:tcPr>
                <w:p w14:paraId="309CABC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1987" w:type="dxa"/>
                  <w:gridSpan w:val="3"/>
                  <w:vMerge w:val="continue"/>
                  <w:shd w:val="clear" w:color="auto" w:fill="auto"/>
                  <w:vAlign w:val="center"/>
                </w:tcPr>
                <w:p w14:paraId="3B97F86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3063" w:type="dxa"/>
                  <w:gridSpan w:val="4"/>
                  <w:shd w:val="clear" w:color="auto" w:fill="auto"/>
                  <w:vAlign w:val="center"/>
                </w:tcPr>
                <w:p w14:paraId="06A79C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有组织</w:t>
                  </w:r>
                </w:p>
              </w:tc>
              <w:tc>
                <w:tcPr>
                  <w:tcW w:w="1750" w:type="dxa"/>
                  <w:gridSpan w:val="2"/>
                  <w:shd w:val="clear" w:color="auto" w:fill="auto"/>
                  <w:vAlign w:val="center"/>
                </w:tcPr>
                <w:p w14:paraId="1966E3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无组织</w:t>
                  </w:r>
                </w:p>
              </w:tc>
              <w:tc>
                <w:tcPr>
                  <w:tcW w:w="584" w:type="dxa"/>
                  <w:vMerge w:val="restart"/>
                  <w:shd w:val="clear" w:color="auto" w:fill="auto"/>
                  <w:vAlign w:val="center"/>
                </w:tcPr>
                <w:p w14:paraId="075471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排放时间</w:t>
                  </w:r>
                </w:p>
              </w:tc>
              <w:tc>
                <w:tcPr>
                  <w:tcW w:w="1403" w:type="dxa"/>
                  <w:gridSpan w:val="3"/>
                  <w:shd w:val="clear" w:color="auto" w:fill="auto"/>
                  <w:vAlign w:val="center"/>
                </w:tcPr>
                <w:p w14:paraId="45A01C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排气筒</w:t>
                  </w:r>
                </w:p>
              </w:tc>
              <w:tc>
                <w:tcPr>
                  <w:tcW w:w="599" w:type="dxa"/>
                  <w:vMerge w:val="restart"/>
                  <w:shd w:val="clear" w:color="auto" w:fill="auto"/>
                  <w:vAlign w:val="center"/>
                </w:tcPr>
                <w:p w14:paraId="668479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排放口编号</w:t>
                  </w:r>
                </w:p>
              </w:tc>
            </w:tr>
            <w:tr w14:paraId="048A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5" w:type="dxa"/>
                  <w:vMerge w:val="continue"/>
                  <w:shd w:val="clear" w:color="auto" w:fill="auto"/>
                  <w:vAlign w:val="center"/>
                </w:tcPr>
                <w:p w14:paraId="4E8EA77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33" w:type="dxa"/>
                  <w:vMerge w:val="continue"/>
                  <w:shd w:val="clear" w:color="auto" w:fill="auto"/>
                  <w:vAlign w:val="center"/>
                </w:tcPr>
                <w:p w14:paraId="3ECD45E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50" w:type="dxa"/>
                  <w:vMerge w:val="continue"/>
                  <w:shd w:val="clear" w:color="auto" w:fill="auto"/>
                  <w:vAlign w:val="center"/>
                </w:tcPr>
                <w:p w14:paraId="4C1A9B7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800" w:type="dxa"/>
                  <w:vMerge w:val="continue"/>
                  <w:shd w:val="clear" w:color="auto" w:fill="auto"/>
                  <w:vAlign w:val="center"/>
                </w:tcPr>
                <w:p w14:paraId="063A0FC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17" w:type="dxa"/>
                  <w:vMerge w:val="restart"/>
                  <w:shd w:val="clear" w:color="auto" w:fill="auto"/>
                  <w:vAlign w:val="center"/>
                </w:tcPr>
                <w:p w14:paraId="46BD6F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废气产生量</w:t>
                  </w:r>
                  <w:r>
                    <w:rPr>
                      <w:rFonts w:hint="default" w:ascii="Times New Roman" w:hAnsi="Times New Roman" w:eastAsia="宋体" w:cs="Times New Roman"/>
                      <w:b/>
                      <w:bCs/>
                      <w:i w:val="0"/>
                      <w:iCs w:val="0"/>
                      <w:color w:val="000000"/>
                      <w:kern w:val="0"/>
                      <w:sz w:val="18"/>
                      <w:szCs w:val="18"/>
                      <w:u w:val="none"/>
                      <w:lang w:val="en-US" w:eastAsia="zh-CN" w:bidi="ar"/>
                    </w:rPr>
                    <w:t>(m³/h)</w:t>
                  </w:r>
                </w:p>
              </w:tc>
              <w:tc>
                <w:tcPr>
                  <w:tcW w:w="733" w:type="dxa"/>
                  <w:vMerge w:val="restart"/>
                  <w:shd w:val="clear" w:color="auto" w:fill="auto"/>
                  <w:vAlign w:val="center"/>
                </w:tcPr>
                <w:p w14:paraId="6F6E0E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产生质量浓度</w:t>
                  </w:r>
                  <w:r>
                    <w:rPr>
                      <w:rFonts w:hint="default" w:ascii="Times New Roman" w:hAnsi="Times New Roman" w:eastAsia="宋体" w:cs="Times New Roman"/>
                      <w:b/>
                      <w:bCs/>
                      <w:i w:val="0"/>
                      <w:iCs w:val="0"/>
                      <w:color w:val="000000"/>
                      <w:kern w:val="0"/>
                      <w:sz w:val="18"/>
                      <w:szCs w:val="18"/>
                      <w:u w:val="none"/>
                      <w:lang w:val="en-US" w:eastAsia="zh-CN" w:bidi="ar"/>
                    </w:rPr>
                    <w:t>(mg/m³)</w:t>
                  </w:r>
                </w:p>
              </w:tc>
              <w:tc>
                <w:tcPr>
                  <w:tcW w:w="883" w:type="dxa"/>
                  <w:vMerge w:val="restart"/>
                  <w:shd w:val="clear" w:color="auto" w:fill="auto"/>
                  <w:vAlign w:val="center"/>
                </w:tcPr>
                <w:p w14:paraId="55ABBF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产生量</w:t>
                  </w:r>
                  <w:r>
                    <w:rPr>
                      <w:rFonts w:hint="default" w:ascii="Times New Roman" w:hAnsi="Times New Roman" w:eastAsia="宋体" w:cs="Times New Roman"/>
                      <w:b/>
                      <w:bCs/>
                      <w:i w:val="0"/>
                      <w:iCs w:val="0"/>
                      <w:color w:val="000000"/>
                      <w:kern w:val="0"/>
                      <w:sz w:val="18"/>
                      <w:szCs w:val="18"/>
                      <w:u w:val="none"/>
                      <w:lang w:val="en-US" w:eastAsia="zh-CN" w:bidi="ar"/>
                    </w:rPr>
                    <w:t>(kg/h)</w:t>
                  </w:r>
                </w:p>
              </w:tc>
              <w:tc>
                <w:tcPr>
                  <w:tcW w:w="617" w:type="dxa"/>
                  <w:vMerge w:val="restart"/>
                  <w:shd w:val="clear" w:color="auto" w:fill="auto"/>
                  <w:vAlign w:val="center"/>
                </w:tcPr>
                <w:p w14:paraId="6B8839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收集效率</w:t>
                  </w:r>
                  <w:r>
                    <w:rPr>
                      <w:rFonts w:hint="eastAsia" w:ascii="宋体" w:hAnsi="宋体" w:cs="宋体"/>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w:t>
                  </w:r>
                </w:p>
              </w:tc>
              <w:tc>
                <w:tcPr>
                  <w:tcW w:w="767" w:type="dxa"/>
                  <w:vMerge w:val="restart"/>
                  <w:shd w:val="clear" w:color="auto" w:fill="auto"/>
                  <w:vAlign w:val="center"/>
                </w:tcPr>
                <w:p w14:paraId="09C0A5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治理工艺</w:t>
                  </w:r>
                </w:p>
              </w:tc>
              <w:tc>
                <w:tcPr>
                  <w:tcW w:w="603" w:type="dxa"/>
                  <w:vMerge w:val="restart"/>
                  <w:shd w:val="clear" w:color="auto" w:fill="auto"/>
                  <w:vAlign w:val="center"/>
                </w:tcPr>
                <w:p w14:paraId="50094D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去除效率（</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w:t>
                  </w:r>
                </w:p>
              </w:tc>
              <w:tc>
                <w:tcPr>
                  <w:tcW w:w="647" w:type="dxa"/>
                  <w:vMerge w:val="restart"/>
                  <w:shd w:val="clear" w:color="auto" w:fill="auto"/>
                  <w:vAlign w:val="center"/>
                </w:tcPr>
                <w:p w14:paraId="404040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废气排放量</w:t>
                  </w:r>
                  <w:r>
                    <w:rPr>
                      <w:rFonts w:hint="default" w:ascii="Times New Roman" w:hAnsi="Times New Roman" w:eastAsia="宋体" w:cs="Times New Roman"/>
                      <w:b/>
                      <w:bCs/>
                      <w:i w:val="0"/>
                      <w:iCs w:val="0"/>
                      <w:color w:val="000000"/>
                      <w:kern w:val="0"/>
                      <w:sz w:val="18"/>
                      <w:szCs w:val="18"/>
                      <w:u w:val="none"/>
                      <w:lang w:val="en-US" w:eastAsia="zh-CN" w:bidi="ar"/>
                    </w:rPr>
                    <w:t>(m³/h)</w:t>
                  </w:r>
                </w:p>
              </w:tc>
              <w:tc>
                <w:tcPr>
                  <w:tcW w:w="766" w:type="dxa"/>
                  <w:vMerge w:val="restart"/>
                  <w:shd w:val="clear" w:color="auto" w:fill="auto"/>
                  <w:vAlign w:val="center"/>
                </w:tcPr>
                <w:p w14:paraId="7DC912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排放质量浓度</w:t>
                  </w:r>
                  <w:r>
                    <w:rPr>
                      <w:rFonts w:hint="default" w:ascii="Times New Roman" w:hAnsi="Times New Roman" w:eastAsia="宋体" w:cs="Times New Roman"/>
                      <w:b/>
                      <w:bCs/>
                      <w:i w:val="0"/>
                      <w:iCs w:val="0"/>
                      <w:color w:val="000000"/>
                      <w:kern w:val="0"/>
                      <w:sz w:val="18"/>
                      <w:szCs w:val="18"/>
                      <w:u w:val="none"/>
                      <w:lang w:val="en-US" w:eastAsia="zh-CN" w:bidi="ar"/>
                    </w:rPr>
                    <w:t>(mg/m³)</w:t>
                  </w:r>
                </w:p>
              </w:tc>
              <w:tc>
                <w:tcPr>
                  <w:tcW w:w="817" w:type="dxa"/>
                  <w:shd w:val="clear" w:color="auto" w:fill="auto"/>
                  <w:vAlign w:val="center"/>
                </w:tcPr>
                <w:p w14:paraId="37FECF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排放量</w:t>
                  </w:r>
                </w:p>
              </w:tc>
              <w:tc>
                <w:tcPr>
                  <w:tcW w:w="833" w:type="dxa"/>
                  <w:shd w:val="clear" w:color="auto" w:fill="auto"/>
                  <w:vAlign w:val="center"/>
                </w:tcPr>
                <w:p w14:paraId="0877C5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排放速率</w:t>
                  </w:r>
                </w:p>
              </w:tc>
              <w:tc>
                <w:tcPr>
                  <w:tcW w:w="917" w:type="dxa"/>
                  <w:shd w:val="clear" w:color="auto" w:fill="auto"/>
                  <w:vAlign w:val="center"/>
                </w:tcPr>
                <w:p w14:paraId="34C8ED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排放量</w:t>
                  </w:r>
                </w:p>
              </w:tc>
              <w:tc>
                <w:tcPr>
                  <w:tcW w:w="833" w:type="dxa"/>
                  <w:shd w:val="clear" w:color="auto" w:fill="auto"/>
                  <w:vAlign w:val="center"/>
                </w:tcPr>
                <w:p w14:paraId="6F2E40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排放速率</w:t>
                  </w:r>
                </w:p>
              </w:tc>
              <w:tc>
                <w:tcPr>
                  <w:tcW w:w="584" w:type="dxa"/>
                  <w:vMerge w:val="continue"/>
                  <w:shd w:val="clear" w:color="auto" w:fill="auto"/>
                  <w:vAlign w:val="center"/>
                </w:tcPr>
                <w:p w14:paraId="75AFE7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450" w:type="dxa"/>
                  <w:shd w:val="clear" w:color="auto" w:fill="auto"/>
                  <w:vAlign w:val="center"/>
                </w:tcPr>
                <w:p w14:paraId="4E35A9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高度</w:t>
                  </w:r>
                </w:p>
              </w:tc>
              <w:tc>
                <w:tcPr>
                  <w:tcW w:w="516" w:type="dxa"/>
                  <w:shd w:val="clear" w:color="auto" w:fill="auto"/>
                  <w:vAlign w:val="center"/>
                </w:tcPr>
                <w:p w14:paraId="38A95E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直径</w:t>
                  </w:r>
                </w:p>
              </w:tc>
              <w:tc>
                <w:tcPr>
                  <w:tcW w:w="437" w:type="dxa"/>
                  <w:shd w:val="clear" w:color="auto" w:fill="auto"/>
                  <w:vAlign w:val="center"/>
                </w:tcPr>
                <w:p w14:paraId="4C8AA4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温度</w:t>
                  </w:r>
                </w:p>
              </w:tc>
              <w:tc>
                <w:tcPr>
                  <w:tcW w:w="599" w:type="dxa"/>
                  <w:vMerge w:val="continue"/>
                  <w:shd w:val="clear" w:color="auto" w:fill="auto"/>
                  <w:vAlign w:val="center"/>
                </w:tcPr>
                <w:p w14:paraId="088A5BA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r>
            <w:tr w14:paraId="24D5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95" w:type="dxa"/>
                  <w:vMerge w:val="continue"/>
                  <w:shd w:val="clear" w:color="auto" w:fill="auto"/>
                  <w:vAlign w:val="center"/>
                </w:tcPr>
                <w:p w14:paraId="076056D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33" w:type="dxa"/>
                  <w:vMerge w:val="continue"/>
                  <w:shd w:val="clear" w:color="auto" w:fill="auto"/>
                  <w:vAlign w:val="center"/>
                </w:tcPr>
                <w:p w14:paraId="77E0C05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50" w:type="dxa"/>
                  <w:vMerge w:val="continue"/>
                  <w:shd w:val="clear" w:color="auto" w:fill="auto"/>
                  <w:vAlign w:val="center"/>
                </w:tcPr>
                <w:p w14:paraId="52519F6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800" w:type="dxa"/>
                  <w:vMerge w:val="continue"/>
                  <w:shd w:val="clear" w:color="auto" w:fill="auto"/>
                  <w:vAlign w:val="center"/>
                </w:tcPr>
                <w:p w14:paraId="09B9AE5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17" w:type="dxa"/>
                  <w:vMerge w:val="continue"/>
                  <w:shd w:val="clear" w:color="auto" w:fill="auto"/>
                  <w:vAlign w:val="center"/>
                </w:tcPr>
                <w:p w14:paraId="3AFE86E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733" w:type="dxa"/>
                  <w:vMerge w:val="continue"/>
                  <w:shd w:val="clear" w:color="auto" w:fill="auto"/>
                  <w:vAlign w:val="center"/>
                </w:tcPr>
                <w:p w14:paraId="2E3350B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883" w:type="dxa"/>
                  <w:vMerge w:val="continue"/>
                  <w:shd w:val="clear" w:color="auto" w:fill="auto"/>
                  <w:vAlign w:val="center"/>
                </w:tcPr>
                <w:p w14:paraId="30A35F8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17" w:type="dxa"/>
                  <w:vMerge w:val="continue"/>
                  <w:shd w:val="clear" w:color="auto" w:fill="auto"/>
                  <w:vAlign w:val="center"/>
                </w:tcPr>
                <w:p w14:paraId="4A1FA39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767" w:type="dxa"/>
                  <w:vMerge w:val="continue"/>
                  <w:shd w:val="clear" w:color="auto" w:fill="auto"/>
                  <w:vAlign w:val="center"/>
                </w:tcPr>
                <w:p w14:paraId="52491DD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03" w:type="dxa"/>
                  <w:vMerge w:val="continue"/>
                  <w:shd w:val="clear" w:color="auto" w:fill="auto"/>
                  <w:vAlign w:val="center"/>
                </w:tcPr>
                <w:p w14:paraId="3EDB95D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647" w:type="dxa"/>
                  <w:vMerge w:val="continue"/>
                  <w:shd w:val="clear" w:color="auto" w:fill="auto"/>
                  <w:vAlign w:val="center"/>
                </w:tcPr>
                <w:p w14:paraId="18305B7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766" w:type="dxa"/>
                  <w:vMerge w:val="continue"/>
                  <w:shd w:val="clear" w:color="auto" w:fill="auto"/>
                  <w:vAlign w:val="center"/>
                </w:tcPr>
                <w:p w14:paraId="05595DA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c>
                <w:tcPr>
                  <w:tcW w:w="817" w:type="dxa"/>
                  <w:shd w:val="clear" w:color="auto" w:fill="auto"/>
                  <w:vAlign w:val="center"/>
                </w:tcPr>
                <w:p w14:paraId="205167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t/a</w:t>
                  </w:r>
                </w:p>
              </w:tc>
              <w:tc>
                <w:tcPr>
                  <w:tcW w:w="833" w:type="dxa"/>
                  <w:shd w:val="clear" w:color="auto" w:fill="auto"/>
                  <w:vAlign w:val="center"/>
                </w:tcPr>
                <w:p w14:paraId="3F4F2A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kg/h</w:t>
                  </w:r>
                </w:p>
              </w:tc>
              <w:tc>
                <w:tcPr>
                  <w:tcW w:w="917" w:type="dxa"/>
                  <w:shd w:val="clear" w:color="auto" w:fill="auto"/>
                  <w:vAlign w:val="center"/>
                </w:tcPr>
                <w:p w14:paraId="6D1F6B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t/a</w:t>
                  </w:r>
                </w:p>
              </w:tc>
              <w:tc>
                <w:tcPr>
                  <w:tcW w:w="833" w:type="dxa"/>
                  <w:shd w:val="clear" w:color="auto" w:fill="auto"/>
                  <w:vAlign w:val="center"/>
                </w:tcPr>
                <w:p w14:paraId="5550B0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kg/h</w:t>
                  </w:r>
                </w:p>
              </w:tc>
              <w:tc>
                <w:tcPr>
                  <w:tcW w:w="584" w:type="dxa"/>
                  <w:shd w:val="clear" w:color="auto" w:fill="auto"/>
                  <w:vAlign w:val="center"/>
                </w:tcPr>
                <w:p w14:paraId="00D075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h</w:t>
                  </w:r>
                </w:p>
              </w:tc>
              <w:tc>
                <w:tcPr>
                  <w:tcW w:w="450" w:type="dxa"/>
                  <w:shd w:val="clear" w:color="auto" w:fill="auto"/>
                  <w:vAlign w:val="center"/>
                </w:tcPr>
                <w:p w14:paraId="063A0B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m</w:t>
                  </w:r>
                </w:p>
              </w:tc>
              <w:tc>
                <w:tcPr>
                  <w:tcW w:w="516" w:type="dxa"/>
                  <w:shd w:val="clear" w:color="auto" w:fill="auto"/>
                  <w:vAlign w:val="center"/>
                </w:tcPr>
                <w:p w14:paraId="1AA24C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m</w:t>
                  </w:r>
                </w:p>
              </w:tc>
              <w:tc>
                <w:tcPr>
                  <w:tcW w:w="437" w:type="dxa"/>
                  <w:shd w:val="clear" w:color="auto" w:fill="auto"/>
                  <w:vAlign w:val="center"/>
                </w:tcPr>
                <w:p w14:paraId="706ED7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599" w:type="dxa"/>
                  <w:vMerge w:val="continue"/>
                  <w:shd w:val="clear" w:color="auto" w:fill="auto"/>
                  <w:vAlign w:val="center"/>
                </w:tcPr>
                <w:p w14:paraId="760FE65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u w:val="none"/>
                    </w:rPr>
                  </w:pPr>
                </w:p>
              </w:tc>
            </w:tr>
            <w:tr w14:paraId="19D7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95" w:type="dxa"/>
                  <w:shd w:val="clear" w:color="auto" w:fill="auto"/>
                  <w:vAlign w:val="center"/>
                </w:tcPr>
                <w:p w14:paraId="69E703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金属加工</w:t>
                  </w:r>
                </w:p>
              </w:tc>
              <w:tc>
                <w:tcPr>
                  <w:tcW w:w="633" w:type="dxa"/>
                  <w:shd w:val="clear" w:color="auto" w:fill="auto"/>
                  <w:vAlign w:val="center"/>
                </w:tcPr>
                <w:p w14:paraId="5C47DB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w:t>
                  </w:r>
                </w:p>
              </w:tc>
              <w:tc>
                <w:tcPr>
                  <w:tcW w:w="650" w:type="dxa"/>
                  <w:shd w:val="clear" w:color="auto" w:fill="auto"/>
                  <w:vAlign w:val="center"/>
                </w:tcPr>
                <w:p w14:paraId="7C8A7B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颗粒物</w:t>
                  </w:r>
                </w:p>
              </w:tc>
              <w:tc>
                <w:tcPr>
                  <w:tcW w:w="800" w:type="dxa"/>
                  <w:shd w:val="clear" w:color="auto" w:fill="auto"/>
                  <w:vAlign w:val="center"/>
                </w:tcPr>
                <w:p w14:paraId="39E8C6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系数核算法</w:t>
                  </w:r>
                </w:p>
              </w:tc>
              <w:tc>
                <w:tcPr>
                  <w:tcW w:w="617" w:type="dxa"/>
                  <w:shd w:val="clear" w:color="auto" w:fill="auto"/>
                  <w:vAlign w:val="center"/>
                </w:tcPr>
                <w:p w14:paraId="4E5971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3" w:type="dxa"/>
                  <w:shd w:val="clear" w:color="auto" w:fill="auto"/>
                  <w:vAlign w:val="center"/>
                </w:tcPr>
                <w:p w14:paraId="609A2E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83" w:type="dxa"/>
                  <w:shd w:val="clear" w:color="auto" w:fill="auto"/>
                  <w:vAlign w:val="center"/>
                </w:tcPr>
                <w:p w14:paraId="20EF6C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 xml:space="preserve">2.00 </w:t>
                  </w:r>
                </w:p>
              </w:tc>
              <w:tc>
                <w:tcPr>
                  <w:tcW w:w="617" w:type="dxa"/>
                  <w:shd w:val="clear" w:color="auto" w:fill="auto"/>
                  <w:vAlign w:val="center"/>
                </w:tcPr>
                <w:p w14:paraId="3F5B4F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7" w:type="dxa"/>
                  <w:shd w:val="clear" w:color="auto" w:fill="auto"/>
                  <w:vAlign w:val="center"/>
                </w:tcPr>
                <w:p w14:paraId="701C14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3" w:type="dxa"/>
                  <w:shd w:val="clear" w:color="auto" w:fill="auto"/>
                  <w:vAlign w:val="center"/>
                </w:tcPr>
                <w:p w14:paraId="168AC2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7" w:type="dxa"/>
                  <w:shd w:val="clear" w:color="auto" w:fill="auto"/>
                  <w:vAlign w:val="center"/>
                </w:tcPr>
                <w:p w14:paraId="472C89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6" w:type="dxa"/>
                  <w:shd w:val="clear" w:color="auto" w:fill="auto"/>
                  <w:vAlign w:val="center"/>
                </w:tcPr>
                <w:p w14:paraId="426B0D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7" w:type="dxa"/>
                  <w:shd w:val="clear" w:color="auto" w:fill="auto"/>
                  <w:vAlign w:val="center"/>
                </w:tcPr>
                <w:p w14:paraId="6FBCA7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3" w:type="dxa"/>
                  <w:shd w:val="clear" w:color="auto" w:fill="auto"/>
                  <w:vAlign w:val="center"/>
                </w:tcPr>
                <w:p w14:paraId="4B7974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17" w:type="dxa"/>
                  <w:shd w:val="clear" w:color="auto" w:fill="auto"/>
                  <w:vAlign w:val="center"/>
                </w:tcPr>
                <w:p w14:paraId="28D0FF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18"/>
                      <w:szCs w:val="18"/>
                      <w:u w:val="none"/>
                      <w:vertAlign w:val="baseline"/>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0.400 </w:t>
                  </w:r>
                </w:p>
              </w:tc>
              <w:tc>
                <w:tcPr>
                  <w:tcW w:w="833" w:type="dxa"/>
                  <w:shd w:val="clear" w:color="auto" w:fill="auto"/>
                  <w:vAlign w:val="center"/>
                </w:tcPr>
                <w:p w14:paraId="32022E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18"/>
                      <w:szCs w:val="18"/>
                      <w:u w:val="none"/>
                      <w:vertAlign w:val="baseline"/>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0.167 </w:t>
                  </w:r>
                </w:p>
              </w:tc>
              <w:tc>
                <w:tcPr>
                  <w:tcW w:w="584" w:type="dxa"/>
                  <w:shd w:val="clear" w:color="auto" w:fill="auto"/>
                  <w:vAlign w:val="center"/>
                </w:tcPr>
                <w:p w14:paraId="4F8636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450" w:type="dxa"/>
                  <w:shd w:val="clear" w:color="auto" w:fill="auto"/>
                  <w:vAlign w:val="center"/>
                </w:tcPr>
                <w:p w14:paraId="639503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6" w:type="dxa"/>
                  <w:shd w:val="clear" w:color="auto" w:fill="auto"/>
                  <w:vAlign w:val="center"/>
                </w:tcPr>
                <w:p w14:paraId="732D8F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37" w:type="dxa"/>
                  <w:shd w:val="clear" w:color="auto" w:fill="auto"/>
                  <w:vAlign w:val="center"/>
                </w:tcPr>
                <w:p w14:paraId="2B9CC1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dxa"/>
                  <w:shd w:val="clear" w:color="auto" w:fill="auto"/>
                  <w:vAlign w:val="center"/>
                </w:tcPr>
                <w:p w14:paraId="034E13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D61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95" w:type="dxa"/>
                  <w:shd w:val="clear" w:color="auto" w:fill="auto"/>
                  <w:vAlign w:val="center"/>
                </w:tcPr>
                <w:p w14:paraId="46F35B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w:t>
                  </w:r>
                </w:p>
              </w:tc>
              <w:tc>
                <w:tcPr>
                  <w:tcW w:w="633" w:type="dxa"/>
                  <w:shd w:val="clear" w:color="auto" w:fill="auto"/>
                  <w:vAlign w:val="center"/>
                </w:tcPr>
                <w:p w14:paraId="03B8B8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焊条</w:t>
                  </w:r>
                </w:p>
              </w:tc>
              <w:tc>
                <w:tcPr>
                  <w:tcW w:w="650" w:type="dxa"/>
                  <w:shd w:val="clear" w:color="auto" w:fill="auto"/>
                  <w:vAlign w:val="center"/>
                </w:tcPr>
                <w:p w14:paraId="0C1451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颗粒物</w:t>
                  </w:r>
                </w:p>
              </w:tc>
              <w:tc>
                <w:tcPr>
                  <w:tcW w:w="800" w:type="dxa"/>
                  <w:shd w:val="clear" w:color="auto" w:fill="auto"/>
                  <w:vAlign w:val="center"/>
                </w:tcPr>
                <w:p w14:paraId="17172A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系数核算法</w:t>
                  </w:r>
                </w:p>
              </w:tc>
              <w:tc>
                <w:tcPr>
                  <w:tcW w:w="617" w:type="dxa"/>
                  <w:shd w:val="clear" w:color="auto" w:fill="auto"/>
                  <w:vAlign w:val="center"/>
                </w:tcPr>
                <w:p w14:paraId="59782A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3" w:type="dxa"/>
                  <w:shd w:val="clear" w:color="auto" w:fill="auto"/>
                  <w:vAlign w:val="center"/>
                </w:tcPr>
                <w:p w14:paraId="29FBFC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83" w:type="dxa"/>
                  <w:shd w:val="clear" w:color="auto" w:fill="auto"/>
                  <w:vAlign w:val="center"/>
                </w:tcPr>
                <w:p w14:paraId="45DB1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 xml:space="preserve">0.0061 </w:t>
                  </w:r>
                </w:p>
              </w:tc>
              <w:tc>
                <w:tcPr>
                  <w:tcW w:w="617" w:type="dxa"/>
                  <w:shd w:val="clear" w:color="auto" w:fill="auto"/>
                  <w:vAlign w:val="center"/>
                </w:tcPr>
                <w:p w14:paraId="5C9247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7" w:type="dxa"/>
                  <w:shd w:val="clear" w:color="auto" w:fill="auto"/>
                  <w:vAlign w:val="center"/>
                </w:tcPr>
                <w:p w14:paraId="37B9D8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3" w:type="dxa"/>
                  <w:shd w:val="clear" w:color="auto" w:fill="auto"/>
                  <w:vAlign w:val="center"/>
                </w:tcPr>
                <w:p w14:paraId="25CF17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7" w:type="dxa"/>
                  <w:shd w:val="clear" w:color="auto" w:fill="auto"/>
                  <w:vAlign w:val="center"/>
                </w:tcPr>
                <w:p w14:paraId="309B7B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6" w:type="dxa"/>
                  <w:shd w:val="clear" w:color="auto" w:fill="auto"/>
                  <w:vAlign w:val="center"/>
                </w:tcPr>
                <w:p w14:paraId="7B31AB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7" w:type="dxa"/>
                  <w:shd w:val="clear" w:color="auto" w:fill="auto"/>
                  <w:vAlign w:val="center"/>
                </w:tcPr>
                <w:p w14:paraId="225305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3" w:type="dxa"/>
                  <w:shd w:val="clear" w:color="auto" w:fill="auto"/>
                  <w:vAlign w:val="center"/>
                </w:tcPr>
                <w:p w14:paraId="63B6CE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17" w:type="dxa"/>
                  <w:shd w:val="clear" w:color="auto" w:fill="auto"/>
                  <w:vAlign w:val="center"/>
                </w:tcPr>
                <w:p w14:paraId="5FA2C2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18"/>
                      <w:szCs w:val="18"/>
                      <w:u w:val="none"/>
                      <w:vertAlign w:val="baseline"/>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0.0061 </w:t>
                  </w:r>
                </w:p>
              </w:tc>
              <w:tc>
                <w:tcPr>
                  <w:tcW w:w="833" w:type="dxa"/>
                  <w:shd w:val="clear" w:color="auto" w:fill="auto"/>
                  <w:vAlign w:val="center"/>
                </w:tcPr>
                <w:p w14:paraId="0E4C89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18"/>
                      <w:szCs w:val="18"/>
                      <w:u w:val="none"/>
                      <w:vertAlign w:val="baseline"/>
                    </w:rPr>
                  </w:pPr>
                  <w:r>
                    <w:rPr>
                      <w:rFonts w:hint="default" w:ascii="Times New Roman" w:hAnsi="Times New Roman" w:eastAsia="宋体" w:cs="Times New Roman"/>
                      <w:b w:val="0"/>
                      <w:bCs w:val="0"/>
                      <w:i w:val="0"/>
                      <w:iCs w:val="0"/>
                      <w:color w:val="000000"/>
                      <w:kern w:val="0"/>
                      <w:sz w:val="18"/>
                      <w:szCs w:val="18"/>
                      <w:u w:val="none"/>
                      <w:lang w:val="en-US" w:eastAsia="zh-CN" w:bidi="ar"/>
                    </w:rPr>
                    <w:t xml:space="preserve">0.003 </w:t>
                  </w:r>
                </w:p>
              </w:tc>
              <w:tc>
                <w:tcPr>
                  <w:tcW w:w="584" w:type="dxa"/>
                  <w:shd w:val="clear" w:color="auto" w:fill="auto"/>
                  <w:vAlign w:val="center"/>
                </w:tcPr>
                <w:p w14:paraId="280DE9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450" w:type="dxa"/>
                  <w:shd w:val="clear" w:color="auto" w:fill="auto"/>
                  <w:vAlign w:val="center"/>
                </w:tcPr>
                <w:p w14:paraId="1DD930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6" w:type="dxa"/>
                  <w:shd w:val="clear" w:color="auto" w:fill="auto"/>
                  <w:vAlign w:val="center"/>
                </w:tcPr>
                <w:p w14:paraId="14B44A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37" w:type="dxa"/>
                  <w:shd w:val="clear" w:color="auto" w:fill="auto"/>
                  <w:vAlign w:val="center"/>
                </w:tcPr>
                <w:p w14:paraId="5C6771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dxa"/>
                  <w:shd w:val="clear" w:color="auto" w:fill="auto"/>
                  <w:vAlign w:val="center"/>
                </w:tcPr>
                <w:p w14:paraId="773EFC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vertAlign w:val="baseli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1E4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dxa"/>
                  <w:vMerge w:val="restart"/>
                  <w:shd w:val="clear" w:color="auto" w:fill="auto"/>
                  <w:vAlign w:val="center"/>
                </w:tcPr>
                <w:p w14:paraId="72E424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补漆</w:t>
                  </w:r>
                </w:p>
              </w:tc>
              <w:tc>
                <w:tcPr>
                  <w:tcW w:w="633" w:type="dxa"/>
                  <w:vMerge w:val="restart"/>
                  <w:shd w:val="clear" w:color="auto" w:fill="auto"/>
                  <w:vAlign w:val="center"/>
                </w:tcPr>
                <w:p w14:paraId="413E5B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树脂漆</w:t>
                  </w:r>
                </w:p>
              </w:tc>
              <w:tc>
                <w:tcPr>
                  <w:tcW w:w="650" w:type="dxa"/>
                  <w:shd w:val="clear" w:color="auto" w:fill="auto"/>
                  <w:vAlign w:val="center"/>
                </w:tcPr>
                <w:p w14:paraId="341151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颗粒物</w:t>
                  </w:r>
                </w:p>
              </w:tc>
              <w:tc>
                <w:tcPr>
                  <w:tcW w:w="800" w:type="dxa"/>
                  <w:shd w:val="clear" w:color="auto" w:fill="auto"/>
                  <w:vAlign w:val="center"/>
                </w:tcPr>
                <w:p w14:paraId="0685EA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物料核算法</w:t>
                  </w:r>
                </w:p>
              </w:tc>
              <w:tc>
                <w:tcPr>
                  <w:tcW w:w="617" w:type="dxa"/>
                  <w:shd w:val="clear" w:color="auto" w:fill="auto"/>
                  <w:vAlign w:val="center"/>
                </w:tcPr>
                <w:p w14:paraId="7B21CD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733" w:type="dxa"/>
                  <w:shd w:val="clear" w:color="auto" w:fill="auto"/>
                  <w:vAlign w:val="center"/>
                </w:tcPr>
                <w:p w14:paraId="597D06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8.9375</w:t>
                  </w:r>
                </w:p>
              </w:tc>
              <w:tc>
                <w:tcPr>
                  <w:tcW w:w="883" w:type="dxa"/>
                  <w:shd w:val="clear" w:color="auto" w:fill="auto"/>
                  <w:vAlign w:val="center"/>
                </w:tcPr>
                <w:p w14:paraId="4BFE77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0.0248 </w:t>
                  </w:r>
                </w:p>
              </w:tc>
              <w:tc>
                <w:tcPr>
                  <w:tcW w:w="617" w:type="dxa"/>
                  <w:shd w:val="clear" w:color="auto" w:fill="auto"/>
                  <w:vAlign w:val="center"/>
                </w:tcPr>
                <w:p w14:paraId="6FBBE8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bidi="ar"/>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767" w:type="dxa"/>
                  <w:vMerge w:val="restart"/>
                  <w:shd w:val="clear" w:color="auto" w:fill="auto"/>
                  <w:vAlign w:val="center"/>
                </w:tcPr>
                <w:p w14:paraId="2B6B03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过滤棉+二级活性炭处理</w:t>
                  </w:r>
                </w:p>
              </w:tc>
              <w:tc>
                <w:tcPr>
                  <w:tcW w:w="603" w:type="dxa"/>
                  <w:shd w:val="clear" w:color="auto" w:fill="auto"/>
                  <w:vAlign w:val="center"/>
                </w:tcPr>
                <w:p w14:paraId="4A35B3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47" w:type="dxa"/>
                  <w:shd w:val="clear" w:color="auto" w:fill="auto"/>
                  <w:vAlign w:val="center"/>
                </w:tcPr>
                <w:p w14:paraId="23DD20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766" w:type="dxa"/>
                  <w:shd w:val="clear" w:color="auto" w:fill="auto"/>
                  <w:vAlign w:val="center"/>
                </w:tcPr>
                <w:p w14:paraId="4BCD6A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0.894 </w:t>
                  </w:r>
                </w:p>
              </w:tc>
              <w:tc>
                <w:tcPr>
                  <w:tcW w:w="817" w:type="dxa"/>
                  <w:shd w:val="clear" w:color="auto" w:fill="auto"/>
                  <w:vAlign w:val="center"/>
                </w:tcPr>
                <w:p w14:paraId="1565E6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0.00161 </w:t>
                  </w:r>
                </w:p>
              </w:tc>
              <w:tc>
                <w:tcPr>
                  <w:tcW w:w="833" w:type="dxa"/>
                  <w:shd w:val="clear" w:color="auto" w:fill="auto"/>
                  <w:vAlign w:val="center"/>
                </w:tcPr>
                <w:p w14:paraId="1DF9E3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0.00268 </w:t>
                  </w:r>
                </w:p>
              </w:tc>
              <w:tc>
                <w:tcPr>
                  <w:tcW w:w="917" w:type="dxa"/>
                  <w:shd w:val="clear" w:color="auto" w:fill="auto"/>
                  <w:vAlign w:val="center"/>
                </w:tcPr>
                <w:p w14:paraId="4F4F5B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0.00866 </w:t>
                  </w:r>
                </w:p>
              </w:tc>
              <w:tc>
                <w:tcPr>
                  <w:tcW w:w="833" w:type="dxa"/>
                  <w:shd w:val="clear" w:color="auto" w:fill="auto"/>
                  <w:vAlign w:val="center"/>
                </w:tcPr>
                <w:p w14:paraId="502557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0.0144 </w:t>
                  </w:r>
                </w:p>
              </w:tc>
              <w:tc>
                <w:tcPr>
                  <w:tcW w:w="584" w:type="dxa"/>
                  <w:shd w:val="clear" w:color="auto" w:fill="auto"/>
                  <w:vAlign w:val="center"/>
                </w:tcPr>
                <w:p w14:paraId="2E66CC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450" w:type="dxa"/>
                  <w:shd w:val="clear" w:color="auto" w:fill="auto"/>
                  <w:vAlign w:val="center"/>
                </w:tcPr>
                <w:p w14:paraId="75FE26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516" w:type="dxa"/>
                  <w:shd w:val="clear" w:color="auto" w:fill="auto"/>
                  <w:vAlign w:val="center"/>
                </w:tcPr>
                <w:p w14:paraId="285ADF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0.4</w:t>
                  </w:r>
                </w:p>
              </w:tc>
              <w:tc>
                <w:tcPr>
                  <w:tcW w:w="437" w:type="dxa"/>
                  <w:shd w:val="clear" w:color="auto" w:fill="auto"/>
                  <w:vAlign w:val="center"/>
                </w:tcPr>
                <w:p w14:paraId="2B16D8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bidi="ar"/>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599" w:type="dxa"/>
                  <w:vMerge w:val="restart"/>
                  <w:shd w:val="clear" w:color="auto" w:fill="auto"/>
                  <w:vAlign w:val="center"/>
                </w:tcPr>
                <w:p w14:paraId="29CED7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DA00</w:t>
                  </w:r>
                  <w:r>
                    <w:rPr>
                      <w:rFonts w:hint="eastAsia" w:cs="Times New Roman"/>
                      <w:i w:val="0"/>
                      <w:iCs w:val="0"/>
                      <w:color w:val="000000"/>
                      <w:kern w:val="0"/>
                      <w:sz w:val="18"/>
                      <w:szCs w:val="18"/>
                      <w:u w:val="none"/>
                      <w:lang w:val="en-US" w:eastAsia="zh-CN" w:bidi="ar"/>
                    </w:rPr>
                    <w:t>1</w:t>
                  </w:r>
                </w:p>
              </w:tc>
            </w:tr>
            <w:tr w14:paraId="76F6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dxa"/>
                  <w:vMerge w:val="continue"/>
                  <w:shd w:val="clear" w:color="auto" w:fill="auto"/>
                  <w:vAlign w:val="center"/>
                </w:tcPr>
                <w:p w14:paraId="224B78F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18"/>
                      <w:szCs w:val="18"/>
                      <w:u w:val="none"/>
                      <w:lang w:val="en-US" w:eastAsia="zh-CN" w:bidi="ar"/>
                    </w:rPr>
                  </w:pPr>
                </w:p>
              </w:tc>
              <w:tc>
                <w:tcPr>
                  <w:tcW w:w="633" w:type="dxa"/>
                  <w:vMerge w:val="continue"/>
                  <w:shd w:val="clear" w:color="auto" w:fill="auto"/>
                  <w:vAlign w:val="center"/>
                </w:tcPr>
                <w:p w14:paraId="0533239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18"/>
                      <w:szCs w:val="18"/>
                      <w:u w:val="none"/>
                      <w:lang w:val="en-US" w:eastAsia="zh-CN" w:bidi="ar"/>
                    </w:rPr>
                  </w:pPr>
                </w:p>
              </w:tc>
              <w:tc>
                <w:tcPr>
                  <w:tcW w:w="650" w:type="dxa"/>
                  <w:shd w:val="clear" w:color="auto" w:fill="auto"/>
                  <w:vAlign w:val="center"/>
                </w:tcPr>
                <w:p w14:paraId="0FB21B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VOCs</w:t>
                  </w:r>
                </w:p>
              </w:tc>
              <w:tc>
                <w:tcPr>
                  <w:tcW w:w="800" w:type="dxa"/>
                  <w:shd w:val="clear" w:color="auto" w:fill="auto"/>
                  <w:vAlign w:val="center"/>
                </w:tcPr>
                <w:p w14:paraId="51DD6B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物料核算法</w:t>
                  </w:r>
                </w:p>
              </w:tc>
              <w:tc>
                <w:tcPr>
                  <w:tcW w:w="617" w:type="dxa"/>
                  <w:shd w:val="clear" w:color="auto" w:fill="auto"/>
                  <w:vAlign w:val="center"/>
                </w:tcPr>
                <w:p w14:paraId="32779F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733" w:type="dxa"/>
                  <w:shd w:val="clear" w:color="auto" w:fill="auto"/>
                  <w:vAlign w:val="center"/>
                </w:tcPr>
                <w:p w14:paraId="1DA94E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48.75 </w:t>
                  </w:r>
                </w:p>
              </w:tc>
              <w:tc>
                <w:tcPr>
                  <w:tcW w:w="883" w:type="dxa"/>
                  <w:shd w:val="clear" w:color="auto" w:fill="auto"/>
                  <w:vAlign w:val="center"/>
                </w:tcPr>
                <w:p w14:paraId="359B10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0.135</w:t>
                  </w:r>
                </w:p>
              </w:tc>
              <w:tc>
                <w:tcPr>
                  <w:tcW w:w="617" w:type="dxa"/>
                  <w:shd w:val="clear" w:color="auto" w:fill="auto"/>
                  <w:vAlign w:val="center"/>
                </w:tcPr>
                <w:p w14:paraId="027F30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767" w:type="dxa"/>
                  <w:vMerge w:val="continue"/>
                  <w:shd w:val="clear" w:color="auto" w:fill="auto"/>
                  <w:vAlign w:val="center"/>
                </w:tcPr>
                <w:p w14:paraId="63E02D8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18"/>
                      <w:szCs w:val="18"/>
                      <w:u w:val="none"/>
                      <w:vertAlign w:val="baseline"/>
                      <w:lang w:val="en-US" w:eastAsia="zh-CN" w:bidi="ar"/>
                    </w:rPr>
                  </w:pPr>
                </w:p>
              </w:tc>
              <w:tc>
                <w:tcPr>
                  <w:tcW w:w="603" w:type="dxa"/>
                  <w:shd w:val="clear" w:color="auto" w:fill="auto"/>
                  <w:vAlign w:val="center"/>
                </w:tcPr>
                <w:p w14:paraId="31E21E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32.8</w:t>
                  </w:r>
                </w:p>
              </w:tc>
              <w:tc>
                <w:tcPr>
                  <w:tcW w:w="647" w:type="dxa"/>
                  <w:shd w:val="clear" w:color="auto" w:fill="auto"/>
                  <w:vAlign w:val="center"/>
                </w:tcPr>
                <w:p w14:paraId="03E41D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766" w:type="dxa"/>
                  <w:shd w:val="clear" w:color="auto" w:fill="auto"/>
                  <w:vAlign w:val="center"/>
                </w:tcPr>
                <w:p w14:paraId="7D8C70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32.76 </w:t>
                  </w:r>
                </w:p>
              </w:tc>
              <w:tc>
                <w:tcPr>
                  <w:tcW w:w="817" w:type="dxa"/>
                  <w:shd w:val="clear" w:color="auto" w:fill="auto"/>
                  <w:vAlign w:val="center"/>
                </w:tcPr>
                <w:p w14:paraId="0BC80A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0.059 </w:t>
                  </w:r>
                </w:p>
              </w:tc>
              <w:tc>
                <w:tcPr>
                  <w:tcW w:w="833" w:type="dxa"/>
                  <w:shd w:val="clear" w:color="auto" w:fill="auto"/>
                  <w:vAlign w:val="center"/>
                </w:tcPr>
                <w:p w14:paraId="29CF74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0.0983 </w:t>
                  </w:r>
                </w:p>
              </w:tc>
              <w:tc>
                <w:tcPr>
                  <w:tcW w:w="917" w:type="dxa"/>
                  <w:shd w:val="clear" w:color="auto" w:fill="auto"/>
                  <w:vAlign w:val="center"/>
                </w:tcPr>
                <w:p w14:paraId="30BC8F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0.0473 </w:t>
                  </w:r>
                </w:p>
              </w:tc>
              <w:tc>
                <w:tcPr>
                  <w:tcW w:w="833" w:type="dxa"/>
                  <w:shd w:val="clear" w:color="auto" w:fill="auto"/>
                  <w:vAlign w:val="center"/>
                </w:tcPr>
                <w:p w14:paraId="63BF00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0.0788 </w:t>
                  </w:r>
                </w:p>
              </w:tc>
              <w:tc>
                <w:tcPr>
                  <w:tcW w:w="584" w:type="dxa"/>
                  <w:shd w:val="clear" w:color="auto" w:fill="auto"/>
                  <w:vAlign w:val="center"/>
                </w:tcPr>
                <w:p w14:paraId="34B291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50" w:type="dxa"/>
                  <w:shd w:val="clear" w:color="auto" w:fill="auto"/>
                  <w:vAlign w:val="center"/>
                </w:tcPr>
                <w:p w14:paraId="51C281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516" w:type="dxa"/>
                  <w:shd w:val="clear" w:color="auto" w:fill="auto"/>
                  <w:vAlign w:val="center"/>
                </w:tcPr>
                <w:p w14:paraId="1056D3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0.4</w:t>
                  </w:r>
                </w:p>
              </w:tc>
              <w:tc>
                <w:tcPr>
                  <w:tcW w:w="437" w:type="dxa"/>
                  <w:shd w:val="clear" w:color="auto" w:fill="auto"/>
                  <w:vAlign w:val="center"/>
                </w:tcPr>
                <w:p w14:paraId="711A2C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599" w:type="dxa"/>
                  <w:vMerge w:val="continue"/>
                  <w:shd w:val="clear" w:color="auto" w:fill="auto"/>
                  <w:vAlign w:val="center"/>
                </w:tcPr>
                <w:p w14:paraId="3D49EF6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18"/>
                      <w:szCs w:val="18"/>
                      <w:u w:val="none"/>
                      <w:lang w:val="en-US" w:eastAsia="zh-CN" w:bidi="ar"/>
                    </w:rPr>
                  </w:pPr>
                </w:p>
              </w:tc>
            </w:tr>
            <w:tr w14:paraId="023A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5" w:type="dxa"/>
                  <w:shd w:val="clear" w:color="auto" w:fill="auto"/>
                  <w:vAlign w:val="center"/>
                </w:tcPr>
                <w:p w14:paraId="58862D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食堂</w:t>
                  </w:r>
                </w:p>
              </w:tc>
              <w:tc>
                <w:tcPr>
                  <w:tcW w:w="633" w:type="dxa"/>
                  <w:shd w:val="clear" w:color="auto" w:fill="auto"/>
                  <w:vAlign w:val="center"/>
                </w:tcPr>
                <w:p w14:paraId="0397C5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食堂油烟</w:t>
                  </w:r>
                </w:p>
              </w:tc>
              <w:tc>
                <w:tcPr>
                  <w:tcW w:w="650" w:type="dxa"/>
                  <w:shd w:val="clear" w:color="auto" w:fill="auto"/>
                  <w:vAlign w:val="center"/>
                </w:tcPr>
                <w:p w14:paraId="6768B9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油烟</w:t>
                  </w:r>
                </w:p>
              </w:tc>
              <w:tc>
                <w:tcPr>
                  <w:tcW w:w="800" w:type="dxa"/>
                  <w:shd w:val="clear" w:color="auto" w:fill="auto"/>
                  <w:vAlign w:val="center"/>
                </w:tcPr>
                <w:p w14:paraId="52CB83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系数核算法</w:t>
                  </w:r>
                </w:p>
              </w:tc>
              <w:tc>
                <w:tcPr>
                  <w:tcW w:w="617" w:type="dxa"/>
                  <w:shd w:val="clear" w:color="auto" w:fill="auto"/>
                  <w:vAlign w:val="center"/>
                </w:tcPr>
                <w:p w14:paraId="2A7F68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733" w:type="dxa"/>
                  <w:shd w:val="clear" w:color="auto" w:fill="auto"/>
                  <w:vAlign w:val="center"/>
                </w:tcPr>
                <w:p w14:paraId="4EB484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6.5625</w:t>
                  </w:r>
                </w:p>
              </w:tc>
              <w:tc>
                <w:tcPr>
                  <w:tcW w:w="883" w:type="dxa"/>
                  <w:shd w:val="clear" w:color="auto" w:fill="auto"/>
                  <w:vAlign w:val="center"/>
                </w:tcPr>
                <w:p w14:paraId="2D118C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0.0079 </w:t>
                  </w:r>
                </w:p>
              </w:tc>
              <w:tc>
                <w:tcPr>
                  <w:tcW w:w="617" w:type="dxa"/>
                  <w:shd w:val="clear" w:color="auto" w:fill="auto"/>
                  <w:vAlign w:val="center"/>
                </w:tcPr>
                <w:p w14:paraId="61DF7882">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67" w:type="dxa"/>
                  <w:shd w:val="clear" w:color="auto" w:fill="auto"/>
                  <w:vAlign w:val="center"/>
                </w:tcPr>
                <w:p w14:paraId="75834E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vertAlign w:val="baseline"/>
                      <w:lang w:val="en-US" w:eastAsia="zh-CN" w:bidi="ar"/>
                    </w:rPr>
                  </w:pPr>
                  <w:r>
                    <w:rPr>
                      <w:rFonts w:hint="eastAsia" w:ascii="宋体" w:hAnsi="宋体" w:eastAsia="宋体" w:cs="宋体"/>
                      <w:i w:val="0"/>
                      <w:iCs w:val="0"/>
                      <w:color w:val="000000"/>
                      <w:kern w:val="0"/>
                      <w:sz w:val="18"/>
                      <w:szCs w:val="18"/>
                      <w:u w:val="none"/>
                      <w:lang w:val="en-US" w:eastAsia="zh-CN" w:bidi="ar"/>
                    </w:rPr>
                    <w:t>高效静电油烟净化器</w:t>
                  </w:r>
                </w:p>
              </w:tc>
              <w:tc>
                <w:tcPr>
                  <w:tcW w:w="603" w:type="dxa"/>
                  <w:shd w:val="clear" w:color="auto" w:fill="auto"/>
                  <w:vAlign w:val="center"/>
                </w:tcPr>
                <w:p w14:paraId="2B8816A1">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647" w:type="dxa"/>
                  <w:shd w:val="clear" w:color="auto" w:fill="auto"/>
                  <w:vAlign w:val="center"/>
                </w:tcPr>
                <w:p w14:paraId="184B48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766" w:type="dxa"/>
                  <w:shd w:val="clear" w:color="auto" w:fill="auto"/>
                  <w:vAlign w:val="center"/>
                </w:tcPr>
                <w:p w14:paraId="7F1F3E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1.313 </w:t>
                  </w:r>
                </w:p>
              </w:tc>
              <w:tc>
                <w:tcPr>
                  <w:tcW w:w="817" w:type="dxa"/>
                  <w:shd w:val="clear" w:color="auto" w:fill="auto"/>
                  <w:vAlign w:val="center"/>
                </w:tcPr>
                <w:p w14:paraId="7401B8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0.00158 </w:t>
                  </w:r>
                </w:p>
              </w:tc>
              <w:tc>
                <w:tcPr>
                  <w:tcW w:w="833" w:type="dxa"/>
                  <w:shd w:val="clear" w:color="auto" w:fill="auto"/>
                  <w:vAlign w:val="center"/>
                </w:tcPr>
                <w:p w14:paraId="54883B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0.00263 </w:t>
                  </w:r>
                </w:p>
              </w:tc>
              <w:tc>
                <w:tcPr>
                  <w:tcW w:w="917" w:type="dxa"/>
                  <w:shd w:val="clear" w:color="auto" w:fill="auto"/>
                  <w:vAlign w:val="center"/>
                </w:tcPr>
                <w:p w14:paraId="10EFA5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3" w:type="dxa"/>
                  <w:shd w:val="clear" w:color="auto" w:fill="auto"/>
                  <w:vAlign w:val="center"/>
                </w:tcPr>
                <w:p w14:paraId="3C68C0BB">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4" w:type="dxa"/>
                  <w:shd w:val="clear" w:color="auto" w:fill="auto"/>
                  <w:vAlign w:val="center"/>
                </w:tcPr>
                <w:p w14:paraId="775DD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450" w:type="dxa"/>
                  <w:shd w:val="clear" w:color="auto" w:fill="auto"/>
                  <w:vAlign w:val="center"/>
                </w:tcPr>
                <w:p w14:paraId="28E56E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6" w:type="dxa"/>
                  <w:shd w:val="clear" w:color="auto" w:fill="auto"/>
                  <w:vAlign w:val="center"/>
                </w:tcPr>
                <w:p w14:paraId="505799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37" w:type="dxa"/>
                  <w:shd w:val="clear" w:color="auto" w:fill="auto"/>
                  <w:vAlign w:val="center"/>
                </w:tcPr>
                <w:p w14:paraId="4C2E89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dxa"/>
                  <w:shd w:val="clear" w:color="auto" w:fill="auto"/>
                  <w:vAlign w:val="center"/>
                </w:tcPr>
                <w:p w14:paraId="5C40590A">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bl>
          <w:p w14:paraId="15D023BE">
            <w:pPr>
              <w:pStyle w:val="109"/>
              <w:keepNext w:val="0"/>
              <w:keepLines w:val="0"/>
              <w:suppressLineNumbers w:val="0"/>
              <w:spacing w:before="157" w:beforeLines="5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由上表可知，</w:t>
            </w:r>
            <w:r>
              <w:rPr>
                <w:rFonts w:hint="eastAsia"/>
                <w:b w:val="0"/>
                <w:bCs w:val="0"/>
                <w:color w:val="auto"/>
                <w:u w:val="none"/>
                <w:lang w:val="en-US" w:eastAsia="zh-CN"/>
              </w:rPr>
              <w:t>补漆颗粒物</w:t>
            </w:r>
            <w:r>
              <w:rPr>
                <w:rFonts w:hint="default"/>
                <w:b w:val="0"/>
                <w:bCs w:val="0"/>
                <w:color w:val="auto"/>
                <w:u w:val="none"/>
                <w:lang w:val="en-US" w:eastAsia="zh-CN"/>
              </w:rPr>
              <w:t>有组织排放可满足《大气污染物综合排放标准》（GB16297-1996）限值，</w:t>
            </w:r>
            <w:r>
              <w:rPr>
                <w:rFonts w:hint="eastAsia"/>
                <w:b w:val="0"/>
                <w:bCs w:val="0"/>
                <w:color w:val="auto"/>
                <w:u w:val="none"/>
                <w:lang w:val="en-US" w:eastAsia="zh-CN"/>
              </w:rPr>
              <w:t>补漆有机废气</w:t>
            </w:r>
            <w:r>
              <w:rPr>
                <w:rFonts w:hint="default"/>
                <w:b w:val="0"/>
                <w:bCs w:val="0"/>
                <w:color w:val="auto"/>
                <w:u w:val="none"/>
                <w:lang w:val="en-US" w:eastAsia="zh-CN"/>
              </w:rPr>
              <w:t>排放可满足《表面涂装（汽车制造及维修）挥发性有机物、镍排放标准》（DB43/1356-2017）排放限值要求，本项目有组织废气均能够达标排放。</w:t>
            </w:r>
          </w:p>
          <w:p w14:paraId="07BEF011">
            <w:pPr>
              <w:keepNext/>
              <w:keepLines w:val="0"/>
              <w:pageBreakBefore w:val="0"/>
              <w:widowControl w:val="0"/>
              <w:numPr>
                <w:ilvl w:val="-1"/>
                <w:numId w:val="0"/>
              </w:numPr>
              <w:suppressLineNumbers w:val="0"/>
              <w:kinsoku/>
              <w:wordWrap/>
              <w:overflowPunct w:val="0"/>
              <w:topLinePunct w:val="0"/>
              <w:autoSpaceDE/>
              <w:autoSpaceDN/>
              <w:bidi w:val="0"/>
              <w:adjustRightInd/>
              <w:snapToGrid w:val="0"/>
              <w:spacing w:before="0" w:beforeAutospacing="0" w:after="0" w:afterAutospacing="0" w:line="240" w:lineRule="auto"/>
              <w:ind w:left="0" w:right="0" w:firstLine="480" w:firstLineChars="200"/>
              <w:jc w:val="both"/>
              <w:textAlignment w:val="auto"/>
              <w:outlineLvl w:val="0"/>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b w:val="0"/>
                <w:bCs w:val="0"/>
                <w:color w:val="auto"/>
                <w:kern w:val="2"/>
                <w:sz w:val="24"/>
                <w:szCs w:val="24"/>
                <w:u w:val="none"/>
                <w:lang w:val="en-US" w:eastAsia="zh-CN" w:bidi="ar-SA"/>
              </w:rPr>
              <w:t>（2）废气污染物治理措施基本情况</w:t>
            </w:r>
          </w:p>
          <w:p w14:paraId="07879FBC">
            <w:pPr>
              <w:keepNext/>
              <w:keepLines w:val="0"/>
              <w:pageBreakBefore w:val="0"/>
              <w:widowControl w:val="0"/>
              <w:numPr>
                <w:ilvl w:val="-1"/>
                <w:numId w:val="0"/>
              </w:numPr>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0"/>
              <w:rPr>
                <w:rFonts w:hint="eastAsia" w:ascii="Times New Roman" w:hAnsi="Times New Roman" w:eastAsia="宋体" w:cs="Times New Roman"/>
                <w:b/>
                <w:bCs/>
                <w:color w:val="auto"/>
                <w:kern w:val="2"/>
                <w:sz w:val="21"/>
                <w:szCs w:val="21"/>
                <w:u w:val="none"/>
                <w:lang w:val="en-US" w:eastAsia="zh-CN" w:bidi="ar-SA"/>
              </w:rPr>
            </w:pPr>
            <w:r>
              <w:rPr>
                <w:rFonts w:hint="eastAsia" w:ascii="Times New Roman" w:hAnsi="Times New Roman" w:eastAsia="宋体" w:cs="Times New Roman"/>
                <w:b/>
                <w:bCs/>
                <w:color w:val="auto"/>
                <w:kern w:val="2"/>
                <w:sz w:val="21"/>
                <w:szCs w:val="21"/>
                <w:u w:val="none"/>
                <w:lang w:val="en-US" w:eastAsia="zh-CN" w:bidi="ar-SA"/>
              </w:rPr>
              <w:t>表4-</w:t>
            </w:r>
            <w:r>
              <w:rPr>
                <w:rFonts w:hint="eastAsia" w:cs="Times New Roman"/>
                <w:b/>
                <w:bCs/>
                <w:color w:val="auto"/>
                <w:kern w:val="2"/>
                <w:sz w:val="21"/>
                <w:szCs w:val="21"/>
                <w:u w:val="none"/>
                <w:lang w:val="en-US" w:eastAsia="zh-CN" w:bidi="ar-SA"/>
              </w:rPr>
              <w:t>3</w:t>
            </w:r>
            <w:r>
              <w:rPr>
                <w:rFonts w:hint="eastAsia" w:ascii="Times New Roman" w:hAnsi="Times New Roman" w:eastAsia="宋体" w:cs="Times New Roman"/>
                <w:b/>
                <w:bCs/>
                <w:color w:val="auto"/>
                <w:kern w:val="2"/>
                <w:sz w:val="21"/>
                <w:szCs w:val="21"/>
                <w:u w:val="none"/>
                <w:lang w:val="en-US" w:eastAsia="zh-CN" w:bidi="ar-SA"/>
              </w:rPr>
              <w:t xml:space="preserve"> 废气污染物治理设施情况一览表</w:t>
            </w:r>
          </w:p>
          <w:tbl>
            <w:tblPr>
              <w:tblStyle w:val="24"/>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000"/>
              <w:gridCol w:w="933"/>
              <w:gridCol w:w="1598"/>
              <w:gridCol w:w="2166"/>
              <w:gridCol w:w="850"/>
              <w:gridCol w:w="934"/>
              <w:gridCol w:w="933"/>
              <w:gridCol w:w="869"/>
              <w:gridCol w:w="2631"/>
              <w:gridCol w:w="817"/>
              <w:gridCol w:w="708"/>
            </w:tblGrid>
            <w:tr w14:paraId="4456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00D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产排污环节</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9FB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污染物种类</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53C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排放形式</w:t>
                  </w:r>
                </w:p>
              </w:tc>
              <w:tc>
                <w:tcPr>
                  <w:tcW w:w="22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B4E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治理措施</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B91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是否为可行性技术</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361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排放口名称</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452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排放口编号</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1B5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排放口类型</w:t>
                  </w:r>
                </w:p>
              </w:tc>
            </w:tr>
            <w:tr w14:paraId="110C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0E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5E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31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B4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设施名称</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DC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设施工艺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C6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风量</w:t>
                  </w:r>
                  <w:r>
                    <w:rPr>
                      <w:rFonts w:hint="eastAsia" w:ascii="宋体" w:hAnsi="宋体" w:cs="宋体"/>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m</w:t>
                  </w:r>
                  <w:r>
                    <w:rPr>
                      <w:rFonts w:hint="eastAsia" w:ascii="宋体" w:hAnsi="宋体" w:eastAsia="宋体" w:cs="宋体"/>
                      <w:b/>
                      <w:bCs/>
                      <w:i w:val="0"/>
                      <w:iCs w:val="0"/>
                      <w:color w:val="000000"/>
                      <w:kern w:val="0"/>
                      <w:sz w:val="21"/>
                      <w:szCs w:val="21"/>
                      <w:u w:val="none"/>
                      <w:lang w:val="en-US" w:eastAsia="zh-CN" w:bidi="ar"/>
                    </w:rPr>
                    <w:t>³</w:t>
                  </w:r>
                  <w:r>
                    <w:rPr>
                      <w:rFonts w:hint="default" w:ascii="Times New Roman" w:hAnsi="Times New Roman" w:eastAsia="宋体" w:cs="Times New Roman"/>
                      <w:b/>
                      <w:bCs/>
                      <w:i w:val="0"/>
                      <w:iCs w:val="0"/>
                      <w:color w:val="000000"/>
                      <w:kern w:val="0"/>
                      <w:sz w:val="21"/>
                      <w:szCs w:val="21"/>
                      <w:u w:val="none"/>
                      <w:lang w:val="en-US" w:eastAsia="zh-CN" w:bidi="ar"/>
                    </w:rPr>
                    <w:t>/h</w:t>
                  </w:r>
                  <w:r>
                    <w:rPr>
                      <w:rFonts w:hint="eastAsia" w:cs="Times New Roman"/>
                      <w:b/>
                      <w:bCs/>
                      <w:i w:val="0"/>
                      <w:iCs w:val="0"/>
                      <w:color w:val="000000"/>
                      <w:kern w:val="0"/>
                      <w:sz w:val="21"/>
                      <w:szCs w:val="21"/>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4C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收集效率</w:t>
                  </w:r>
                  <w:r>
                    <w:rPr>
                      <w:rFonts w:hint="default" w:ascii="Times New Roman" w:hAnsi="Times New Roman" w:eastAsia="宋体" w:cs="Times New Roman"/>
                      <w:i w:val="0"/>
                      <w:iCs w:val="0"/>
                      <w:color w:val="000000"/>
                      <w:kern w:val="0"/>
                      <w:sz w:val="21"/>
                      <w:szCs w:val="21"/>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26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处理</w:t>
                  </w:r>
                  <w:r>
                    <w:rPr>
                      <w:rFonts w:hint="eastAsia" w:ascii="宋体" w:hAnsi="宋体" w:eastAsia="宋体" w:cs="宋体"/>
                      <w:b/>
                      <w:bCs/>
                      <w:i w:val="0"/>
                      <w:iCs w:val="0"/>
                      <w:color w:val="000000"/>
                      <w:kern w:val="0"/>
                      <w:sz w:val="21"/>
                      <w:szCs w:val="21"/>
                      <w:u w:val="none"/>
                      <w:lang w:val="en-US" w:eastAsia="zh-CN" w:bidi="ar"/>
                    </w:rPr>
                    <w:t>效率</w:t>
                  </w:r>
                  <w:r>
                    <w:rPr>
                      <w:rFonts w:hint="default" w:ascii="Times New Roman" w:hAnsi="Times New Roman" w:eastAsia="宋体" w:cs="Times New Roman"/>
                      <w:i w:val="0"/>
                      <w:iCs w:val="0"/>
                      <w:color w:val="000000"/>
                      <w:kern w:val="0"/>
                      <w:sz w:val="21"/>
                      <w:szCs w:val="21"/>
                      <w:u w:val="none"/>
                      <w:lang w:val="en-US" w:eastAsia="zh-CN" w:bidi="ar"/>
                    </w:rPr>
                    <w:t>%</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15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9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50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4BA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831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r>
            <w:tr w14:paraId="4CA1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02" w:type="pct"/>
                  <w:vMerge w:val="restart"/>
                  <w:tcBorders>
                    <w:top w:val="single" w:color="auto" w:sz="4" w:space="0"/>
                    <w:left w:val="single" w:color="auto" w:sz="4" w:space="0"/>
                    <w:right w:val="single" w:color="auto" w:sz="4" w:space="0"/>
                  </w:tcBorders>
                  <w:shd w:val="clear" w:color="auto" w:fill="auto"/>
                  <w:vAlign w:val="center"/>
                </w:tcPr>
                <w:p w14:paraId="39F91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补漆</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58353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颗粒物</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60A60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有组织</w:t>
                  </w:r>
                </w:p>
              </w:tc>
              <w:tc>
                <w:tcPr>
                  <w:tcW w:w="5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4E3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过滤棉</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二级活性炭吸附处理</w:t>
                  </w:r>
                </w:p>
              </w:tc>
              <w:tc>
                <w:tcPr>
                  <w:tcW w:w="7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E87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过滤棉</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二级活性炭吸附处理</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21CD5E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3000</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58F776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553481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28F11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919" w:type="pct"/>
                  <w:tcBorders>
                    <w:top w:val="single" w:color="auto" w:sz="4" w:space="0"/>
                    <w:left w:val="single" w:color="auto" w:sz="4" w:space="0"/>
                    <w:bottom w:val="single" w:color="auto" w:sz="4" w:space="0"/>
                    <w:right w:val="single" w:color="auto" w:sz="4" w:space="0"/>
                  </w:tcBorders>
                  <w:shd w:val="clear" w:color="auto" w:fill="auto"/>
                  <w:vAlign w:val="center"/>
                </w:tcPr>
                <w:p w14:paraId="182F7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补漆废气排放口</w:t>
                  </w:r>
                </w:p>
              </w:tc>
              <w:tc>
                <w:tcPr>
                  <w:tcW w:w="2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1529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DA00</w:t>
                  </w:r>
                  <w:r>
                    <w:rPr>
                      <w:rFonts w:hint="eastAsia" w:cs="Times New Roman"/>
                      <w:i w:val="0"/>
                      <w:iCs w:val="0"/>
                      <w:color w:val="000000"/>
                      <w:kern w:val="0"/>
                      <w:sz w:val="21"/>
                      <w:szCs w:val="21"/>
                      <w:u w:val="none"/>
                      <w:lang w:val="en-US" w:eastAsia="zh-CN" w:bidi="ar"/>
                    </w:rPr>
                    <w:t>1</w:t>
                  </w:r>
                </w:p>
              </w:tc>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393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一般排放口</w:t>
                  </w:r>
                </w:p>
              </w:tc>
            </w:tr>
            <w:tr w14:paraId="4AB4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02" w:type="pct"/>
                  <w:vMerge w:val="continue"/>
                  <w:tcBorders>
                    <w:left w:val="single" w:color="auto" w:sz="4" w:space="0"/>
                    <w:bottom w:val="single" w:color="auto" w:sz="4" w:space="0"/>
                    <w:right w:val="single" w:color="auto" w:sz="4" w:space="0"/>
                  </w:tcBorders>
                  <w:shd w:val="clear" w:color="auto" w:fill="auto"/>
                  <w:vAlign w:val="center"/>
                </w:tcPr>
                <w:p w14:paraId="1CE802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7BD11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VOCs</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6018E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有组织</w:t>
                  </w:r>
                </w:p>
              </w:tc>
              <w:tc>
                <w:tcPr>
                  <w:tcW w:w="5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D59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C34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highlight w:val="none"/>
                      <w:u w:val="none"/>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16FE45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3000</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110D82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366198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32.8</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2DA06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c>
                <w:tcPr>
                  <w:tcW w:w="919" w:type="pct"/>
                  <w:tcBorders>
                    <w:top w:val="single" w:color="auto" w:sz="4" w:space="0"/>
                    <w:left w:val="single" w:color="auto" w:sz="4" w:space="0"/>
                    <w:bottom w:val="single" w:color="auto" w:sz="4" w:space="0"/>
                    <w:right w:val="single" w:color="auto" w:sz="4" w:space="0"/>
                  </w:tcBorders>
                  <w:shd w:val="clear" w:color="auto" w:fill="auto"/>
                  <w:vAlign w:val="center"/>
                </w:tcPr>
                <w:p w14:paraId="6DF93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补漆废气排放口</w:t>
                  </w:r>
                </w:p>
              </w:tc>
              <w:tc>
                <w:tcPr>
                  <w:tcW w:w="2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E6D6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2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9C2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057ABA80">
            <w:pPr>
              <w:keepNext/>
              <w:keepLines w:val="0"/>
              <w:widowControl w:val="0"/>
              <w:numPr>
                <w:ilvl w:val="-1"/>
                <w:numId w:val="0"/>
              </w:numPr>
              <w:suppressLineNumbers w:val="0"/>
              <w:overflowPunct w:val="0"/>
              <w:snapToGrid w:val="0"/>
              <w:spacing w:before="157" w:beforeLines="50" w:beforeAutospacing="0" w:after="0" w:afterAutospacing="0" w:line="360" w:lineRule="auto"/>
              <w:ind w:left="0" w:right="0" w:firstLine="480" w:firstLineChars="200"/>
              <w:jc w:val="both"/>
              <w:outlineLvl w:val="0"/>
              <w:rPr>
                <w:rFonts w:hint="default" w:ascii="Times New Roman" w:hAnsi="Times New Roman" w:eastAsia="宋体" w:cs="Times New Roman"/>
                <w:b w:val="0"/>
                <w:bCs w:val="0"/>
                <w:color w:val="auto"/>
                <w:kern w:val="2"/>
                <w:sz w:val="24"/>
                <w:szCs w:val="24"/>
                <w:u w:val="none"/>
                <w:lang w:val="en-US" w:eastAsia="zh-CN" w:bidi="ar-SA"/>
              </w:rPr>
            </w:pPr>
            <w:r>
              <w:rPr>
                <w:rFonts w:hint="eastAsia" w:ascii="Times New Roman" w:hAnsi="Times New Roman" w:eastAsia="宋体" w:cs="Times New Roman"/>
                <w:b w:val="0"/>
                <w:bCs w:val="0"/>
                <w:color w:val="auto"/>
                <w:kern w:val="2"/>
                <w:sz w:val="24"/>
                <w:szCs w:val="24"/>
                <w:u w:val="none"/>
                <w:lang w:val="en-US" w:eastAsia="zh-CN" w:bidi="ar-SA"/>
              </w:rPr>
              <w:t>（3）废气排放口基本情况</w:t>
            </w:r>
          </w:p>
          <w:p w14:paraId="7449EFF2">
            <w:pPr>
              <w:keepNext/>
              <w:keepLines w:val="0"/>
              <w:widowControl w:val="0"/>
              <w:numPr>
                <w:ilvl w:val="-1"/>
                <w:numId w:val="0"/>
              </w:numPr>
              <w:suppressLineNumbers w:val="0"/>
              <w:overflowPunct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b w:val="0"/>
                <w:bCs w:val="0"/>
                <w:color w:val="auto"/>
                <w:kern w:val="2"/>
                <w:sz w:val="24"/>
                <w:szCs w:val="24"/>
                <w:highlight w:val="yellow"/>
                <w:u w:val="none"/>
                <w:lang w:val="en-US" w:eastAsia="zh-CN" w:bidi="ar-SA"/>
              </w:rPr>
            </w:pPr>
            <w:r>
              <w:rPr>
                <w:rFonts w:hint="eastAsia" w:ascii="Times New Roman" w:hAnsi="Times New Roman" w:eastAsia="宋体" w:cs="Times New Roman"/>
                <w:b/>
                <w:bCs/>
                <w:color w:val="auto"/>
                <w:kern w:val="2"/>
                <w:sz w:val="21"/>
                <w:szCs w:val="21"/>
                <w:highlight w:val="none"/>
                <w:u w:val="none"/>
                <w:lang w:val="en-US" w:eastAsia="zh-CN" w:bidi="ar-SA"/>
              </w:rPr>
              <w:t>表4-</w:t>
            </w:r>
            <w:r>
              <w:rPr>
                <w:rFonts w:hint="eastAsia" w:cs="Times New Roman"/>
                <w:b/>
                <w:bCs/>
                <w:color w:val="auto"/>
                <w:kern w:val="2"/>
                <w:sz w:val="21"/>
                <w:szCs w:val="21"/>
                <w:highlight w:val="none"/>
                <w:u w:val="none"/>
                <w:lang w:val="en-US" w:eastAsia="zh-CN" w:bidi="ar-SA"/>
              </w:rPr>
              <w:t>4</w:t>
            </w:r>
            <w:r>
              <w:rPr>
                <w:rFonts w:hint="eastAsia" w:ascii="Times New Roman" w:hAnsi="Times New Roman" w:eastAsia="宋体" w:cs="Times New Roman"/>
                <w:b/>
                <w:bCs/>
                <w:color w:val="auto"/>
                <w:kern w:val="2"/>
                <w:sz w:val="21"/>
                <w:szCs w:val="21"/>
                <w:highlight w:val="none"/>
                <w:u w:val="none"/>
                <w:lang w:val="en-US" w:eastAsia="zh-CN" w:bidi="ar-SA"/>
              </w:rPr>
              <w:t xml:space="preserve"> 排放口基本情况一览表</w:t>
            </w:r>
          </w:p>
          <w:tbl>
            <w:tblPr>
              <w:tblStyle w:val="2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8"/>
              <w:gridCol w:w="2789"/>
              <w:gridCol w:w="2160"/>
              <w:gridCol w:w="2340"/>
              <w:gridCol w:w="1755"/>
              <w:gridCol w:w="3786"/>
            </w:tblGrid>
            <w:tr w14:paraId="1C60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6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编号</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F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名称</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7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排气筒高度（</w:t>
                  </w:r>
                  <w:r>
                    <w:rPr>
                      <w:rFonts w:hint="default" w:ascii="Times New Roman" w:hAnsi="Times New Roman" w:eastAsia="宋体" w:cs="Times New Roman"/>
                      <w:b/>
                      <w:bCs/>
                      <w:i w:val="0"/>
                      <w:iCs w:val="0"/>
                      <w:color w:val="000000"/>
                      <w:kern w:val="0"/>
                      <w:sz w:val="21"/>
                      <w:szCs w:val="21"/>
                      <w:u w:val="none"/>
                      <w:vertAlign w:val="baseline"/>
                      <w:lang w:val="en-US" w:eastAsia="zh-CN" w:bidi="ar"/>
                    </w:rPr>
                    <w:t>m</w:t>
                  </w:r>
                  <w:r>
                    <w:rPr>
                      <w:rFonts w:hint="eastAsia" w:ascii="宋体" w:hAnsi="宋体" w:eastAsia="宋体" w:cs="宋体"/>
                      <w:b/>
                      <w:bCs/>
                      <w:i w:val="0"/>
                      <w:iCs w:val="0"/>
                      <w:color w:val="000000"/>
                      <w:kern w:val="0"/>
                      <w:sz w:val="21"/>
                      <w:szCs w:val="21"/>
                      <w:u w:val="none"/>
                      <w:vertAlign w:val="baseline"/>
                      <w:lang w:val="en-US" w:eastAsia="zh-CN" w:bidi="ar"/>
                    </w:rPr>
                    <w:t>）</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4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排气筒出口内径（</w:t>
                  </w:r>
                  <w:r>
                    <w:rPr>
                      <w:rFonts w:hint="default" w:ascii="Times New Roman" w:hAnsi="Times New Roman" w:eastAsia="宋体" w:cs="Times New Roman"/>
                      <w:b/>
                      <w:bCs/>
                      <w:i w:val="0"/>
                      <w:iCs w:val="0"/>
                      <w:color w:val="000000"/>
                      <w:kern w:val="0"/>
                      <w:sz w:val="21"/>
                      <w:szCs w:val="21"/>
                      <w:u w:val="none"/>
                      <w:vertAlign w:val="baseline"/>
                      <w:lang w:val="en-US" w:eastAsia="zh-CN" w:bidi="ar"/>
                    </w:rPr>
                    <w:t>m</w:t>
                  </w:r>
                  <w:r>
                    <w:rPr>
                      <w:rFonts w:hint="eastAsia" w:ascii="宋体" w:hAnsi="宋体" w:eastAsia="宋体" w:cs="宋体"/>
                      <w:b/>
                      <w:bCs/>
                      <w:i w:val="0"/>
                      <w:iCs w:val="0"/>
                      <w:color w:val="000000"/>
                      <w:kern w:val="0"/>
                      <w:sz w:val="21"/>
                      <w:szCs w:val="21"/>
                      <w:u w:val="none"/>
                      <w:vertAlign w:val="baseline"/>
                      <w:lang w:val="en-US" w:eastAsia="zh-CN" w:bidi="ar"/>
                    </w:rPr>
                    <w:t>）</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5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烟气温度（</w:t>
                  </w:r>
                  <w:r>
                    <w:rPr>
                      <w:rFonts w:hint="default" w:ascii="Times New Roman" w:hAnsi="Times New Roman" w:eastAsia="宋体" w:cs="Times New Roman"/>
                      <w:b/>
                      <w:bCs/>
                      <w:i w:val="0"/>
                      <w:iCs w:val="0"/>
                      <w:color w:val="000000"/>
                      <w:kern w:val="0"/>
                      <w:sz w:val="21"/>
                      <w:szCs w:val="21"/>
                      <w:u w:val="none"/>
                      <w:vertAlign w:val="baseline"/>
                      <w:lang w:val="en-US" w:eastAsia="zh-CN" w:bidi="ar"/>
                    </w:rPr>
                    <w:t>℃</w:t>
                  </w:r>
                  <w:r>
                    <w:rPr>
                      <w:rFonts w:hint="eastAsia" w:ascii="宋体" w:hAnsi="宋体" w:eastAsia="宋体" w:cs="宋体"/>
                      <w:b/>
                      <w:bCs/>
                      <w:i w:val="0"/>
                      <w:iCs w:val="0"/>
                      <w:color w:val="000000"/>
                      <w:kern w:val="0"/>
                      <w:sz w:val="21"/>
                      <w:szCs w:val="21"/>
                      <w:u w:val="none"/>
                      <w:vertAlign w:val="baseline"/>
                      <w:lang w:val="en-US" w:eastAsia="zh-CN" w:bidi="ar"/>
                    </w:rPr>
                    <w:t>）</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C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vertAlign w:val="baseline"/>
                      <w:lang w:val="en-US" w:eastAsia="zh-CN" w:bidi="ar"/>
                    </w:rPr>
                    <w:t>排放口地理坐标</w:t>
                  </w:r>
                </w:p>
              </w:tc>
            </w:tr>
            <w:tr w14:paraId="0836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A3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DA00</w:t>
                  </w:r>
                  <w:r>
                    <w:rPr>
                      <w:rFonts w:hint="eastAsia" w:cs="Times New Roman"/>
                      <w:i w:val="0"/>
                      <w:iCs w:val="0"/>
                      <w:color w:val="000000"/>
                      <w:kern w:val="0"/>
                      <w:sz w:val="21"/>
                      <w:szCs w:val="21"/>
                      <w:u w:val="none"/>
                      <w:vertAlign w:val="baseline"/>
                      <w:lang w:val="en-US" w:eastAsia="zh-CN" w:bidi="ar"/>
                    </w:rPr>
                    <w:t>1</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8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cs="宋体"/>
                      <w:i w:val="0"/>
                      <w:iCs w:val="0"/>
                      <w:color w:val="000000"/>
                      <w:kern w:val="0"/>
                      <w:sz w:val="21"/>
                      <w:szCs w:val="21"/>
                      <w:u w:val="none"/>
                      <w:vertAlign w:val="baseline"/>
                      <w:lang w:val="en-US" w:eastAsia="zh-CN" w:bidi="ar"/>
                    </w:rPr>
                    <w:t>补</w:t>
                  </w:r>
                  <w:r>
                    <w:rPr>
                      <w:rFonts w:hint="eastAsia" w:ascii="宋体" w:hAnsi="宋体" w:eastAsia="宋体" w:cs="宋体"/>
                      <w:i w:val="0"/>
                      <w:iCs w:val="0"/>
                      <w:color w:val="000000"/>
                      <w:kern w:val="0"/>
                      <w:sz w:val="21"/>
                      <w:szCs w:val="21"/>
                      <w:u w:val="none"/>
                      <w:vertAlign w:val="baseline"/>
                      <w:lang w:val="en-US" w:eastAsia="zh-CN" w:bidi="ar"/>
                    </w:rPr>
                    <w:t>漆废气排放口</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DB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15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607E">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000000"/>
                      <w:kern w:val="0"/>
                      <w:sz w:val="21"/>
                      <w:szCs w:val="21"/>
                      <w:u w:val="none"/>
                      <w:vertAlign w:val="baseline"/>
                      <w:lang w:val="en-US" w:eastAsia="zh-CN" w:bidi="ar"/>
                    </w:rPr>
                  </w:pPr>
                  <w:r>
                    <w:rPr>
                      <w:rFonts w:hint="eastAsia" w:cs="Times New Roman"/>
                      <w:i w:val="0"/>
                      <w:iCs w:val="0"/>
                      <w:color w:val="000000"/>
                      <w:kern w:val="0"/>
                      <w:sz w:val="21"/>
                      <w:szCs w:val="21"/>
                      <w:u w:val="none"/>
                      <w:vertAlign w:val="baseline"/>
                      <w:lang w:val="en-US" w:eastAsia="zh-CN" w:bidi="ar"/>
                    </w:rPr>
                    <w:t>0.4</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74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25</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B8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E113°37′17.902″，N27°46′6.860″</w:t>
                  </w:r>
                </w:p>
              </w:tc>
            </w:tr>
          </w:tbl>
          <w:p w14:paraId="74C527C5">
            <w:pPr>
              <w:keepNext/>
              <w:keepLines w:val="0"/>
              <w:widowControl w:val="0"/>
              <w:numPr>
                <w:ilvl w:val="-1"/>
                <w:numId w:val="0"/>
              </w:numPr>
              <w:suppressLineNumbers w:val="0"/>
              <w:overflowPunct w:val="0"/>
              <w:snapToGrid w:val="0"/>
              <w:spacing w:before="157" w:beforeLines="50" w:beforeAutospacing="0" w:after="0" w:afterAutospacing="0" w:line="360" w:lineRule="auto"/>
              <w:ind w:left="0" w:right="0" w:firstLine="480" w:firstLineChars="200"/>
              <w:jc w:val="both"/>
              <w:outlineLvl w:val="0"/>
              <w:rPr>
                <w:rFonts w:hint="eastAsia" w:ascii="Times New Roman" w:hAnsi="Times New Roman" w:eastAsia="宋体" w:cs="Times New Roman"/>
                <w:b w:val="0"/>
                <w:bCs w:val="0"/>
                <w:color w:val="auto"/>
                <w:kern w:val="2"/>
                <w:sz w:val="24"/>
                <w:szCs w:val="24"/>
                <w:u w:val="none"/>
                <w:lang w:val="en-US" w:eastAsia="zh-CN" w:bidi="ar-SA"/>
              </w:rPr>
            </w:pPr>
            <w:r>
              <w:rPr>
                <w:rFonts w:hint="eastAsia" w:ascii="Times New Roman" w:hAnsi="Times New Roman" w:eastAsia="宋体" w:cs="Times New Roman"/>
                <w:b w:val="0"/>
                <w:bCs w:val="0"/>
                <w:color w:val="auto"/>
                <w:kern w:val="2"/>
                <w:sz w:val="24"/>
                <w:szCs w:val="24"/>
                <w:u w:val="none"/>
                <w:lang w:val="en-US" w:eastAsia="zh-CN" w:bidi="ar-SA"/>
              </w:rPr>
              <w:t>（4）废气污染源非正常排放情况</w:t>
            </w:r>
          </w:p>
          <w:p w14:paraId="2D494552">
            <w:pPr>
              <w:keepNext/>
              <w:keepLines w:val="0"/>
              <w:widowControl w:val="0"/>
              <w:numPr>
                <w:ilvl w:val="-1"/>
                <w:numId w:val="0"/>
              </w:numPr>
              <w:suppressLineNumbers w:val="0"/>
              <w:overflowPunct w:val="0"/>
              <w:snapToGrid w:val="0"/>
              <w:spacing w:before="0" w:beforeAutospacing="0" w:after="0" w:afterAutospacing="0" w:line="240" w:lineRule="auto"/>
              <w:ind w:left="0" w:right="0" w:firstLine="0" w:firstLineChars="0"/>
              <w:jc w:val="center"/>
              <w:outlineLvl w:val="0"/>
              <w:rPr>
                <w:rFonts w:hint="eastAsia" w:ascii="Times New Roman" w:hAnsi="Times New Roman" w:eastAsia="宋体" w:cs="Times New Roman"/>
                <w:b w:val="0"/>
                <w:bCs w:val="0"/>
                <w:color w:val="auto"/>
                <w:kern w:val="2"/>
                <w:sz w:val="24"/>
                <w:szCs w:val="24"/>
                <w:u w:val="none"/>
                <w:lang w:val="en-US" w:eastAsia="zh-CN" w:bidi="ar-SA"/>
              </w:rPr>
            </w:pPr>
            <w:r>
              <w:rPr>
                <w:rFonts w:hint="eastAsia" w:ascii="Times New Roman" w:hAnsi="Times New Roman" w:eastAsia="宋体" w:cs="Times New Roman"/>
                <w:b/>
                <w:bCs/>
                <w:color w:val="auto"/>
                <w:kern w:val="2"/>
                <w:sz w:val="21"/>
                <w:szCs w:val="21"/>
                <w:u w:val="none"/>
                <w:lang w:val="en-US" w:eastAsia="zh-CN" w:bidi="ar-SA"/>
              </w:rPr>
              <w:t>表4-</w:t>
            </w:r>
            <w:r>
              <w:rPr>
                <w:rFonts w:hint="eastAsia" w:cs="Times New Roman"/>
                <w:b/>
                <w:bCs/>
                <w:color w:val="auto"/>
                <w:kern w:val="2"/>
                <w:sz w:val="21"/>
                <w:szCs w:val="21"/>
                <w:u w:val="none"/>
                <w:lang w:val="en-US" w:eastAsia="zh-CN" w:bidi="ar-SA"/>
              </w:rPr>
              <w:t>5</w:t>
            </w:r>
            <w:r>
              <w:rPr>
                <w:rFonts w:hint="eastAsia" w:ascii="Times New Roman" w:hAnsi="Times New Roman" w:eastAsia="宋体" w:cs="Times New Roman"/>
                <w:b/>
                <w:bCs/>
                <w:color w:val="auto"/>
                <w:kern w:val="2"/>
                <w:sz w:val="21"/>
                <w:szCs w:val="21"/>
                <w:u w:val="none"/>
                <w:lang w:val="en-US" w:eastAsia="zh-CN" w:bidi="ar-SA"/>
              </w:rPr>
              <w:t xml:space="preserve"> 废气污染源非正常排放情况</w:t>
            </w: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2109"/>
              <w:gridCol w:w="1385"/>
              <w:gridCol w:w="1203"/>
              <w:gridCol w:w="2662"/>
              <w:gridCol w:w="1706"/>
              <w:gridCol w:w="1153"/>
              <w:gridCol w:w="1383"/>
              <w:gridCol w:w="2034"/>
            </w:tblGrid>
            <w:tr w14:paraId="2E04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0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1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污染源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B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非正常排放原因</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9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污染物</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5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非正常排放浓度</w:t>
                  </w:r>
                  <w:r>
                    <w:rPr>
                      <w:rFonts w:hint="default" w:ascii="Times New Roman" w:hAnsi="Times New Roman" w:eastAsia="宋体" w:cs="Times New Roman"/>
                      <w:b/>
                      <w:bCs/>
                      <w:i w:val="0"/>
                      <w:iCs w:val="0"/>
                      <w:color w:val="000000"/>
                      <w:kern w:val="0"/>
                      <w:sz w:val="21"/>
                      <w:szCs w:val="21"/>
                      <w:u w:val="none"/>
                      <w:lang w:val="en-US" w:eastAsia="zh-CN" w:bidi="ar"/>
                    </w:rPr>
                    <w:t xml:space="preserve"> mg/m³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0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非正常排放速率</w:t>
                  </w:r>
                  <w:r>
                    <w:rPr>
                      <w:rFonts w:hint="default" w:ascii="Times New Roman" w:hAnsi="Times New Roman" w:eastAsia="宋体" w:cs="Times New Roman"/>
                      <w:b/>
                      <w:bCs/>
                      <w:i w:val="0"/>
                      <w:iCs w:val="0"/>
                      <w:color w:val="000000"/>
                      <w:kern w:val="0"/>
                      <w:sz w:val="21"/>
                      <w:szCs w:val="21"/>
                      <w:u w:val="none"/>
                      <w:lang w:val="en-US" w:eastAsia="zh-CN" w:bidi="ar"/>
                    </w:rPr>
                    <w:t>/kg/h</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B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单次持续时间</w:t>
                  </w:r>
                  <w:r>
                    <w:rPr>
                      <w:rFonts w:hint="default" w:ascii="Times New Roman" w:hAnsi="Times New Roman" w:eastAsia="宋体" w:cs="Times New Roman"/>
                      <w:b/>
                      <w:bCs/>
                      <w:i w:val="0"/>
                      <w:iCs w:val="0"/>
                      <w:color w:val="000000"/>
                      <w:kern w:val="0"/>
                      <w:sz w:val="21"/>
                      <w:szCs w:val="21"/>
                      <w:u w:val="none"/>
                      <w:lang w:val="en-US" w:eastAsia="zh-CN" w:bidi="ar"/>
                    </w:rPr>
                    <w:t>/h</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F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年发生频次</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次</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E4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应急措施</w:t>
                  </w:r>
                </w:p>
              </w:tc>
            </w:tr>
            <w:tr w14:paraId="4D69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0" w:type="pct"/>
                  <w:vMerge w:val="restart"/>
                  <w:tcBorders>
                    <w:top w:val="single" w:color="auto" w:sz="4" w:space="0"/>
                    <w:left w:val="single" w:color="auto" w:sz="4" w:space="0"/>
                    <w:right w:val="single" w:color="auto" w:sz="4" w:space="0"/>
                  </w:tcBorders>
                  <w:shd w:val="clear" w:color="auto" w:fill="auto"/>
                  <w:vAlign w:val="center"/>
                </w:tcPr>
                <w:p w14:paraId="067291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737" w:type="pct"/>
                  <w:vMerge w:val="restart"/>
                  <w:tcBorders>
                    <w:top w:val="single" w:color="auto" w:sz="4" w:space="0"/>
                    <w:left w:val="single" w:color="auto" w:sz="4" w:space="0"/>
                    <w:right w:val="single" w:color="auto" w:sz="4" w:space="0"/>
                  </w:tcBorders>
                  <w:shd w:val="clear" w:color="auto" w:fill="auto"/>
                  <w:vAlign w:val="center"/>
                </w:tcPr>
                <w:p w14:paraId="26207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补漆废气排放口</w:t>
                  </w:r>
                </w:p>
              </w:tc>
              <w:tc>
                <w:tcPr>
                  <w:tcW w:w="4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995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废气处理设施失效</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5829C9C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颗粒物</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DFB1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8.9375</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31142A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0.0268125</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94ED6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1DBF0C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11" w:type="pct"/>
                  <w:vMerge w:val="restart"/>
                  <w:tcBorders>
                    <w:top w:val="single" w:color="auto" w:sz="4" w:space="0"/>
                    <w:left w:val="single" w:color="000000" w:sz="4" w:space="0"/>
                    <w:right w:val="single" w:color="000000" w:sz="4" w:space="0"/>
                  </w:tcBorders>
                  <w:shd w:val="clear" w:color="auto" w:fill="auto"/>
                  <w:vAlign w:val="center"/>
                </w:tcPr>
                <w:p w14:paraId="4FEB8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停止生产，对废气处理设备进行检修及维护</w:t>
                  </w:r>
                </w:p>
              </w:tc>
            </w:tr>
            <w:tr w14:paraId="5984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0" w:type="pct"/>
                  <w:vMerge w:val="continue"/>
                  <w:tcBorders>
                    <w:left w:val="single" w:color="auto" w:sz="4" w:space="0"/>
                    <w:bottom w:val="single" w:color="auto" w:sz="4" w:space="0"/>
                    <w:right w:val="single" w:color="auto" w:sz="4" w:space="0"/>
                  </w:tcBorders>
                  <w:shd w:val="clear" w:color="auto" w:fill="auto"/>
                  <w:vAlign w:val="center"/>
                </w:tcPr>
                <w:p w14:paraId="479F5E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37" w:type="pct"/>
                  <w:vMerge w:val="continue"/>
                  <w:tcBorders>
                    <w:left w:val="single" w:color="auto" w:sz="4" w:space="0"/>
                    <w:bottom w:val="single" w:color="auto" w:sz="4" w:space="0"/>
                    <w:right w:val="single" w:color="auto" w:sz="4" w:space="0"/>
                  </w:tcBorders>
                  <w:shd w:val="clear" w:color="auto" w:fill="auto"/>
                  <w:vAlign w:val="center"/>
                </w:tcPr>
                <w:p w14:paraId="45198C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p>
              </w:tc>
              <w:tc>
                <w:tcPr>
                  <w:tcW w:w="4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617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549FFD3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VOCs</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016DDD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48.75 </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1C609F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0.1463 </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94B81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0050F4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11" w:type="pct"/>
                  <w:vMerge w:val="continue"/>
                  <w:tcBorders>
                    <w:left w:val="single" w:color="000000" w:sz="4" w:space="0"/>
                    <w:bottom w:val="single" w:color="auto" w:sz="4" w:space="0"/>
                    <w:right w:val="single" w:color="000000" w:sz="4" w:space="0"/>
                  </w:tcBorders>
                  <w:shd w:val="clear" w:color="auto" w:fill="auto"/>
                  <w:vAlign w:val="center"/>
                </w:tcPr>
                <w:p w14:paraId="0A2EF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2D670D1">
            <w:pPr>
              <w:pStyle w:val="2"/>
              <w:keepLines w:val="0"/>
              <w:numPr>
                <w:ilvl w:val="-1"/>
                <w:numId w:val="0"/>
              </w:numPr>
              <w:suppressLineNumbers w:val="0"/>
              <w:spacing w:before="0" w:beforeAutospacing="0" w:after="0" w:afterAutospacing="0"/>
              <w:ind w:left="0" w:right="0" w:firstLine="0" w:firstLineChars="0"/>
              <w:rPr>
                <w:rFonts w:hint="default"/>
                <w:b w:val="0"/>
                <w:bCs w:val="0"/>
                <w:color w:val="auto"/>
                <w:kern w:val="2"/>
                <w:sz w:val="24"/>
                <w:szCs w:val="24"/>
                <w:u w:val="none"/>
                <w:lang w:val="en-US" w:eastAsia="zh-CN"/>
              </w:rPr>
            </w:pPr>
          </w:p>
        </w:tc>
      </w:tr>
    </w:tbl>
    <w:p w14:paraId="7105BF5D">
      <w:pPr>
        <w:rPr>
          <w:rFonts w:ascii="Times New Roman" w:hAnsi="Times New Roman"/>
          <w:b/>
          <w:bCs/>
          <w:snapToGrid w:val="0"/>
          <w:color w:val="auto"/>
          <w:sz w:val="30"/>
          <w:szCs w:val="30"/>
        </w:rPr>
        <w:sectPr>
          <w:type w:val="continuous"/>
          <w:pgSz w:w="16838" w:h="11906" w:orient="landscape"/>
          <w:pgMar w:top="1531" w:right="1440" w:bottom="1531" w:left="1440" w:header="851" w:footer="851" w:gutter="0"/>
          <w:pgNumType w:fmt="decimal"/>
          <w:cols w:space="720" w:num="1"/>
          <w:docGrid w:linePitch="312" w:charSpace="0"/>
        </w:sectPr>
      </w:pPr>
    </w:p>
    <w:tbl>
      <w:tblPr>
        <w:tblStyle w:val="24"/>
        <w:tblW w:w="50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9"/>
        <w:gridCol w:w="8745"/>
      </w:tblGrid>
      <w:tr w14:paraId="1098E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60" w:type="pct"/>
            <w:noWrap w:val="0"/>
            <w:tcMar>
              <w:left w:w="28" w:type="dxa"/>
              <w:right w:w="28" w:type="dxa"/>
            </w:tcMar>
            <w:vAlign w:val="center"/>
          </w:tcPr>
          <w:p w14:paraId="2487BA5F">
            <w:pPr>
              <w:pStyle w:val="109"/>
              <w:keepNext w:val="0"/>
              <w:keepLines w:val="0"/>
              <w:suppressLineNumbers w:val="0"/>
              <w:spacing w:before="0" w:beforeAutospacing="0" w:after="0" w:afterAutospacing="0"/>
              <w:ind w:left="0" w:right="0" w:firstLine="0" w:firstLineChars="0"/>
              <w:jc w:val="both"/>
              <w:rPr>
                <w:rFonts w:hint="eastAsia" w:hAnsi="Times New Roman"/>
                <w:snapToGrid w:val="0"/>
                <w:color w:val="auto"/>
                <w:u w:val="none"/>
                <w:lang w:val="en-US" w:eastAsia="zh-CN"/>
              </w:rPr>
            </w:pPr>
          </w:p>
        </w:tc>
        <w:tc>
          <w:tcPr>
            <w:tcW w:w="4839" w:type="pct"/>
            <w:noWrap w:val="0"/>
            <w:vAlign w:val="top"/>
          </w:tcPr>
          <w:p w14:paraId="7900E801">
            <w:pPr>
              <w:keepNext w:val="0"/>
              <w:keepLines w:val="0"/>
              <w:widowControl w:val="0"/>
              <w:suppressLineNumbers w:val="0"/>
              <w:spacing w:before="157" w:beforeLines="50" w:beforeAutospacing="0" w:after="0" w:afterAutospacing="0" w:line="360" w:lineRule="auto"/>
              <w:ind w:left="0" w:right="0" w:firstLine="482" w:firstLineChars="200"/>
              <w:jc w:val="both"/>
              <w:rPr>
                <w:rFonts w:hint="eastAsia" w:ascii="Times New Roman" w:hAnsi="宋体" w:eastAsia="宋体" w:cs="Times New Roman"/>
                <w:b/>
                <w:bCs/>
                <w:color w:val="auto"/>
                <w:kern w:val="2"/>
                <w:sz w:val="24"/>
                <w:szCs w:val="24"/>
                <w:u w:val="none"/>
                <w:lang w:val="en-US" w:eastAsia="zh-CN" w:bidi="ar-SA"/>
              </w:rPr>
            </w:pPr>
            <w:r>
              <w:rPr>
                <w:rFonts w:hint="eastAsia" w:ascii="Times New Roman" w:hAnsi="宋体" w:eastAsia="宋体" w:cs="Times New Roman"/>
                <w:b/>
                <w:bCs/>
                <w:color w:val="auto"/>
                <w:kern w:val="2"/>
                <w:sz w:val="24"/>
                <w:szCs w:val="24"/>
                <w:u w:val="none"/>
                <w:lang w:val="en-US" w:eastAsia="zh-CN" w:bidi="ar-SA"/>
              </w:rPr>
              <w:t>1.3废气污染防治措施可行性分析及其影响分析</w:t>
            </w:r>
          </w:p>
          <w:p w14:paraId="22F3CE6B">
            <w:pPr>
              <w:pStyle w:val="109"/>
              <w:keepNext w:val="0"/>
              <w:keepLines w:val="0"/>
              <w:suppressLineNumbers w:val="0"/>
              <w:spacing w:before="0" w:beforeLines="0" w:beforeAutospacing="0" w:after="0" w:afterAutospacing="0" w:line="360" w:lineRule="auto"/>
              <w:ind w:left="0" w:right="0" w:firstLine="480"/>
              <w:rPr>
                <w:rFonts w:hint="eastAsia"/>
                <w:b w:val="0"/>
                <w:bCs w:val="0"/>
                <w:color w:val="auto"/>
                <w:u w:val="none"/>
                <w:lang w:val="en-US" w:eastAsia="zh-CN"/>
              </w:rPr>
            </w:pPr>
            <w:r>
              <w:rPr>
                <w:rFonts w:hint="eastAsia"/>
                <w:b w:val="0"/>
                <w:bCs w:val="0"/>
                <w:color w:val="auto"/>
                <w:u w:val="none"/>
                <w:lang w:val="en-US" w:eastAsia="zh-CN"/>
              </w:rPr>
              <w:t>①金属加工粉尘</w:t>
            </w:r>
          </w:p>
          <w:p w14:paraId="16EF1A2D">
            <w:pPr>
              <w:pStyle w:val="109"/>
              <w:keepNext w:val="0"/>
              <w:keepLines w:val="0"/>
              <w:suppressLineNumbers w:val="0"/>
              <w:spacing w:before="0" w:beforeLines="0" w:beforeAutospacing="0" w:after="0" w:afterAutospacing="0" w:line="360" w:lineRule="auto"/>
              <w:ind w:left="0" w:right="0" w:firstLine="480"/>
              <w:rPr>
                <w:rFonts w:hint="default"/>
                <w:b w:val="0"/>
                <w:bCs w:val="0"/>
                <w:color w:val="auto"/>
                <w:u w:val="none"/>
                <w:lang w:val="en-US" w:eastAsia="zh-CN"/>
              </w:rPr>
            </w:pPr>
            <w:r>
              <w:rPr>
                <w:rFonts w:hint="default"/>
                <w:b w:val="0"/>
                <w:bCs w:val="0"/>
                <w:color w:val="auto"/>
                <w:u w:val="none"/>
                <w:lang w:val="en-US" w:eastAsia="zh-CN"/>
              </w:rPr>
              <w:t>金属粉尘等质量较大的粉尘，沉降较快；另一方面，小部分较细小的颗粒物随机械运动而在空气中停留暂短时间后沉降于地面</w:t>
            </w:r>
            <w:r>
              <w:rPr>
                <w:rFonts w:hint="eastAsia"/>
                <w:b w:val="0"/>
                <w:bCs w:val="0"/>
                <w:color w:val="auto"/>
                <w:u w:val="none"/>
                <w:lang w:val="en-US" w:eastAsia="zh-CN"/>
              </w:rPr>
              <w:t>，</w:t>
            </w:r>
            <w:r>
              <w:rPr>
                <w:rFonts w:hint="default"/>
                <w:b w:val="0"/>
                <w:bCs w:val="0"/>
                <w:color w:val="auto"/>
                <w:u w:val="none"/>
                <w:lang w:val="en-US" w:eastAsia="zh-CN"/>
              </w:rPr>
              <w:t>在车间无组织排放可达到《大气污染物综合排放标准》（GB16297-1996）表2中相应标准。此外，在车间厂房阻拦作用下，颗粒物散落范围很小，一般在5m以内，飘逸至车间外环境的颗粒物极少，对周围大气环境影响较小。</w:t>
            </w:r>
          </w:p>
          <w:p w14:paraId="6BE570A9">
            <w:pPr>
              <w:pStyle w:val="109"/>
              <w:keepNext w:val="0"/>
              <w:keepLines w:val="0"/>
              <w:suppressLineNumbers w:val="0"/>
              <w:spacing w:before="0" w:beforeLines="0" w:beforeAutospacing="0" w:after="0" w:afterAutospacing="0" w:line="360" w:lineRule="auto"/>
              <w:ind w:left="0" w:right="0" w:firstLine="480"/>
              <w:rPr>
                <w:rFonts w:hint="eastAsia"/>
                <w:b w:val="0"/>
                <w:bCs w:val="0"/>
                <w:color w:val="auto"/>
                <w:u w:val="none"/>
                <w:lang w:val="en-US" w:eastAsia="zh-CN"/>
              </w:rPr>
            </w:pPr>
            <w:r>
              <w:rPr>
                <w:rFonts w:hint="eastAsia"/>
                <w:b w:val="0"/>
                <w:bCs w:val="0"/>
                <w:color w:val="auto"/>
                <w:u w:val="none"/>
                <w:lang w:val="en-US" w:eastAsia="zh-CN"/>
              </w:rPr>
              <w:t>②焊接烟尘</w:t>
            </w:r>
          </w:p>
          <w:p w14:paraId="6C9F389E">
            <w:pPr>
              <w:pStyle w:val="109"/>
              <w:keepNext w:val="0"/>
              <w:keepLines w:val="0"/>
              <w:suppressLineNumbers w:val="0"/>
              <w:spacing w:before="0" w:beforeLines="0" w:beforeAutospacing="0" w:after="0" w:afterAutospacing="0" w:line="360" w:lineRule="auto"/>
              <w:ind w:left="0" w:right="0" w:firstLine="480"/>
              <w:rPr>
                <w:rFonts w:hint="default"/>
                <w:b w:val="0"/>
                <w:bCs w:val="0"/>
                <w:color w:val="auto"/>
                <w:u w:val="none"/>
                <w:lang w:val="en-US" w:eastAsia="zh-CN"/>
              </w:rPr>
            </w:pPr>
            <w:r>
              <w:rPr>
                <w:rFonts w:hint="default"/>
                <w:b w:val="0"/>
                <w:bCs w:val="0"/>
                <w:color w:val="auto"/>
                <w:u w:val="none"/>
                <w:lang w:val="en-US" w:eastAsia="zh-CN"/>
              </w:rPr>
              <w:t>本项目焊接烟尘产生量较小，在车间无组织排放可达到《大气污染物综合排放标准》（GB16297-1996）表2中相应标准，对周围大气环境影响较小。</w:t>
            </w:r>
          </w:p>
          <w:p w14:paraId="718225E3">
            <w:pPr>
              <w:pStyle w:val="109"/>
              <w:keepNext w:val="0"/>
              <w:keepLines w:val="0"/>
              <w:suppressLineNumbers w:val="0"/>
              <w:spacing w:before="0" w:beforeLines="0" w:beforeAutospacing="0" w:after="0" w:afterAutospacing="0" w:line="360" w:lineRule="auto"/>
              <w:ind w:left="0" w:right="0" w:firstLine="480"/>
              <w:rPr>
                <w:rFonts w:hint="default"/>
                <w:b w:val="0"/>
                <w:bCs w:val="0"/>
                <w:color w:val="auto"/>
                <w:u w:val="none"/>
                <w:lang w:val="en-US" w:eastAsia="zh-CN"/>
              </w:rPr>
            </w:pPr>
            <w:r>
              <w:rPr>
                <w:rFonts w:hint="eastAsia"/>
                <w:b w:val="0"/>
                <w:bCs w:val="0"/>
                <w:color w:val="auto"/>
                <w:u w:val="none"/>
                <w:lang w:val="en-US" w:eastAsia="zh-CN"/>
              </w:rPr>
              <w:t>③补漆工序颗粒物及有机废气</w:t>
            </w:r>
          </w:p>
          <w:p w14:paraId="27BD7AD8">
            <w:pPr>
              <w:pStyle w:val="109"/>
              <w:keepNext w:val="0"/>
              <w:keepLines w:val="0"/>
              <w:suppressLineNumbers w:val="0"/>
              <w:spacing w:before="0" w:beforeLines="0" w:beforeAutospacing="0" w:after="0" w:afterAutospacing="0" w:line="360" w:lineRule="auto"/>
              <w:ind w:left="0" w:right="0" w:firstLine="480"/>
              <w:rPr>
                <w:rFonts w:hint="default"/>
                <w:b w:val="0"/>
                <w:bCs w:val="0"/>
                <w:color w:val="auto"/>
                <w:u w:val="none"/>
                <w:lang w:val="en-US" w:eastAsia="zh-CN"/>
              </w:rPr>
            </w:pPr>
            <w:r>
              <w:rPr>
                <w:rFonts w:hint="eastAsia"/>
                <w:b w:val="0"/>
                <w:bCs w:val="0"/>
                <w:color w:val="auto"/>
                <w:u w:val="none"/>
                <w:lang w:val="en-US" w:eastAsia="zh-CN"/>
              </w:rPr>
              <w:t>本项目使用过滤棉+二级活性炭吸附设备对补漆废气进行处理，根据《排放源统计调查产排污核算方法和系数手册》，吸附法属于可行末端治理技术。</w:t>
            </w:r>
            <w:r>
              <w:rPr>
                <w:rFonts w:hint="default"/>
                <w:b w:val="0"/>
                <w:bCs w:val="0"/>
                <w:color w:val="auto"/>
                <w:u w:val="none"/>
                <w:lang w:val="en-US" w:eastAsia="zh-CN"/>
              </w:rPr>
              <w:t>本项目</w:t>
            </w:r>
            <w:r>
              <w:rPr>
                <w:rFonts w:hint="eastAsia"/>
                <w:b w:val="0"/>
                <w:bCs w:val="0"/>
                <w:color w:val="auto"/>
                <w:u w:val="none"/>
                <w:lang w:val="en-US" w:eastAsia="zh-CN"/>
              </w:rPr>
              <w:t>补漆工件数</w:t>
            </w:r>
            <w:r>
              <w:rPr>
                <w:rFonts w:hint="default"/>
                <w:b w:val="0"/>
                <w:bCs w:val="0"/>
                <w:color w:val="auto"/>
                <w:u w:val="none"/>
                <w:lang w:val="en-US" w:eastAsia="zh-CN"/>
              </w:rPr>
              <w:t>较</w:t>
            </w:r>
            <w:r>
              <w:rPr>
                <w:rFonts w:hint="eastAsia"/>
                <w:b w:val="0"/>
                <w:bCs w:val="0"/>
                <w:color w:val="auto"/>
                <w:u w:val="none"/>
                <w:lang w:val="en-US" w:eastAsia="zh-CN"/>
              </w:rPr>
              <w:t>少</w:t>
            </w:r>
            <w:r>
              <w:rPr>
                <w:rFonts w:hint="default"/>
                <w:b w:val="0"/>
                <w:bCs w:val="0"/>
                <w:color w:val="auto"/>
                <w:u w:val="none"/>
                <w:lang w:val="en-US" w:eastAsia="zh-CN"/>
              </w:rPr>
              <w:t>，</w:t>
            </w:r>
            <w:r>
              <w:rPr>
                <w:rFonts w:hint="eastAsia"/>
                <w:b w:val="0"/>
                <w:bCs w:val="0"/>
                <w:color w:val="auto"/>
                <w:u w:val="none"/>
                <w:lang w:val="en-US" w:eastAsia="zh-CN"/>
              </w:rPr>
              <w:t>颗粒物</w:t>
            </w:r>
            <w:r>
              <w:rPr>
                <w:rFonts w:hint="default"/>
                <w:b w:val="0"/>
                <w:bCs w:val="0"/>
                <w:color w:val="auto"/>
                <w:u w:val="none"/>
                <w:lang w:val="en-US" w:eastAsia="zh-CN"/>
              </w:rPr>
              <w:t>产生量较小，</w:t>
            </w:r>
            <w:r>
              <w:rPr>
                <w:rFonts w:hint="eastAsia"/>
                <w:b w:val="0"/>
                <w:bCs w:val="0"/>
                <w:color w:val="auto"/>
                <w:u w:val="none"/>
                <w:lang w:val="en-US" w:eastAsia="zh-CN"/>
              </w:rPr>
              <w:t>经过滤棉+二级活性炭吸附设备处理后，可达到</w:t>
            </w:r>
            <w:r>
              <w:rPr>
                <w:rFonts w:hint="default"/>
                <w:b w:val="0"/>
                <w:bCs w:val="0"/>
                <w:color w:val="auto"/>
                <w:u w:val="none"/>
                <w:lang w:val="en-US" w:eastAsia="zh-CN"/>
              </w:rPr>
              <w:t>《大气污染物综合排放标准》（GB16297-1996）表2中相应标准，对周围大气环境影响较小。</w:t>
            </w:r>
          </w:p>
          <w:p w14:paraId="360500B2">
            <w:pPr>
              <w:pStyle w:val="109"/>
              <w:keepNext w:val="0"/>
              <w:keepLines w:val="0"/>
              <w:suppressLineNumbers w:val="0"/>
              <w:spacing w:before="0" w:beforeLines="0" w:beforeAutospacing="0" w:after="0" w:afterAutospacing="0"/>
              <w:ind w:left="0" w:right="0" w:firstLine="480"/>
              <w:rPr>
                <w:rFonts w:hint="eastAsia" w:ascii="Times New Roman" w:hAnsi="宋体" w:eastAsia="宋体" w:cs="Times New Roman"/>
                <w:b/>
                <w:bCs/>
                <w:color w:val="auto"/>
                <w:kern w:val="2"/>
                <w:sz w:val="24"/>
                <w:szCs w:val="24"/>
                <w:u w:val="none"/>
                <w:lang w:val="en-US" w:eastAsia="zh-CN" w:bidi="ar-SA"/>
              </w:rPr>
            </w:pPr>
            <w:r>
              <w:rPr>
                <w:rFonts w:hint="eastAsia" w:ascii="Times New Roman" w:hAnsi="宋体" w:eastAsia="宋体" w:cs="Times New Roman"/>
                <w:b/>
                <w:bCs/>
                <w:color w:val="auto"/>
                <w:kern w:val="2"/>
                <w:sz w:val="24"/>
                <w:szCs w:val="24"/>
                <w:u w:val="none"/>
                <w:lang w:val="en-US" w:eastAsia="zh-CN" w:bidi="ar-SA"/>
              </w:rPr>
              <w:t>1.</w:t>
            </w:r>
            <w:r>
              <w:rPr>
                <w:rFonts w:hint="eastAsia" w:hAnsi="宋体" w:cs="Times New Roman"/>
                <w:b/>
                <w:bCs/>
                <w:color w:val="auto"/>
                <w:kern w:val="2"/>
                <w:sz w:val="24"/>
                <w:szCs w:val="24"/>
                <w:u w:val="none"/>
                <w:lang w:val="en-US" w:eastAsia="zh-CN" w:bidi="ar-SA"/>
              </w:rPr>
              <w:t>4</w:t>
            </w:r>
            <w:r>
              <w:rPr>
                <w:rFonts w:hint="eastAsia" w:ascii="Times New Roman" w:hAnsi="宋体" w:eastAsia="宋体" w:cs="Times New Roman"/>
                <w:b/>
                <w:bCs/>
                <w:color w:val="auto"/>
                <w:kern w:val="2"/>
                <w:sz w:val="24"/>
                <w:szCs w:val="24"/>
                <w:u w:val="none"/>
                <w:lang w:val="en-US" w:eastAsia="zh-CN" w:bidi="ar-SA"/>
              </w:rPr>
              <w:t>废气监测要求</w:t>
            </w:r>
          </w:p>
          <w:p w14:paraId="14B2FE9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根据《排污单位自行监测技术指南 总则》（HJ819-2017）并结合该厂的污染源及污染物排放特点，提出以下监测计划</w:t>
            </w:r>
            <w:r>
              <w:rPr>
                <w:rFonts w:hint="eastAsia" w:ascii="Times New Roman" w:hAnsi="宋体" w:eastAsia="宋体" w:cs="Times New Roman"/>
                <w:b w:val="0"/>
                <w:bCs w:val="0"/>
                <w:color w:val="auto"/>
                <w:kern w:val="2"/>
                <w:sz w:val="24"/>
                <w:szCs w:val="24"/>
                <w:u w:val="none"/>
                <w:lang w:val="en-US" w:eastAsia="zh-CN" w:bidi="ar-SA"/>
              </w:rPr>
              <w:t>。</w:t>
            </w:r>
          </w:p>
          <w:p w14:paraId="6D75A9C8">
            <w:pPr>
              <w:keepNext/>
              <w:keepLines w:val="0"/>
              <w:widowControl/>
              <w:numPr>
                <w:ilvl w:val="0"/>
                <w:numId w:val="0"/>
              </w:numPr>
              <w:suppressLineNumbers w:val="0"/>
              <w:spacing w:before="0" w:beforeLines="0" w:beforeAutospacing="0" w:after="0" w:afterAutospacing="0"/>
              <w:ind w:left="0" w:right="0" w:firstLine="0"/>
              <w:jc w:val="center"/>
              <w:rPr>
                <w:rFonts w:hint="default" w:ascii="Times New Roman" w:hAnsi="Times New Roman" w:eastAsia="宋体" w:cs="Times New Roman"/>
                <w:b/>
                <w:bCs/>
                <w:snapToGrid w:val="0"/>
                <w:color w:val="auto"/>
                <w:kern w:val="0"/>
                <w:sz w:val="21"/>
                <w:szCs w:val="21"/>
                <w:highlight w:val="yellow"/>
                <w:u w:val="none"/>
                <w:lang w:val="en-US" w:eastAsia="zh-CN" w:bidi="ar-SA"/>
              </w:rPr>
            </w:pPr>
            <w:r>
              <w:rPr>
                <w:rFonts w:hint="eastAsia" w:ascii="Times New Roman" w:hAnsi="Times New Roman" w:eastAsia="宋体" w:cs="Times New Roman"/>
                <w:b/>
                <w:bCs/>
                <w:snapToGrid w:val="0"/>
                <w:color w:val="auto"/>
                <w:kern w:val="0"/>
                <w:sz w:val="21"/>
                <w:szCs w:val="21"/>
                <w:highlight w:val="none"/>
                <w:u w:val="none"/>
                <w:lang w:val="en-US" w:eastAsia="zh-CN" w:bidi="ar-SA"/>
              </w:rPr>
              <w:t>表4-</w:t>
            </w:r>
            <w:r>
              <w:rPr>
                <w:rFonts w:hint="eastAsia" w:cs="Times New Roman"/>
                <w:b/>
                <w:bCs/>
                <w:snapToGrid w:val="0"/>
                <w:color w:val="auto"/>
                <w:kern w:val="0"/>
                <w:sz w:val="21"/>
                <w:szCs w:val="21"/>
                <w:highlight w:val="none"/>
                <w:u w:val="none"/>
                <w:lang w:val="en-US" w:eastAsia="zh-CN" w:bidi="ar-SA"/>
              </w:rPr>
              <w:t>6</w:t>
            </w:r>
            <w:r>
              <w:rPr>
                <w:rFonts w:hint="eastAsia" w:ascii="Times New Roman" w:hAnsi="Times New Roman" w:eastAsia="宋体" w:cs="Times New Roman"/>
                <w:b/>
                <w:bCs/>
                <w:snapToGrid w:val="0"/>
                <w:color w:val="auto"/>
                <w:kern w:val="0"/>
                <w:sz w:val="21"/>
                <w:szCs w:val="21"/>
                <w:highlight w:val="none"/>
                <w:u w:val="none"/>
                <w:lang w:val="en-US" w:eastAsia="zh-CN" w:bidi="ar-SA"/>
              </w:rPr>
              <w:t>大气污染源</w:t>
            </w:r>
            <w:r>
              <w:rPr>
                <w:rFonts w:hint="default" w:ascii="Times New Roman" w:hAnsi="Times New Roman" w:eastAsia="宋体" w:cs="Times New Roman"/>
                <w:b/>
                <w:bCs/>
                <w:snapToGrid w:val="0"/>
                <w:color w:val="auto"/>
                <w:kern w:val="0"/>
                <w:sz w:val="21"/>
                <w:szCs w:val="21"/>
                <w:highlight w:val="none"/>
                <w:u w:val="none"/>
                <w:lang w:val="en-US" w:eastAsia="zh-CN" w:bidi="ar-SA"/>
              </w:rPr>
              <w:t>监测计划</w:t>
            </w:r>
          </w:p>
          <w:tbl>
            <w:tblPr>
              <w:tblStyle w:val="24"/>
              <w:tblW w:w="85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6"/>
              <w:gridCol w:w="1300"/>
              <w:gridCol w:w="1050"/>
              <w:gridCol w:w="4900"/>
            </w:tblGrid>
            <w:tr w14:paraId="62C1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03517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监测点位</w:t>
                  </w:r>
                </w:p>
              </w:tc>
              <w:tc>
                <w:tcPr>
                  <w:tcW w:w="762"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36A6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监测因子</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1E586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监测频次</w:t>
                  </w:r>
                </w:p>
              </w:tc>
              <w:tc>
                <w:tcPr>
                  <w:tcW w:w="287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6A3B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执行标准</w:t>
                  </w:r>
                </w:p>
              </w:tc>
            </w:tr>
            <w:tr w14:paraId="2B7E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C17EE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DA001</w:t>
                  </w:r>
                </w:p>
              </w:tc>
              <w:tc>
                <w:tcPr>
                  <w:tcW w:w="762"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C1F3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颗粒物</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35E0D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年</w:t>
                  </w:r>
                </w:p>
              </w:tc>
              <w:tc>
                <w:tcPr>
                  <w:tcW w:w="287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06712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《大气污染物综合排放标准》（</w:t>
                  </w:r>
                  <w:r>
                    <w:rPr>
                      <w:rFonts w:hint="default" w:ascii="Times New Roman" w:hAnsi="Times New Roman" w:eastAsia="宋体" w:cs="Times New Roman"/>
                      <w:i w:val="0"/>
                      <w:iCs w:val="0"/>
                      <w:color w:val="000000"/>
                      <w:kern w:val="0"/>
                      <w:sz w:val="21"/>
                      <w:szCs w:val="21"/>
                      <w:u w:val="none"/>
                      <w:lang w:val="en-US" w:eastAsia="zh-CN" w:bidi="ar"/>
                    </w:rPr>
                    <w:t>GB16297-1996</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二级标准</w:t>
                  </w:r>
                </w:p>
              </w:tc>
            </w:tr>
            <w:tr w14:paraId="22E7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272AF5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EBAE3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非甲烷总烃</w:t>
                  </w:r>
                  <w:r>
                    <w:rPr>
                      <w:rFonts w:hint="default" w:ascii="Times New Roman" w:hAnsi="Times New Roman" w:cs="Times New Roman"/>
                      <w:i w:val="0"/>
                      <w:iCs w:val="0"/>
                      <w:color w:val="000000"/>
                      <w:kern w:val="0"/>
                      <w:sz w:val="21"/>
                      <w:szCs w:val="21"/>
                      <w:u w:val="none"/>
                      <w:lang w:val="en-US" w:eastAsia="zh-CN" w:bidi="ar"/>
                    </w:rPr>
                    <w:t>、TVOCs</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6A277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 </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年</w:t>
                  </w:r>
                </w:p>
              </w:tc>
              <w:tc>
                <w:tcPr>
                  <w:tcW w:w="287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45AA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《表面涂装（汽车制造及维修）挥发性有机物、镍排放标准》（</w:t>
                  </w:r>
                  <w:r>
                    <w:rPr>
                      <w:rFonts w:hint="default" w:ascii="Times New Roman" w:hAnsi="Times New Roman" w:eastAsia="宋体" w:cs="Times New Roman"/>
                      <w:i w:val="0"/>
                      <w:iCs w:val="0"/>
                      <w:color w:val="000000"/>
                      <w:kern w:val="0"/>
                      <w:sz w:val="21"/>
                      <w:szCs w:val="21"/>
                      <w:u w:val="none"/>
                      <w:lang w:val="en-US" w:eastAsia="zh-CN" w:bidi="ar"/>
                    </w:rPr>
                    <w:t>DB43/1356-2017</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标准</w:t>
                  </w:r>
                </w:p>
              </w:tc>
            </w:tr>
            <w:tr w14:paraId="44F5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EF36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厂界</w:t>
                  </w:r>
                </w:p>
              </w:tc>
              <w:tc>
                <w:tcPr>
                  <w:tcW w:w="762"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7D43F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非甲烷总烃、颗粒物</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59FDA4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年</w:t>
                  </w:r>
                </w:p>
              </w:tc>
              <w:tc>
                <w:tcPr>
                  <w:tcW w:w="287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2D77B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《大气污染物综合排放标准》（</w:t>
                  </w:r>
                  <w:r>
                    <w:rPr>
                      <w:rFonts w:hint="default" w:ascii="Times New Roman" w:hAnsi="Times New Roman" w:eastAsia="宋体" w:cs="Times New Roman"/>
                      <w:i w:val="0"/>
                      <w:iCs w:val="0"/>
                      <w:color w:val="000000"/>
                      <w:kern w:val="0"/>
                      <w:sz w:val="21"/>
                      <w:szCs w:val="21"/>
                      <w:u w:val="none"/>
                      <w:lang w:val="en-US" w:eastAsia="zh-CN" w:bidi="ar"/>
                    </w:rPr>
                    <w:t>GB16297-1996</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二级标准；《表面涂装（汽车制造及维修）挥发性有机物、镍排放标准》（</w:t>
                  </w:r>
                  <w:r>
                    <w:rPr>
                      <w:rFonts w:hint="default" w:ascii="Times New Roman" w:hAnsi="Times New Roman" w:eastAsia="宋体" w:cs="Times New Roman"/>
                      <w:i w:val="0"/>
                      <w:iCs w:val="0"/>
                      <w:color w:val="000000"/>
                      <w:kern w:val="0"/>
                      <w:sz w:val="21"/>
                      <w:szCs w:val="21"/>
                      <w:u w:val="none"/>
                      <w:lang w:val="en-US" w:eastAsia="zh-CN" w:bidi="ar"/>
                    </w:rPr>
                    <w:t>DB43/1356-2017</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标准</w:t>
                  </w:r>
                </w:p>
              </w:tc>
            </w:tr>
            <w:tr w14:paraId="02C4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44994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车间通风处</w:t>
                  </w:r>
                </w:p>
              </w:tc>
              <w:tc>
                <w:tcPr>
                  <w:tcW w:w="762"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9BDD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非甲烷总烃</w:t>
                  </w:r>
                </w:p>
              </w:tc>
              <w:tc>
                <w:tcPr>
                  <w:tcW w:w="615"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66C224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年</w:t>
                  </w:r>
                </w:p>
              </w:tc>
              <w:tc>
                <w:tcPr>
                  <w:tcW w:w="2873" w:type="pct"/>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vAlign w:val="center"/>
                </w:tcPr>
                <w:p w14:paraId="076FD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《挥发性有机物无组织排放控制标准》（</w:t>
                  </w:r>
                  <w:r>
                    <w:rPr>
                      <w:rFonts w:hint="default" w:ascii="Times New Roman" w:hAnsi="Times New Roman" w:eastAsia="宋体" w:cs="Times New Roman"/>
                      <w:i w:val="0"/>
                      <w:iCs w:val="0"/>
                      <w:color w:val="000000"/>
                      <w:kern w:val="0"/>
                      <w:sz w:val="21"/>
                      <w:szCs w:val="21"/>
                      <w:u w:val="none"/>
                      <w:lang w:val="en-US" w:eastAsia="zh-CN" w:bidi="ar"/>
                    </w:rPr>
                    <w:t>GB37822-2019</w:t>
                  </w:r>
                  <w:r>
                    <w:rPr>
                      <w:rFonts w:hint="eastAsia" w:ascii="宋体" w:hAnsi="宋体" w:eastAsia="宋体" w:cs="宋体"/>
                      <w:i w:val="0"/>
                      <w:iCs w:val="0"/>
                      <w:color w:val="000000"/>
                      <w:kern w:val="0"/>
                      <w:sz w:val="21"/>
                      <w:szCs w:val="21"/>
                      <w:u w:val="none"/>
                      <w:lang w:val="en-US" w:eastAsia="zh-CN" w:bidi="ar"/>
                    </w:rPr>
                    <w:t>）附录</w:t>
                  </w:r>
                  <w:r>
                    <w:rPr>
                      <w:rFonts w:hint="default" w:ascii="Times New Roman" w:hAnsi="Times New Roman" w:eastAsia="宋体" w:cs="Times New Roman"/>
                      <w:i w:val="0"/>
                      <w:iCs w:val="0"/>
                      <w:color w:val="000000"/>
                      <w:kern w:val="0"/>
                      <w:sz w:val="21"/>
                      <w:szCs w:val="21"/>
                      <w:u w:val="none"/>
                      <w:lang w:val="en-US" w:eastAsia="zh-CN" w:bidi="ar"/>
                    </w:rPr>
                    <w:t>A</w:t>
                  </w:r>
                  <w:r>
                    <w:rPr>
                      <w:rFonts w:hint="eastAsia" w:ascii="宋体" w:hAnsi="宋体" w:eastAsia="宋体" w:cs="宋体"/>
                      <w:i w:val="0"/>
                      <w:iCs w:val="0"/>
                      <w:color w:val="000000"/>
                      <w:kern w:val="0"/>
                      <w:sz w:val="21"/>
                      <w:szCs w:val="21"/>
                      <w:u w:val="none"/>
                      <w:lang w:val="en-US" w:eastAsia="zh-CN" w:bidi="ar"/>
                    </w:rPr>
                    <w:t>表</w:t>
                  </w:r>
                  <w:r>
                    <w:rPr>
                      <w:rFonts w:hint="default" w:ascii="Times New Roman" w:hAnsi="Times New Roman" w:eastAsia="宋体" w:cs="Times New Roman"/>
                      <w:i w:val="0"/>
                      <w:iCs w:val="0"/>
                      <w:color w:val="000000"/>
                      <w:kern w:val="0"/>
                      <w:sz w:val="21"/>
                      <w:szCs w:val="21"/>
                      <w:u w:val="none"/>
                      <w:lang w:val="en-US" w:eastAsia="zh-CN" w:bidi="ar"/>
                    </w:rPr>
                    <w:t>A.1</w:t>
                  </w:r>
                  <w:r>
                    <w:rPr>
                      <w:rFonts w:hint="eastAsia" w:ascii="宋体" w:hAnsi="宋体" w:eastAsia="宋体" w:cs="宋体"/>
                      <w:i w:val="0"/>
                      <w:iCs w:val="0"/>
                      <w:color w:val="000000"/>
                      <w:kern w:val="0"/>
                      <w:sz w:val="21"/>
                      <w:szCs w:val="21"/>
                      <w:u w:val="none"/>
                      <w:lang w:val="en-US" w:eastAsia="zh-CN" w:bidi="ar"/>
                    </w:rPr>
                    <w:t>中排放限值要求</w:t>
                  </w:r>
                </w:p>
              </w:tc>
            </w:tr>
          </w:tbl>
          <w:p w14:paraId="717E012F">
            <w:pPr>
              <w:pStyle w:val="109"/>
              <w:keepNext w:val="0"/>
              <w:keepLines w:val="0"/>
              <w:suppressLineNumbers w:val="0"/>
              <w:spacing w:before="157" w:beforeLines="50" w:beforeAutospacing="0" w:after="0" w:afterAutospacing="0" w:line="300" w:lineRule="auto"/>
              <w:ind w:left="0" w:right="0" w:firstLine="480"/>
              <w:rPr>
                <w:rFonts w:hint="default"/>
                <w:b/>
                <w:bCs/>
                <w:color w:val="auto"/>
                <w:u w:val="none"/>
              </w:rPr>
            </w:pPr>
            <w:r>
              <w:rPr>
                <w:rFonts w:hint="default"/>
                <w:b/>
                <w:bCs/>
                <w:color w:val="auto"/>
                <w:u w:val="none"/>
                <w:lang w:val="en-US"/>
              </w:rPr>
              <w:t>2</w:t>
            </w:r>
            <w:r>
              <w:rPr>
                <w:rFonts w:hint="default"/>
                <w:b/>
                <w:bCs/>
                <w:color w:val="auto"/>
                <w:u w:val="none"/>
              </w:rPr>
              <w:t>、废水</w:t>
            </w:r>
          </w:p>
          <w:p w14:paraId="51428A8D">
            <w:pPr>
              <w:pStyle w:val="109"/>
              <w:keepNext w:val="0"/>
              <w:keepLines w:val="0"/>
              <w:suppressLineNumbers w:val="0"/>
              <w:spacing w:before="0" w:beforeLines="0" w:beforeAutospacing="0" w:after="0" w:afterAutospacing="0" w:line="300" w:lineRule="auto"/>
              <w:ind w:left="0" w:right="0" w:firstLine="480" w:firstLineChars="0"/>
              <w:rPr>
                <w:rFonts w:hint="eastAsia"/>
                <w:b/>
                <w:bCs/>
                <w:color w:val="auto"/>
                <w:u w:val="none"/>
                <w:lang w:val="en-US" w:eastAsia="zh-CN"/>
              </w:rPr>
            </w:pPr>
            <w:r>
              <w:rPr>
                <w:rFonts w:hint="eastAsia"/>
                <w:b/>
                <w:bCs/>
                <w:color w:val="auto"/>
                <w:u w:val="none"/>
                <w:lang w:val="en-US" w:eastAsia="zh-CN"/>
              </w:rPr>
              <w:t>2.1运营期废水环境影响和保护措施</w:t>
            </w:r>
          </w:p>
          <w:p w14:paraId="5BB5D2A3">
            <w:pPr>
              <w:pStyle w:val="109"/>
              <w:keepNext w:val="0"/>
              <w:keepLines w:val="0"/>
              <w:suppressLineNumbers w:val="0"/>
              <w:adjustRightInd w:val="0"/>
              <w:snapToGrid w:val="0"/>
              <w:spacing w:before="0" w:beforeAutospacing="0" w:after="0" w:afterAutospacing="0"/>
              <w:ind w:left="0" w:right="0" w:firstLine="480" w:firstLineChars="200"/>
              <w:rPr>
                <w:rFonts w:hint="eastAsia"/>
                <w:b w:val="0"/>
                <w:bCs w:val="0"/>
                <w:color w:val="auto"/>
                <w:u w:val="none"/>
                <w:lang w:val="en-US" w:eastAsia="zh-CN"/>
              </w:rPr>
            </w:pPr>
            <w:r>
              <w:rPr>
                <w:rFonts w:hint="eastAsia"/>
                <w:b w:val="0"/>
                <w:bCs w:val="0"/>
                <w:color w:val="auto"/>
                <w:u w:val="none"/>
                <w:lang w:val="en-US" w:eastAsia="zh-CN"/>
              </w:rPr>
              <w:t>本项目无生产废水，产生的废水主要为员工生活产生的生活污水。</w:t>
            </w:r>
          </w:p>
          <w:p w14:paraId="206209CB">
            <w:pPr>
              <w:pStyle w:val="109"/>
              <w:keepNext w:val="0"/>
              <w:keepLines w:val="0"/>
              <w:suppressLineNumbers w:val="0"/>
              <w:adjustRightInd w:val="0"/>
              <w:snapToGrid w:val="0"/>
              <w:spacing w:before="0" w:beforeAutospacing="0" w:after="0" w:afterAutospacing="0"/>
              <w:ind w:left="0" w:right="0" w:firstLine="480" w:firstLineChars="200"/>
              <w:rPr>
                <w:rFonts w:hint="default"/>
                <w:b w:val="0"/>
                <w:bCs w:val="0"/>
                <w:color w:val="auto"/>
                <w:u w:val="none"/>
                <w:lang w:val="en-US" w:eastAsia="zh-CN"/>
              </w:rPr>
            </w:pPr>
            <w:r>
              <w:rPr>
                <w:rFonts w:hint="default"/>
                <w:b w:val="0"/>
                <w:bCs w:val="0"/>
                <w:color w:val="auto"/>
                <w:u w:val="none"/>
                <w:lang w:val="en-US" w:eastAsia="zh-CN"/>
              </w:rPr>
              <w:t>项目</w:t>
            </w:r>
            <w:r>
              <w:rPr>
                <w:rFonts w:hint="eastAsia"/>
                <w:b w:val="0"/>
                <w:bCs w:val="0"/>
                <w:color w:val="auto"/>
                <w:u w:val="none"/>
                <w:lang w:val="en-US" w:eastAsia="zh-CN"/>
              </w:rPr>
              <w:t>劳动定员35</w:t>
            </w:r>
            <w:r>
              <w:rPr>
                <w:rFonts w:hint="default"/>
                <w:b w:val="0"/>
                <w:bCs w:val="0"/>
                <w:color w:val="auto"/>
                <w:u w:val="none"/>
                <w:lang w:val="en-US" w:eastAsia="zh-CN"/>
              </w:rPr>
              <w:t>人，</w:t>
            </w:r>
            <w:r>
              <w:rPr>
                <w:rFonts w:hint="eastAsia"/>
                <w:b w:val="0"/>
                <w:bCs w:val="0"/>
                <w:color w:val="auto"/>
                <w:u w:val="none"/>
                <w:lang w:val="en-US" w:eastAsia="zh-CN"/>
              </w:rPr>
              <w:t>厂区提供1餐，员工均不在厂区内住宿</w:t>
            </w:r>
            <w:r>
              <w:rPr>
                <w:rFonts w:hint="default"/>
                <w:b w:val="0"/>
                <w:bCs w:val="0"/>
                <w:color w:val="auto"/>
                <w:u w:val="none"/>
                <w:lang w:val="en-US" w:eastAsia="zh-CN"/>
              </w:rPr>
              <w:t>。年工作时间</w:t>
            </w:r>
            <w:r>
              <w:rPr>
                <w:rFonts w:hint="eastAsia"/>
                <w:b w:val="0"/>
                <w:bCs w:val="0"/>
                <w:color w:val="auto"/>
                <w:u w:val="none"/>
                <w:lang w:val="en-US" w:eastAsia="zh-CN"/>
              </w:rPr>
              <w:t>300天</w:t>
            </w:r>
            <w:r>
              <w:rPr>
                <w:rFonts w:hint="default"/>
                <w:b w:val="0"/>
                <w:bCs w:val="0"/>
                <w:color w:val="auto"/>
                <w:u w:val="none"/>
                <w:lang w:val="en-US" w:eastAsia="zh-CN"/>
              </w:rPr>
              <w:t>，据查《湖南省用水定额》（DB43/T388-2020），农村地区分散式供水的用水量为90L/人·d，职工生活用水量为</w:t>
            </w:r>
            <w:r>
              <w:rPr>
                <w:rFonts w:hint="eastAsia"/>
                <w:b w:val="0"/>
                <w:bCs w:val="0"/>
                <w:color w:val="auto"/>
                <w:u w:val="none"/>
                <w:lang w:val="en-US" w:eastAsia="zh-CN"/>
              </w:rPr>
              <w:t>3.15m³/d</w:t>
            </w:r>
            <w:r>
              <w:rPr>
                <w:rFonts w:hint="default"/>
                <w:b w:val="0"/>
                <w:bCs w:val="0"/>
                <w:color w:val="auto"/>
                <w:u w:val="none"/>
                <w:lang w:val="en-US" w:eastAsia="zh-CN"/>
              </w:rPr>
              <w:t>（</w:t>
            </w:r>
            <w:r>
              <w:rPr>
                <w:rFonts w:hint="eastAsia"/>
                <w:b w:val="0"/>
                <w:bCs w:val="0"/>
                <w:color w:val="auto"/>
                <w:u w:val="none"/>
                <w:lang w:val="en-US" w:eastAsia="zh-CN"/>
              </w:rPr>
              <w:t>945m³/a</w:t>
            </w:r>
            <w:r>
              <w:rPr>
                <w:rFonts w:hint="default"/>
                <w:b w:val="0"/>
                <w:bCs w:val="0"/>
                <w:color w:val="auto"/>
                <w:u w:val="none"/>
                <w:lang w:val="en-US" w:eastAsia="zh-CN"/>
              </w:rPr>
              <w:t>）。</w:t>
            </w:r>
          </w:p>
          <w:p w14:paraId="5C3AEAD6">
            <w:pPr>
              <w:pStyle w:val="109"/>
              <w:keepNext w:val="0"/>
              <w:keepLines w:val="0"/>
              <w:suppressLineNumbers w:val="0"/>
              <w:adjustRightInd w:val="0"/>
              <w:snapToGrid w:val="0"/>
              <w:spacing w:before="0" w:beforeAutospacing="0" w:after="0" w:afterAutospacing="0"/>
              <w:ind w:left="0" w:right="0" w:firstLine="480" w:firstLineChars="200"/>
              <w:rPr>
                <w:rFonts w:hint="default"/>
                <w:b w:val="0"/>
                <w:bCs w:val="0"/>
                <w:color w:val="auto"/>
                <w:u w:val="none"/>
                <w:lang w:val="en-US" w:eastAsia="zh-CN"/>
              </w:rPr>
            </w:pPr>
            <w:r>
              <w:rPr>
                <w:rFonts w:hint="default"/>
                <w:b w:val="0"/>
                <w:bCs w:val="0"/>
                <w:color w:val="auto"/>
                <w:u w:val="none"/>
                <w:lang w:val="en-US" w:eastAsia="zh-CN"/>
              </w:rPr>
              <w:t>生活用水量为</w:t>
            </w:r>
            <w:r>
              <w:rPr>
                <w:rFonts w:hint="eastAsia"/>
                <w:b w:val="0"/>
                <w:bCs w:val="0"/>
                <w:color w:val="auto"/>
                <w:u w:val="none"/>
                <w:lang w:val="en-US" w:eastAsia="zh-CN"/>
              </w:rPr>
              <w:t>945m³/a，</w:t>
            </w:r>
            <w:r>
              <w:rPr>
                <w:rFonts w:hint="default"/>
                <w:b w:val="0"/>
                <w:bCs w:val="0"/>
                <w:color w:val="auto"/>
                <w:u w:val="none"/>
                <w:lang w:val="en-US" w:eastAsia="zh-CN"/>
              </w:rPr>
              <w:t>生活污水产生系数按照80%计算，则生活污水产生量为</w:t>
            </w:r>
            <w:r>
              <w:rPr>
                <w:rFonts w:hint="eastAsia"/>
                <w:b w:val="0"/>
                <w:bCs w:val="0"/>
                <w:color w:val="auto"/>
                <w:u w:val="none"/>
                <w:lang w:val="en-US" w:eastAsia="zh-CN"/>
              </w:rPr>
              <w:t>756m³/a</w:t>
            </w:r>
            <w:r>
              <w:rPr>
                <w:rFonts w:hint="default"/>
                <w:b w:val="0"/>
                <w:bCs w:val="0"/>
                <w:color w:val="auto"/>
                <w:u w:val="none"/>
                <w:lang w:val="en-US" w:eastAsia="zh-CN"/>
              </w:rPr>
              <w:t>（</w:t>
            </w:r>
            <w:r>
              <w:rPr>
                <w:rFonts w:hint="eastAsia"/>
                <w:b w:val="0"/>
                <w:bCs w:val="0"/>
                <w:color w:val="auto"/>
                <w:u w:val="none"/>
                <w:lang w:val="en-US" w:eastAsia="zh-CN"/>
              </w:rPr>
              <w:t>2.52m³/d</w:t>
            </w:r>
            <w:r>
              <w:rPr>
                <w:rFonts w:hint="default"/>
                <w:b w:val="0"/>
                <w:bCs w:val="0"/>
                <w:color w:val="auto"/>
                <w:u w:val="none"/>
                <w:lang w:val="en-US" w:eastAsia="zh-CN"/>
              </w:rPr>
              <w:t>）。</w:t>
            </w:r>
          </w:p>
          <w:p w14:paraId="3ADDA8DB">
            <w:pPr>
              <w:pStyle w:val="109"/>
              <w:keepNext w:val="0"/>
              <w:keepLines w:val="0"/>
              <w:suppressLineNumbers w:val="0"/>
              <w:adjustRightInd w:val="0"/>
              <w:snapToGrid w:val="0"/>
              <w:spacing w:before="0" w:beforeAutospacing="0" w:after="0" w:afterAutospacing="0"/>
              <w:ind w:left="0" w:right="0" w:firstLine="480" w:firstLineChars="200"/>
              <w:rPr>
                <w:rFonts w:hint="default"/>
                <w:b w:val="0"/>
                <w:bCs w:val="0"/>
                <w:color w:val="auto"/>
                <w:u w:val="none"/>
                <w:lang w:val="en-US" w:eastAsia="zh-CN"/>
              </w:rPr>
            </w:pPr>
            <w:r>
              <w:rPr>
                <w:rFonts w:hint="default"/>
                <w:b w:val="0"/>
                <w:bCs w:val="0"/>
                <w:color w:val="auto"/>
                <w:u w:val="none"/>
                <w:lang w:val="en-US" w:eastAsia="zh-CN"/>
              </w:rPr>
              <w:t>本项目生活污水经厂区</w:t>
            </w:r>
            <w:r>
              <w:rPr>
                <w:rFonts w:hint="eastAsia"/>
                <w:b w:val="0"/>
                <w:bCs w:val="0"/>
                <w:color w:val="auto"/>
                <w:u w:val="none"/>
                <w:lang w:val="en-US" w:eastAsia="zh-CN"/>
              </w:rPr>
              <w:t>隔油池+四格净化设施处理后用作农肥，不外排</w:t>
            </w:r>
            <w:r>
              <w:rPr>
                <w:rFonts w:hint="default"/>
                <w:b w:val="0"/>
                <w:bCs w:val="0"/>
                <w:color w:val="auto"/>
                <w:u w:val="none"/>
                <w:lang w:val="en-US" w:eastAsia="zh-CN"/>
              </w:rPr>
              <w:t>。</w:t>
            </w:r>
          </w:p>
          <w:p w14:paraId="49A94E23">
            <w:pPr>
              <w:pStyle w:val="109"/>
              <w:keepNext w:val="0"/>
              <w:keepLines w:val="0"/>
              <w:suppressLineNumbers w:val="0"/>
              <w:spacing w:before="0" w:beforeAutospacing="0" w:after="0" w:afterAutospacing="0"/>
              <w:ind w:left="0" w:right="0" w:firstLine="482"/>
              <w:rPr>
                <w:rFonts w:hint="default"/>
                <w:b/>
                <w:bCs/>
                <w:color w:val="auto"/>
                <w:u w:val="none"/>
              </w:rPr>
            </w:pPr>
            <w:r>
              <w:rPr>
                <w:rFonts w:hint="eastAsia"/>
                <w:b/>
                <w:bCs/>
                <w:color w:val="auto"/>
                <w:u w:val="none"/>
                <w:lang w:val="en-US" w:eastAsia="zh-CN"/>
              </w:rPr>
              <w:t>2.2</w:t>
            </w:r>
            <w:r>
              <w:rPr>
                <w:rFonts w:hint="default"/>
                <w:b/>
                <w:bCs/>
                <w:color w:val="auto"/>
                <w:u w:val="none"/>
              </w:rPr>
              <w:t>废水产生、排放基本信息</w:t>
            </w:r>
          </w:p>
          <w:p w14:paraId="6A3CC5C5">
            <w:pPr>
              <w:pStyle w:val="109"/>
              <w:keepNext w:val="0"/>
              <w:keepLines w:val="0"/>
              <w:suppressLineNumbers w:val="0"/>
              <w:spacing w:before="0" w:beforeAutospacing="0" w:after="0" w:afterAutospacing="0"/>
              <w:ind w:left="0" w:right="0" w:firstLine="480"/>
              <w:rPr>
                <w:rFonts w:hint="default"/>
                <w:color w:val="auto"/>
                <w:u w:val="none"/>
              </w:rPr>
            </w:pPr>
            <w:r>
              <w:rPr>
                <w:rFonts w:hint="default"/>
                <w:color w:val="auto"/>
                <w:u w:val="none"/>
              </w:rPr>
              <w:t>项目废水产生</w:t>
            </w:r>
            <w:r>
              <w:rPr>
                <w:rFonts w:hint="eastAsia"/>
                <w:color w:val="auto"/>
                <w:u w:val="none"/>
              </w:rPr>
              <w:t>、</w:t>
            </w:r>
            <w:r>
              <w:rPr>
                <w:rFonts w:hint="default"/>
                <w:color w:val="auto"/>
                <w:u w:val="none"/>
              </w:rPr>
              <w:t>排放信息详见表4-</w:t>
            </w:r>
            <w:r>
              <w:rPr>
                <w:rFonts w:hint="eastAsia"/>
                <w:color w:val="auto"/>
                <w:u w:val="none"/>
                <w:lang w:val="en-US" w:eastAsia="zh-CN"/>
              </w:rPr>
              <w:t>7</w:t>
            </w:r>
            <w:r>
              <w:rPr>
                <w:rFonts w:hint="default"/>
                <w:color w:val="auto"/>
                <w:u w:val="none"/>
              </w:rPr>
              <w:t>~表4-</w:t>
            </w:r>
            <w:r>
              <w:rPr>
                <w:rFonts w:hint="eastAsia"/>
                <w:color w:val="auto"/>
                <w:u w:val="none"/>
                <w:lang w:val="en-US" w:eastAsia="zh-CN"/>
              </w:rPr>
              <w:t>8</w:t>
            </w:r>
            <w:r>
              <w:rPr>
                <w:rFonts w:hint="default"/>
                <w:color w:val="auto"/>
                <w:u w:val="none"/>
              </w:rPr>
              <w:t>。</w:t>
            </w:r>
          </w:p>
          <w:p w14:paraId="71618D68">
            <w:pPr>
              <w:pStyle w:val="35"/>
              <w:keepNext w:val="0"/>
              <w:keepLines w:val="0"/>
              <w:suppressLineNumbers w:val="0"/>
              <w:spacing w:before="0" w:beforeLines="0" w:beforeAutospacing="0" w:after="0" w:afterAutospacing="0"/>
              <w:ind w:left="0" w:right="0"/>
              <w:rPr>
                <w:rFonts w:hint="default"/>
                <w:color w:val="auto"/>
                <w:sz w:val="21"/>
                <w:szCs w:val="21"/>
                <w:u w:val="none"/>
              </w:rPr>
            </w:pPr>
            <w:r>
              <w:rPr>
                <w:rFonts w:hint="default"/>
                <w:color w:val="auto"/>
                <w:sz w:val="21"/>
                <w:szCs w:val="21"/>
                <w:u w:val="none"/>
              </w:rPr>
              <w:t>表4</w:t>
            </w:r>
            <w:r>
              <w:rPr>
                <w:rFonts w:hint="eastAsia"/>
                <w:color w:val="auto"/>
                <w:sz w:val="21"/>
                <w:szCs w:val="21"/>
                <w:u w:val="none"/>
                <w:lang w:val="en-US" w:eastAsia="zh-CN"/>
              </w:rPr>
              <w:t>-7</w:t>
            </w:r>
            <w:r>
              <w:rPr>
                <w:rFonts w:hint="default"/>
                <w:color w:val="auto"/>
                <w:sz w:val="21"/>
                <w:szCs w:val="21"/>
                <w:u w:val="none"/>
              </w:rPr>
              <w:t xml:space="preserve"> 废水排放情况一览表</w:t>
            </w:r>
          </w:p>
          <w:tbl>
            <w:tblPr>
              <w:tblStyle w:val="24"/>
              <w:tblW w:w="8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928"/>
              <w:gridCol w:w="1172"/>
              <w:gridCol w:w="1397"/>
              <w:gridCol w:w="1303"/>
              <w:gridCol w:w="1234"/>
              <w:gridCol w:w="1200"/>
              <w:gridCol w:w="863"/>
            </w:tblGrid>
            <w:tr w14:paraId="4E35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55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60"/>
                      <w:b/>
                      <w:bCs/>
                      <w:u w:val="none"/>
                      <w:vertAlign w:val="baseline"/>
                      <w:lang w:val="en-US" w:eastAsia="zh-CN" w:bidi="ar"/>
                    </w:rPr>
                    <w:t>序号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4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60"/>
                      <w:b/>
                      <w:bCs/>
                      <w:u w:val="none"/>
                      <w:vertAlign w:val="baseline"/>
                      <w:lang w:val="en-US" w:eastAsia="zh-CN" w:bidi="ar"/>
                    </w:rPr>
                    <w:t>产污环节名称</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B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60"/>
                      <w:b/>
                      <w:bCs/>
                      <w:u w:val="none"/>
                      <w:vertAlign w:val="baseline"/>
                      <w:lang w:val="en-US" w:eastAsia="zh-CN" w:bidi="ar"/>
                    </w:rPr>
                    <w:t>类别</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2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60"/>
                      <w:b/>
                      <w:bCs/>
                      <w:u w:val="none"/>
                      <w:vertAlign w:val="baseline"/>
                      <w:lang w:val="en-US" w:eastAsia="zh-CN" w:bidi="ar"/>
                    </w:rPr>
                    <w:t>污染物种类</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60"/>
                      <w:b/>
                      <w:bCs/>
                      <w:u w:val="none"/>
                      <w:vertAlign w:val="baseline"/>
                      <w:lang w:val="en-US" w:eastAsia="zh-CN" w:bidi="ar"/>
                    </w:rPr>
                    <w:t>污染物治理设施名称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F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60"/>
                      <w:b/>
                      <w:bCs/>
                      <w:u w:val="none"/>
                      <w:vertAlign w:val="baseline"/>
                      <w:lang w:val="en-US" w:eastAsia="zh-CN" w:bidi="ar"/>
                    </w:rPr>
                    <w:t>排放浓度（</w:t>
                  </w:r>
                  <w:r>
                    <w:rPr>
                      <w:rStyle w:val="123"/>
                      <w:rFonts w:eastAsia="宋体"/>
                      <w:b/>
                      <w:bCs/>
                      <w:u w:val="none"/>
                      <w:vertAlign w:val="baseline"/>
                      <w:lang w:val="en-US" w:eastAsia="zh-CN" w:bidi="ar"/>
                    </w:rPr>
                    <w:t>mg/m</w:t>
                  </w:r>
                  <w:r>
                    <w:rPr>
                      <w:rStyle w:val="60"/>
                      <w:b/>
                      <w:bCs/>
                      <w:u w:val="none"/>
                      <w:vertAlign w:val="baseline"/>
                      <w:lang w:val="en-US" w:eastAsia="zh-CN" w:bidi="ar"/>
                    </w:rPr>
                    <w:t>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E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60"/>
                      <w:b/>
                      <w:bCs/>
                      <w:u w:val="none"/>
                      <w:vertAlign w:val="baseline"/>
                      <w:lang w:val="en-US" w:eastAsia="zh-CN" w:bidi="ar"/>
                    </w:rPr>
                    <w:t>排放量（</w:t>
                  </w:r>
                  <w:r>
                    <w:rPr>
                      <w:rStyle w:val="123"/>
                      <w:rFonts w:eastAsia="宋体"/>
                      <w:b/>
                      <w:bCs/>
                      <w:u w:val="none"/>
                      <w:vertAlign w:val="baseline"/>
                      <w:lang w:val="en-US" w:eastAsia="zh-CN" w:bidi="ar"/>
                    </w:rPr>
                    <w:t>t/a</w:t>
                  </w:r>
                  <w:r>
                    <w:rPr>
                      <w:rStyle w:val="60"/>
                      <w:b/>
                      <w:bCs/>
                      <w:u w:val="none"/>
                      <w:vertAlign w:val="baseli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0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60"/>
                      <w:b/>
                      <w:bCs/>
                      <w:u w:val="none"/>
                      <w:vertAlign w:val="baseline"/>
                      <w:lang w:val="en-US" w:eastAsia="zh-CN" w:bidi="ar"/>
                    </w:rPr>
                    <w:t>排放标准</w:t>
                  </w:r>
                </w:p>
              </w:tc>
            </w:tr>
            <w:tr w14:paraId="2EA1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FD6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1</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92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Style w:val="115"/>
                      <w:b w:val="0"/>
                      <w:bCs w:val="0"/>
                      <w:u w:val="none"/>
                      <w:vertAlign w:val="baseline"/>
                      <w:lang w:val="en-US" w:eastAsia="zh-CN" w:bidi="ar"/>
                    </w:rPr>
                    <w:t>员工生活</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60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b w:val="0"/>
                      <w:bCs w:val="0"/>
                      <w:i w:val="0"/>
                      <w:iCs w:val="0"/>
                      <w:color w:val="000000"/>
                      <w:kern w:val="0"/>
                      <w:sz w:val="21"/>
                      <w:szCs w:val="21"/>
                      <w:u w:val="none"/>
                      <w:vertAlign w:val="baseline"/>
                      <w:lang w:val="en-US" w:eastAsia="zh-CN" w:bidi="ar"/>
                    </w:rPr>
                    <w:t>生活污水</w:t>
                  </w:r>
                </w:p>
                <w:p w14:paraId="576FB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b w:val="0"/>
                      <w:bCs w:val="0"/>
                      <w:i w:val="0"/>
                      <w:iCs w:val="0"/>
                      <w:color w:val="000000"/>
                      <w:kern w:val="0"/>
                      <w:sz w:val="21"/>
                      <w:szCs w:val="21"/>
                      <w:u w:val="none"/>
                      <w:vertAlign w:val="baseline"/>
                      <w:lang w:val="en-US" w:eastAsia="zh-CN" w:bidi="ar"/>
                    </w:rPr>
                    <w:t>(</w:t>
                  </w:r>
                  <w:r>
                    <w:rPr>
                      <w:rStyle w:val="113"/>
                      <w:rFonts w:hint="eastAsia"/>
                      <w:b w:val="0"/>
                      <w:bCs w:val="0"/>
                      <w:sz w:val="21"/>
                      <w:szCs w:val="21"/>
                      <w:u w:val="none"/>
                      <w:vertAlign w:val="baseline"/>
                      <w:lang w:val="en-US" w:eastAsia="zh-CN" w:bidi="ar"/>
                    </w:rPr>
                    <w:t>756m³/a</w:t>
                  </w:r>
                  <w:r>
                    <w:rPr>
                      <w:rStyle w:val="113"/>
                      <w:rFonts w:eastAsia="宋体"/>
                      <w:b w:val="0"/>
                      <w:bCs w:val="0"/>
                      <w:sz w:val="21"/>
                      <w:szCs w:val="21"/>
                      <w:u w:val="none"/>
                      <w:vertAlign w:val="baseli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2C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6"/>
                      <w:rFonts w:eastAsia="宋体"/>
                      <w:b w:val="0"/>
                      <w:bCs w:val="0"/>
                      <w:sz w:val="21"/>
                      <w:szCs w:val="21"/>
                      <w:u w:val="none"/>
                      <w:vertAlign w:val="baseline"/>
                      <w:lang w:val="en-US" w:eastAsia="zh-CN" w:bidi="ar"/>
                    </w:rPr>
                    <w:t>COD</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AE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cs="宋体"/>
                      <w:b w:val="0"/>
                      <w:bCs w:val="0"/>
                      <w:i w:val="0"/>
                      <w:iCs w:val="0"/>
                      <w:color w:val="000000"/>
                      <w:kern w:val="0"/>
                      <w:sz w:val="21"/>
                      <w:szCs w:val="21"/>
                      <w:u w:val="none"/>
                      <w:vertAlign w:val="baseline"/>
                      <w:lang w:val="en-US" w:eastAsia="zh-CN" w:bidi="ar"/>
                    </w:rPr>
                    <w:t>隔油池+四格净化设施处理后用作农肥，不外排</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FD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A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0.1512</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B1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Style w:val="115"/>
                      <w:rFonts w:hint="default"/>
                      <w:b w:val="0"/>
                      <w:bCs w:val="0"/>
                      <w:u w:val="none"/>
                      <w:vertAlign w:val="baseline"/>
                      <w:lang w:val="en-US" w:eastAsia="zh-CN" w:bidi="ar"/>
                    </w:rPr>
                    <w:t>用作农肥或林地灌溉</w:t>
                  </w:r>
                </w:p>
              </w:tc>
            </w:tr>
            <w:tr w14:paraId="509D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6A7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F3359">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49FB">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2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6"/>
                      <w:rFonts w:eastAsia="宋体"/>
                      <w:b w:val="0"/>
                      <w:bCs w:val="0"/>
                      <w:sz w:val="21"/>
                      <w:szCs w:val="21"/>
                      <w:u w:val="none"/>
                      <w:vertAlign w:val="baseline"/>
                      <w:lang w:val="en-US" w:eastAsia="zh-CN" w:bidi="ar"/>
                    </w:rPr>
                    <w:t>BOD</w:t>
                  </w:r>
                  <w:r>
                    <w:rPr>
                      <w:rStyle w:val="124"/>
                      <w:rFonts w:eastAsia="宋体"/>
                      <w:b w:val="0"/>
                      <w:bCs w:val="0"/>
                      <w:u w:val="none"/>
                      <w:vertAlign w:val="subscript"/>
                      <w:lang w:val="en-US" w:eastAsia="zh-CN" w:bidi="ar"/>
                    </w:rPr>
                    <w:t>5</w:t>
                  </w: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2E58">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66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AF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0.0756</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CBB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r>
            <w:tr w14:paraId="154E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AD1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B3D6">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6BF8">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F8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6"/>
                      <w:rFonts w:eastAsia="宋体"/>
                      <w:b w:val="0"/>
                      <w:bCs w:val="0"/>
                      <w:sz w:val="21"/>
                      <w:szCs w:val="21"/>
                      <w:u w:val="none"/>
                      <w:vertAlign w:val="baseline"/>
                      <w:lang w:val="en-US" w:eastAsia="zh-CN" w:bidi="ar"/>
                    </w:rPr>
                    <w:t>NH</w:t>
                  </w:r>
                  <w:r>
                    <w:rPr>
                      <w:rStyle w:val="124"/>
                      <w:rFonts w:eastAsia="宋体"/>
                      <w:b w:val="0"/>
                      <w:bCs w:val="0"/>
                      <w:u w:val="none"/>
                      <w:vertAlign w:val="subscript"/>
                      <w:lang w:val="en-US" w:eastAsia="zh-CN" w:bidi="ar"/>
                    </w:rPr>
                    <w:t>3</w:t>
                  </w:r>
                  <w:r>
                    <w:rPr>
                      <w:rStyle w:val="116"/>
                      <w:rFonts w:eastAsia="宋体"/>
                      <w:b w:val="0"/>
                      <w:bCs w:val="0"/>
                      <w:sz w:val="21"/>
                      <w:szCs w:val="21"/>
                      <w:u w:val="none"/>
                      <w:vertAlign w:val="baseline"/>
                      <w:lang w:val="en-US" w:eastAsia="zh-CN" w:bidi="ar"/>
                    </w:rPr>
                    <w:t>-N</w:t>
                  </w: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A12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3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69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0.01512</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537E">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r>
            <w:tr w14:paraId="7439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185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BDF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6A61">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70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116"/>
                      <w:rFonts w:eastAsia="宋体"/>
                      <w:b w:val="0"/>
                      <w:bCs w:val="0"/>
                      <w:sz w:val="21"/>
                      <w:szCs w:val="21"/>
                      <w:u w:val="none"/>
                      <w:vertAlign w:val="baseline"/>
                      <w:lang w:val="en-US" w:eastAsia="zh-CN" w:bidi="ar"/>
                    </w:rPr>
                    <w:t>SS</w:t>
                  </w: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0404">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F7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35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0.0756</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2E6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r>
            <w:tr w14:paraId="699D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92D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vertAlign w:val="baseli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B340">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C642">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B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Style w:val="119"/>
                      <w:b w:val="0"/>
                      <w:bCs w:val="0"/>
                      <w:u w:val="none"/>
                      <w:vertAlign w:val="baseline"/>
                      <w:lang w:val="en-US" w:eastAsia="zh-CN" w:bidi="ar"/>
                    </w:rPr>
                    <w:t>动植物油</w:t>
                  </w: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FB6B9">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FC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30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0.00756</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BDA2">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r>
          </w:tbl>
          <w:p w14:paraId="7E4A106B">
            <w:pPr>
              <w:pStyle w:val="35"/>
              <w:keepNext w:val="0"/>
              <w:keepLines w:val="0"/>
              <w:suppressLineNumbers w:val="0"/>
              <w:spacing w:before="157" w:beforeLines="50" w:beforeAutospacing="0" w:after="0" w:afterAutospacing="0" w:line="240" w:lineRule="auto"/>
              <w:ind w:left="0" w:right="0"/>
              <w:rPr>
                <w:rFonts w:hint="default" w:eastAsia="宋体"/>
                <w:color w:val="auto"/>
                <w:sz w:val="21"/>
                <w:szCs w:val="21"/>
                <w:u w:val="none"/>
                <w:lang w:val="en-US" w:eastAsia="zh-CN"/>
              </w:rPr>
            </w:pPr>
            <w:r>
              <w:rPr>
                <w:rFonts w:hint="default"/>
                <w:color w:val="auto"/>
                <w:sz w:val="21"/>
                <w:szCs w:val="21"/>
                <w:u w:val="none"/>
              </w:rPr>
              <w:t>表4-</w:t>
            </w:r>
            <w:r>
              <w:rPr>
                <w:rFonts w:hint="eastAsia"/>
                <w:color w:val="auto"/>
                <w:sz w:val="21"/>
                <w:szCs w:val="21"/>
                <w:u w:val="none"/>
                <w:lang w:val="en-US" w:eastAsia="zh-CN"/>
              </w:rPr>
              <w:t>8</w:t>
            </w:r>
            <w:r>
              <w:rPr>
                <w:rFonts w:hint="default"/>
                <w:color w:val="auto"/>
                <w:sz w:val="21"/>
                <w:szCs w:val="21"/>
                <w:u w:val="none"/>
              </w:rPr>
              <w:t xml:space="preserve"> </w:t>
            </w:r>
            <w:r>
              <w:rPr>
                <w:rFonts w:hint="eastAsia"/>
                <w:color w:val="auto"/>
                <w:sz w:val="21"/>
                <w:szCs w:val="21"/>
                <w:u w:val="none"/>
                <w:lang w:val="en-US" w:eastAsia="zh-CN"/>
              </w:rPr>
              <w:t>水污染物治理设施信息表</w:t>
            </w:r>
          </w:p>
          <w:tbl>
            <w:tblPr>
              <w:tblStyle w:val="25"/>
              <w:tblW w:w="85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76"/>
              <w:gridCol w:w="768"/>
              <w:gridCol w:w="659"/>
              <w:gridCol w:w="816"/>
              <w:gridCol w:w="794"/>
              <w:gridCol w:w="654"/>
              <w:gridCol w:w="792"/>
              <w:gridCol w:w="617"/>
              <w:gridCol w:w="650"/>
              <w:gridCol w:w="750"/>
              <w:gridCol w:w="494"/>
            </w:tblGrid>
            <w:tr w14:paraId="5368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332" w:type="pct"/>
                  <w:vMerge w:val="restart"/>
                  <w:tcMar>
                    <w:top w:w="57" w:type="dxa"/>
                    <w:left w:w="108" w:type="dxa"/>
                    <w:bottom w:w="57" w:type="dxa"/>
                    <w:right w:w="108" w:type="dxa"/>
                  </w:tcMar>
                  <w:vAlign w:val="center"/>
                </w:tcPr>
                <w:p w14:paraId="50540BF1">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废水类别</w:t>
                  </w:r>
                </w:p>
              </w:tc>
              <w:tc>
                <w:tcPr>
                  <w:tcW w:w="571" w:type="pct"/>
                  <w:vMerge w:val="restart"/>
                  <w:tcMar>
                    <w:top w:w="57" w:type="dxa"/>
                    <w:left w:w="108" w:type="dxa"/>
                    <w:bottom w:w="57" w:type="dxa"/>
                    <w:right w:w="108" w:type="dxa"/>
                  </w:tcMar>
                  <w:vAlign w:val="center"/>
                </w:tcPr>
                <w:p w14:paraId="0286B5F2">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污染物种类</w:t>
                  </w:r>
                </w:p>
              </w:tc>
              <w:tc>
                <w:tcPr>
                  <w:tcW w:w="3367" w:type="pct"/>
                  <w:gridSpan w:val="8"/>
                  <w:tcMar>
                    <w:top w:w="57" w:type="dxa"/>
                    <w:left w:w="108" w:type="dxa"/>
                    <w:bottom w:w="57" w:type="dxa"/>
                    <w:right w:w="108" w:type="dxa"/>
                  </w:tcMar>
                  <w:vAlign w:val="center"/>
                </w:tcPr>
                <w:p w14:paraId="2F15ED8A">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污染治理设施</w:t>
                  </w:r>
                </w:p>
              </w:tc>
              <w:tc>
                <w:tcPr>
                  <w:tcW w:w="439" w:type="pct"/>
                  <w:vMerge w:val="restart"/>
                  <w:tcMar>
                    <w:top w:w="57" w:type="dxa"/>
                    <w:left w:w="108" w:type="dxa"/>
                    <w:bottom w:w="57" w:type="dxa"/>
                    <w:right w:w="108" w:type="dxa"/>
                  </w:tcMar>
                  <w:vAlign w:val="center"/>
                </w:tcPr>
                <w:p w14:paraId="49C7F9FB">
                  <w:pPr>
                    <w:pStyle w:val="87"/>
                    <w:keepNext w:val="0"/>
                    <w:keepLines w:val="0"/>
                    <w:suppressLineNumbers w:val="0"/>
                    <w:spacing w:before="0" w:beforeAutospacing="0" w:after="0" w:afterAutospacing="0"/>
                    <w:ind w:left="0" w:right="0"/>
                    <w:rPr>
                      <w:rFonts w:hint="eastAsia" w:eastAsia="宋体"/>
                      <w:b/>
                      <w:bCs/>
                      <w:color w:val="auto"/>
                      <w:szCs w:val="21"/>
                      <w:u w:val="none"/>
                      <w:vertAlign w:val="baseline"/>
                      <w:lang w:val="en-US" w:eastAsia="zh-CN"/>
                    </w:rPr>
                  </w:pPr>
                  <w:r>
                    <w:rPr>
                      <w:rFonts w:hint="eastAsia"/>
                      <w:b/>
                      <w:bCs/>
                      <w:color w:val="auto"/>
                      <w:szCs w:val="21"/>
                      <w:u w:val="none"/>
                      <w:vertAlign w:val="baseline"/>
                      <w:lang w:val="en-US" w:eastAsia="zh-CN"/>
                    </w:rPr>
                    <w:t>排放去向</w:t>
                  </w:r>
                </w:p>
              </w:tc>
              <w:tc>
                <w:tcPr>
                  <w:tcW w:w="289" w:type="pct"/>
                  <w:vMerge w:val="restart"/>
                  <w:tcMar>
                    <w:top w:w="57" w:type="dxa"/>
                    <w:left w:w="108" w:type="dxa"/>
                    <w:bottom w:w="57" w:type="dxa"/>
                    <w:right w:w="108" w:type="dxa"/>
                  </w:tcMar>
                  <w:vAlign w:val="center"/>
                </w:tcPr>
                <w:p w14:paraId="2F6C3A4E">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排放方式</w:t>
                  </w:r>
                </w:p>
              </w:tc>
            </w:tr>
            <w:tr w14:paraId="71D3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vMerge w:val="continue"/>
                  <w:tcMar>
                    <w:top w:w="57" w:type="dxa"/>
                    <w:left w:w="108" w:type="dxa"/>
                    <w:bottom w:w="57" w:type="dxa"/>
                    <w:right w:w="108" w:type="dxa"/>
                  </w:tcMar>
                  <w:vAlign w:val="center"/>
                </w:tcPr>
                <w:p w14:paraId="6BCD869E">
                  <w:pPr>
                    <w:pStyle w:val="87"/>
                    <w:keepNext w:val="0"/>
                    <w:keepLines w:val="0"/>
                    <w:suppressLineNumbers w:val="0"/>
                    <w:spacing w:before="0" w:beforeAutospacing="0" w:after="0" w:afterAutospacing="0"/>
                    <w:ind w:left="0" w:right="0"/>
                    <w:rPr>
                      <w:rFonts w:hint="eastAsia"/>
                      <w:b/>
                      <w:bCs/>
                      <w:color w:val="auto"/>
                      <w:szCs w:val="21"/>
                      <w:u w:val="none"/>
                      <w:vertAlign w:val="baseline"/>
                    </w:rPr>
                  </w:pPr>
                </w:p>
              </w:tc>
              <w:tc>
                <w:tcPr>
                  <w:tcW w:w="571" w:type="pct"/>
                  <w:vMerge w:val="continue"/>
                  <w:tcMar>
                    <w:top w:w="57" w:type="dxa"/>
                    <w:left w:w="108" w:type="dxa"/>
                    <w:bottom w:w="57" w:type="dxa"/>
                    <w:right w:w="108" w:type="dxa"/>
                  </w:tcMar>
                  <w:vAlign w:val="center"/>
                </w:tcPr>
                <w:p w14:paraId="2EE65B85">
                  <w:pPr>
                    <w:pStyle w:val="87"/>
                    <w:keepNext w:val="0"/>
                    <w:keepLines w:val="0"/>
                    <w:suppressLineNumbers w:val="0"/>
                    <w:spacing w:before="0" w:beforeAutospacing="0" w:after="0" w:afterAutospacing="0"/>
                    <w:ind w:left="0" w:right="0"/>
                    <w:rPr>
                      <w:rFonts w:hint="eastAsia"/>
                      <w:b/>
                      <w:bCs/>
                      <w:color w:val="auto"/>
                      <w:szCs w:val="21"/>
                      <w:u w:val="none"/>
                      <w:vertAlign w:val="baseline"/>
                    </w:rPr>
                  </w:pPr>
                </w:p>
              </w:tc>
              <w:tc>
                <w:tcPr>
                  <w:tcW w:w="449" w:type="pct"/>
                  <w:tcMar>
                    <w:top w:w="57" w:type="dxa"/>
                    <w:left w:w="108" w:type="dxa"/>
                    <w:bottom w:w="57" w:type="dxa"/>
                    <w:right w:w="108" w:type="dxa"/>
                  </w:tcMar>
                  <w:vAlign w:val="center"/>
                </w:tcPr>
                <w:p w14:paraId="45FAC9EF">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污染治理设施编号</w:t>
                  </w:r>
                </w:p>
              </w:tc>
              <w:tc>
                <w:tcPr>
                  <w:tcW w:w="385" w:type="pct"/>
                  <w:tcMar>
                    <w:top w:w="57" w:type="dxa"/>
                    <w:left w:w="108" w:type="dxa"/>
                    <w:bottom w:w="57" w:type="dxa"/>
                    <w:right w:w="108" w:type="dxa"/>
                  </w:tcMar>
                  <w:vAlign w:val="center"/>
                </w:tcPr>
                <w:p w14:paraId="1694DD3A">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污染治理设施名称</w:t>
                  </w:r>
                </w:p>
              </w:tc>
              <w:tc>
                <w:tcPr>
                  <w:tcW w:w="477" w:type="pct"/>
                  <w:tcMar>
                    <w:top w:w="57" w:type="dxa"/>
                    <w:left w:w="108" w:type="dxa"/>
                    <w:bottom w:w="57" w:type="dxa"/>
                    <w:right w:w="108" w:type="dxa"/>
                  </w:tcMar>
                  <w:vAlign w:val="center"/>
                </w:tcPr>
                <w:p w14:paraId="20818B0E">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污染治理设施工艺</w:t>
                  </w:r>
                </w:p>
              </w:tc>
              <w:tc>
                <w:tcPr>
                  <w:tcW w:w="464" w:type="pct"/>
                  <w:tcMar>
                    <w:top w:w="57" w:type="dxa"/>
                    <w:left w:w="108" w:type="dxa"/>
                    <w:bottom w:w="57" w:type="dxa"/>
                    <w:right w:w="108" w:type="dxa"/>
                  </w:tcMar>
                  <w:vAlign w:val="center"/>
                </w:tcPr>
                <w:p w14:paraId="029813E5">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设计处理水量（t/h）</w:t>
                  </w:r>
                </w:p>
              </w:tc>
              <w:tc>
                <w:tcPr>
                  <w:tcW w:w="382" w:type="pct"/>
                  <w:tcMar>
                    <w:top w:w="57" w:type="dxa"/>
                    <w:left w:w="108" w:type="dxa"/>
                    <w:bottom w:w="57" w:type="dxa"/>
                    <w:right w:w="108" w:type="dxa"/>
                  </w:tcMar>
                  <w:vAlign w:val="center"/>
                </w:tcPr>
                <w:p w14:paraId="7C30F93E">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是否为可行技术</w:t>
                  </w:r>
                </w:p>
              </w:tc>
              <w:tc>
                <w:tcPr>
                  <w:tcW w:w="463" w:type="pct"/>
                  <w:tcMar>
                    <w:top w:w="57" w:type="dxa"/>
                    <w:left w:w="108" w:type="dxa"/>
                    <w:bottom w:w="57" w:type="dxa"/>
                    <w:right w:w="108" w:type="dxa"/>
                  </w:tcMar>
                  <w:vAlign w:val="center"/>
                </w:tcPr>
                <w:p w14:paraId="5861EE9D">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是否涉及商业机密</w:t>
                  </w:r>
                </w:p>
              </w:tc>
              <w:tc>
                <w:tcPr>
                  <w:tcW w:w="361" w:type="pct"/>
                  <w:tcMar>
                    <w:top w:w="57" w:type="dxa"/>
                    <w:left w:w="108" w:type="dxa"/>
                    <w:bottom w:w="57" w:type="dxa"/>
                    <w:right w:w="108" w:type="dxa"/>
                  </w:tcMar>
                  <w:vAlign w:val="center"/>
                </w:tcPr>
                <w:p w14:paraId="2E672BB0">
                  <w:pPr>
                    <w:pStyle w:val="87"/>
                    <w:keepNext w:val="0"/>
                    <w:keepLines w:val="0"/>
                    <w:suppressLineNumbers w:val="0"/>
                    <w:spacing w:before="0" w:beforeAutospacing="0" w:after="0" w:afterAutospacing="0"/>
                    <w:ind w:left="0" w:right="0"/>
                    <w:rPr>
                      <w:rFonts w:hint="eastAsia" w:eastAsia="宋体"/>
                      <w:b/>
                      <w:bCs/>
                      <w:color w:val="auto"/>
                      <w:szCs w:val="21"/>
                      <w:u w:val="none"/>
                      <w:vertAlign w:val="baseline"/>
                      <w:lang w:val="en-US" w:eastAsia="zh-CN"/>
                    </w:rPr>
                  </w:pPr>
                  <w:r>
                    <w:rPr>
                      <w:rFonts w:hint="eastAsia"/>
                      <w:b/>
                      <w:bCs/>
                      <w:color w:val="auto"/>
                      <w:szCs w:val="21"/>
                      <w:u w:val="none"/>
                      <w:vertAlign w:val="baseline"/>
                      <w:lang w:val="en-US" w:eastAsia="zh-CN"/>
                    </w:rPr>
                    <w:t>其他信息</w:t>
                  </w:r>
                </w:p>
              </w:tc>
              <w:tc>
                <w:tcPr>
                  <w:tcW w:w="380" w:type="pct"/>
                  <w:tcMar>
                    <w:top w:w="57" w:type="dxa"/>
                    <w:left w:w="108" w:type="dxa"/>
                    <w:bottom w:w="57" w:type="dxa"/>
                    <w:right w:w="108" w:type="dxa"/>
                  </w:tcMar>
                  <w:vAlign w:val="center"/>
                </w:tcPr>
                <w:p w14:paraId="1786A9E4">
                  <w:pPr>
                    <w:pStyle w:val="87"/>
                    <w:keepNext w:val="0"/>
                    <w:keepLines w:val="0"/>
                    <w:suppressLineNumbers w:val="0"/>
                    <w:spacing w:before="0" w:beforeAutospacing="0" w:after="0" w:afterAutospacing="0"/>
                    <w:ind w:left="0" w:right="0"/>
                    <w:rPr>
                      <w:rFonts w:hint="default" w:eastAsia="宋体"/>
                      <w:b/>
                      <w:bCs/>
                      <w:color w:val="auto"/>
                      <w:szCs w:val="21"/>
                      <w:u w:val="none"/>
                      <w:vertAlign w:val="baseline"/>
                      <w:lang w:val="en-US" w:eastAsia="zh-CN"/>
                    </w:rPr>
                  </w:pPr>
                  <w:r>
                    <w:rPr>
                      <w:rFonts w:hint="eastAsia"/>
                      <w:b/>
                      <w:bCs/>
                      <w:color w:val="auto"/>
                      <w:szCs w:val="21"/>
                      <w:u w:val="none"/>
                      <w:vertAlign w:val="baseline"/>
                      <w:lang w:val="en-US" w:eastAsia="zh-CN"/>
                    </w:rPr>
                    <w:t>排放口编号</w:t>
                  </w:r>
                </w:p>
              </w:tc>
              <w:tc>
                <w:tcPr>
                  <w:tcW w:w="439" w:type="pct"/>
                  <w:vMerge w:val="continue"/>
                  <w:tcMar>
                    <w:top w:w="57" w:type="dxa"/>
                    <w:left w:w="108" w:type="dxa"/>
                    <w:bottom w:w="57" w:type="dxa"/>
                    <w:right w:w="108" w:type="dxa"/>
                  </w:tcMar>
                  <w:vAlign w:val="center"/>
                </w:tcPr>
                <w:p w14:paraId="4390EFD7">
                  <w:pPr>
                    <w:pStyle w:val="87"/>
                    <w:keepNext w:val="0"/>
                    <w:keepLines w:val="0"/>
                    <w:suppressLineNumbers w:val="0"/>
                    <w:spacing w:before="0" w:beforeAutospacing="0" w:after="0" w:afterAutospacing="0"/>
                    <w:ind w:left="0" w:right="0"/>
                    <w:rPr>
                      <w:rFonts w:hint="eastAsia"/>
                      <w:color w:val="auto"/>
                      <w:szCs w:val="21"/>
                      <w:u w:val="none"/>
                      <w:vertAlign w:val="baseline"/>
                    </w:rPr>
                  </w:pPr>
                </w:p>
              </w:tc>
              <w:tc>
                <w:tcPr>
                  <w:tcW w:w="289" w:type="pct"/>
                  <w:vMerge w:val="continue"/>
                  <w:tcMar>
                    <w:top w:w="57" w:type="dxa"/>
                    <w:left w:w="108" w:type="dxa"/>
                    <w:bottom w:w="57" w:type="dxa"/>
                    <w:right w:w="108" w:type="dxa"/>
                  </w:tcMar>
                  <w:vAlign w:val="center"/>
                </w:tcPr>
                <w:p w14:paraId="4C593E97">
                  <w:pPr>
                    <w:pStyle w:val="87"/>
                    <w:keepNext w:val="0"/>
                    <w:keepLines w:val="0"/>
                    <w:suppressLineNumbers w:val="0"/>
                    <w:spacing w:before="0" w:beforeAutospacing="0" w:after="0" w:afterAutospacing="0"/>
                    <w:ind w:left="0" w:right="0"/>
                    <w:rPr>
                      <w:rFonts w:hint="eastAsia"/>
                      <w:color w:val="auto"/>
                      <w:szCs w:val="21"/>
                      <w:u w:val="none"/>
                      <w:vertAlign w:val="baseline"/>
                    </w:rPr>
                  </w:pPr>
                </w:p>
              </w:tc>
            </w:tr>
            <w:tr w14:paraId="4F7B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Mar>
                    <w:top w:w="57" w:type="dxa"/>
                    <w:left w:w="108" w:type="dxa"/>
                    <w:bottom w:w="57" w:type="dxa"/>
                    <w:right w:w="108" w:type="dxa"/>
                  </w:tcMar>
                  <w:vAlign w:val="center"/>
                </w:tcPr>
                <w:p w14:paraId="4E550E1C">
                  <w:pPr>
                    <w:pStyle w:val="87"/>
                    <w:keepNext w:val="0"/>
                    <w:keepLines w:val="0"/>
                    <w:suppressLineNumbers w:val="0"/>
                    <w:spacing w:before="0" w:beforeAutospacing="0" w:after="0" w:afterAutospacing="0"/>
                    <w:ind w:left="0" w:right="0"/>
                    <w:rPr>
                      <w:rFonts w:hint="eastAsia" w:eastAsia="宋体"/>
                      <w:color w:val="auto"/>
                      <w:szCs w:val="21"/>
                      <w:u w:val="none"/>
                      <w:vertAlign w:val="baseline"/>
                      <w:lang w:val="en-US" w:eastAsia="zh-CN"/>
                    </w:rPr>
                  </w:pPr>
                  <w:r>
                    <w:rPr>
                      <w:rFonts w:hint="eastAsia"/>
                      <w:color w:val="auto"/>
                      <w:szCs w:val="21"/>
                      <w:u w:val="none"/>
                      <w:vertAlign w:val="baseline"/>
                      <w:lang w:val="en-US" w:eastAsia="zh-CN"/>
                    </w:rPr>
                    <w:t>生活污水</w:t>
                  </w:r>
                </w:p>
              </w:tc>
              <w:tc>
                <w:tcPr>
                  <w:tcW w:w="571" w:type="pct"/>
                  <w:tcMar>
                    <w:top w:w="57" w:type="dxa"/>
                    <w:left w:w="108" w:type="dxa"/>
                    <w:bottom w:w="57" w:type="dxa"/>
                    <w:right w:w="108" w:type="dxa"/>
                  </w:tcMar>
                  <w:vAlign w:val="center"/>
                </w:tcPr>
                <w:p w14:paraId="49784425">
                  <w:pPr>
                    <w:pStyle w:val="87"/>
                    <w:keepNext w:val="0"/>
                    <w:keepLines w:val="0"/>
                    <w:suppressLineNumbers w:val="0"/>
                    <w:spacing w:before="0" w:beforeAutospacing="0" w:after="0" w:afterAutospacing="0"/>
                    <w:ind w:left="0" w:right="0"/>
                    <w:rPr>
                      <w:rFonts w:hint="eastAsia" w:eastAsia="宋体"/>
                      <w:color w:val="auto"/>
                      <w:szCs w:val="21"/>
                      <w:u w:val="none"/>
                      <w:vertAlign w:val="baseline"/>
                      <w:lang w:eastAsia="zh-CN"/>
                    </w:rPr>
                  </w:pPr>
                  <w:r>
                    <w:rPr>
                      <w:rFonts w:hint="eastAsia"/>
                      <w:color w:val="auto"/>
                      <w:szCs w:val="21"/>
                      <w:u w:val="none"/>
                      <w:vertAlign w:val="baseline"/>
                    </w:rPr>
                    <w:t>COD</w:t>
                  </w:r>
                  <w:r>
                    <w:rPr>
                      <w:rFonts w:hint="eastAsia"/>
                      <w:color w:val="auto"/>
                      <w:szCs w:val="21"/>
                      <w:u w:val="none"/>
                      <w:vertAlign w:val="baseline"/>
                      <w:lang w:eastAsia="zh-CN"/>
                    </w:rPr>
                    <w:t>、</w:t>
                  </w:r>
                </w:p>
                <w:p w14:paraId="3E9850B3">
                  <w:pPr>
                    <w:pStyle w:val="87"/>
                    <w:keepNext w:val="0"/>
                    <w:keepLines w:val="0"/>
                    <w:suppressLineNumbers w:val="0"/>
                    <w:spacing w:before="0" w:beforeAutospacing="0" w:after="0" w:afterAutospacing="0"/>
                    <w:ind w:left="0" w:right="0"/>
                    <w:rPr>
                      <w:rFonts w:hint="eastAsia" w:eastAsia="宋体"/>
                      <w:color w:val="auto"/>
                      <w:szCs w:val="21"/>
                      <w:u w:val="none"/>
                      <w:vertAlign w:val="baseline"/>
                      <w:lang w:eastAsia="zh-CN"/>
                    </w:rPr>
                  </w:pPr>
                  <w:r>
                    <w:rPr>
                      <w:rFonts w:hint="eastAsia"/>
                      <w:color w:val="auto"/>
                      <w:szCs w:val="21"/>
                      <w:u w:val="none"/>
                      <w:vertAlign w:val="baseline"/>
                    </w:rPr>
                    <w:t>BOD</w:t>
                  </w:r>
                  <w:r>
                    <w:rPr>
                      <w:rFonts w:hint="eastAsia"/>
                      <w:color w:val="auto"/>
                      <w:szCs w:val="21"/>
                      <w:u w:val="none"/>
                      <w:vertAlign w:val="subscript"/>
                    </w:rPr>
                    <w:t>5</w:t>
                  </w:r>
                </w:p>
                <w:p w14:paraId="0DC2FEDE">
                  <w:pPr>
                    <w:pStyle w:val="87"/>
                    <w:keepNext w:val="0"/>
                    <w:keepLines w:val="0"/>
                    <w:suppressLineNumbers w:val="0"/>
                    <w:spacing w:before="0" w:beforeAutospacing="0" w:after="0" w:afterAutospacing="0"/>
                    <w:ind w:left="0" w:right="0"/>
                    <w:rPr>
                      <w:rFonts w:hint="default" w:eastAsia="宋体"/>
                      <w:color w:val="auto"/>
                      <w:szCs w:val="21"/>
                      <w:u w:val="none"/>
                      <w:vertAlign w:val="baseline"/>
                      <w:lang w:val="en-US" w:eastAsia="zh-CN"/>
                    </w:rPr>
                  </w:pPr>
                  <w:r>
                    <w:rPr>
                      <w:rFonts w:hint="eastAsia"/>
                      <w:color w:val="auto"/>
                      <w:szCs w:val="21"/>
                      <w:u w:val="none"/>
                      <w:vertAlign w:val="baseline"/>
                      <w:lang w:eastAsia="zh-CN"/>
                    </w:rPr>
                    <w:t>、</w:t>
                  </w:r>
                  <w:r>
                    <w:rPr>
                      <w:rFonts w:hint="eastAsia"/>
                      <w:color w:val="auto"/>
                      <w:szCs w:val="21"/>
                      <w:u w:val="none"/>
                      <w:vertAlign w:val="baseline"/>
                      <w:lang w:val="en-US" w:eastAsia="zh-CN"/>
                    </w:rPr>
                    <w:t>氨氮</w:t>
                  </w:r>
                  <w:r>
                    <w:rPr>
                      <w:rFonts w:hint="eastAsia"/>
                      <w:color w:val="auto"/>
                      <w:szCs w:val="21"/>
                      <w:u w:val="none"/>
                      <w:vertAlign w:val="baseline"/>
                    </w:rPr>
                    <w:t>SS</w:t>
                  </w:r>
                  <w:r>
                    <w:rPr>
                      <w:rFonts w:hint="eastAsia"/>
                      <w:color w:val="auto"/>
                      <w:szCs w:val="21"/>
                      <w:u w:val="none"/>
                      <w:vertAlign w:val="baseline"/>
                      <w:lang w:eastAsia="zh-CN"/>
                    </w:rPr>
                    <w:t>、</w:t>
                  </w:r>
                  <w:r>
                    <w:rPr>
                      <w:rFonts w:hint="eastAsia"/>
                      <w:color w:val="auto"/>
                      <w:szCs w:val="21"/>
                      <w:u w:val="none"/>
                      <w:vertAlign w:val="baseline"/>
                      <w:lang w:val="en-US" w:eastAsia="zh-CN"/>
                    </w:rPr>
                    <w:t>动植物油</w:t>
                  </w:r>
                </w:p>
              </w:tc>
              <w:tc>
                <w:tcPr>
                  <w:tcW w:w="449" w:type="pct"/>
                  <w:tcMar>
                    <w:top w:w="57" w:type="dxa"/>
                    <w:left w:w="108" w:type="dxa"/>
                    <w:bottom w:w="57" w:type="dxa"/>
                    <w:right w:w="108" w:type="dxa"/>
                  </w:tcMar>
                  <w:vAlign w:val="center"/>
                </w:tcPr>
                <w:p w14:paraId="21F777DB">
                  <w:pPr>
                    <w:pStyle w:val="87"/>
                    <w:keepNext w:val="0"/>
                    <w:keepLines w:val="0"/>
                    <w:suppressLineNumbers w:val="0"/>
                    <w:spacing w:before="0" w:beforeAutospacing="0" w:after="0" w:afterAutospacing="0"/>
                    <w:ind w:left="0" w:right="0"/>
                    <w:rPr>
                      <w:rFonts w:hint="default" w:eastAsia="宋体"/>
                      <w:color w:val="auto"/>
                      <w:szCs w:val="21"/>
                      <w:u w:val="none"/>
                      <w:vertAlign w:val="baseline"/>
                      <w:lang w:val="en-US" w:eastAsia="zh-CN"/>
                    </w:rPr>
                  </w:pPr>
                  <w:r>
                    <w:rPr>
                      <w:rFonts w:hint="eastAsia"/>
                      <w:color w:val="auto"/>
                      <w:szCs w:val="21"/>
                      <w:u w:val="none"/>
                      <w:vertAlign w:val="baseline"/>
                      <w:lang w:val="en-US" w:eastAsia="zh-CN"/>
                    </w:rPr>
                    <w:t>TW001</w:t>
                  </w:r>
                </w:p>
              </w:tc>
              <w:tc>
                <w:tcPr>
                  <w:tcW w:w="385" w:type="pct"/>
                  <w:tcMar>
                    <w:top w:w="57" w:type="dxa"/>
                    <w:left w:w="108" w:type="dxa"/>
                    <w:bottom w:w="57" w:type="dxa"/>
                    <w:right w:w="108" w:type="dxa"/>
                  </w:tcMar>
                  <w:vAlign w:val="center"/>
                </w:tcPr>
                <w:p w14:paraId="200EDB6C">
                  <w:pPr>
                    <w:pStyle w:val="87"/>
                    <w:keepNext w:val="0"/>
                    <w:keepLines w:val="0"/>
                    <w:suppressLineNumbers w:val="0"/>
                    <w:spacing w:before="0" w:beforeAutospacing="0" w:after="0" w:afterAutospacing="0"/>
                    <w:ind w:left="0" w:right="0"/>
                    <w:rPr>
                      <w:rFonts w:hint="default" w:eastAsia="宋体"/>
                      <w:color w:val="auto"/>
                      <w:szCs w:val="21"/>
                      <w:u w:val="none"/>
                      <w:vertAlign w:val="baseline"/>
                      <w:lang w:val="en-US" w:eastAsia="zh-CN"/>
                    </w:rPr>
                  </w:pPr>
                  <w:r>
                    <w:rPr>
                      <w:rFonts w:hint="eastAsia"/>
                      <w:color w:val="auto"/>
                      <w:szCs w:val="21"/>
                      <w:u w:val="none"/>
                      <w:vertAlign w:val="baseline"/>
                      <w:lang w:val="en-US" w:eastAsia="zh-CN"/>
                    </w:rPr>
                    <w:t>隔油池+四格净化设施</w:t>
                  </w:r>
                </w:p>
              </w:tc>
              <w:tc>
                <w:tcPr>
                  <w:tcW w:w="477" w:type="pct"/>
                  <w:tcMar>
                    <w:top w:w="57" w:type="dxa"/>
                    <w:left w:w="108" w:type="dxa"/>
                    <w:bottom w:w="57" w:type="dxa"/>
                    <w:right w:w="108" w:type="dxa"/>
                  </w:tcMar>
                  <w:vAlign w:val="center"/>
                </w:tcPr>
                <w:p w14:paraId="555BFE14">
                  <w:pPr>
                    <w:pStyle w:val="87"/>
                    <w:keepNext w:val="0"/>
                    <w:keepLines w:val="0"/>
                    <w:suppressLineNumbers w:val="0"/>
                    <w:spacing w:before="0" w:beforeAutospacing="0" w:after="0" w:afterAutospacing="0"/>
                    <w:ind w:left="0" w:right="0"/>
                    <w:rPr>
                      <w:rFonts w:hint="default" w:eastAsia="宋体"/>
                      <w:color w:val="auto"/>
                      <w:szCs w:val="21"/>
                      <w:u w:val="none"/>
                      <w:vertAlign w:val="baseline"/>
                      <w:lang w:val="en-US" w:eastAsia="zh-CN"/>
                    </w:rPr>
                  </w:pPr>
                  <w:r>
                    <w:rPr>
                      <w:rFonts w:hint="eastAsia"/>
                      <w:color w:val="auto"/>
                      <w:szCs w:val="21"/>
                      <w:u w:val="none"/>
                      <w:vertAlign w:val="baseline"/>
                      <w:lang w:val="en-US" w:eastAsia="zh-CN"/>
                    </w:rPr>
                    <w:t>厌氧处理工艺</w:t>
                  </w:r>
                </w:p>
              </w:tc>
              <w:tc>
                <w:tcPr>
                  <w:tcW w:w="464" w:type="pct"/>
                  <w:tcMar>
                    <w:top w:w="57" w:type="dxa"/>
                    <w:left w:w="108" w:type="dxa"/>
                    <w:bottom w:w="57" w:type="dxa"/>
                    <w:right w:w="108" w:type="dxa"/>
                  </w:tcMar>
                  <w:vAlign w:val="center"/>
                </w:tcPr>
                <w:p w14:paraId="61BA09A1">
                  <w:pPr>
                    <w:pStyle w:val="87"/>
                    <w:keepNext w:val="0"/>
                    <w:keepLines w:val="0"/>
                    <w:suppressLineNumbers w:val="0"/>
                    <w:spacing w:before="0" w:beforeAutospacing="0" w:after="0" w:afterAutospacing="0"/>
                    <w:ind w:left="0" w:right="0"/>
                    <w:rPr>
                      <w:rFonts w:hint="eastAsia" w:eastAsia="宋体"/>
                      <w:color w:val="auto"/>
                      <w:szCs w:val="21"/>
                      <w:u w:val="none"/>
                      <w:vertAlign w:val="baseline"/>
                      <w:lang w:val="en-US" w:eastAsia="zh-CN"/>
                    </w:rPr>
                  </w:pPr>
                  <w:r>
                    <w:rPr>
                      <w:rFonts w:hint="eastAsia"/>
                      <w:color w:val="auto"/>
                      <w:szCs w:val="21"/>
                      <w:u w:val="none"/>
                      <w:vertAlign w:val="baseline"/>
                      <w:lang w:val="en-US" w:eastAsia="zh-CN"/>
                    </w:rPr>
                    <w:t>/</w:t>
                  </w:r>
                </w:p>
              </w:tc>
              <w:tc>
                <w:tcPr>
                  <w:tcW w:w="382" w:type="pct"/>
                  <w:tcMar>
                    <w:top w:w="57" w:type="dxa"/>
                    <w:left w:w="108" w:type="dxa"/>
                    <w:bottom w:w="57" w:type="dxa"/>
                    <w:right w:w="108" w:type="dxa"/>
                  </w:tcMar>
                  <w:vAlign w:val="center"/>
                </w:tcPr>
                <w:p w14:paraId="72B1B456">
                  <w:pPr>
                    <w:pStyle w:val="87"/>
                    <w:keepNext w:val="0"/>
                    <w:keepLines w:val="0"/>
                    <w:suppressLineNumbers w:val="0"/>
                    <w:spacing w:before="0" w:beforeAutospacing="0" w:after="0" w:afterAutospacing="0"/>
                    <w:ind w:left="0" w:right="0"/>
                    <w:rPr>
                      <w:rFonts w:hint="eastAsia" w:eastAsia="宋体"/>
                      <w:color w:val="auto"/>
                      <w:szCs w:val="21"/>
                      <w:u w:val="none"/>
                      <w:vertAlign w:val="baseline"/>
                      <w:lang w:eastAsia="zh-CN"/>
                    </w:rPr>
                  </w:pPr>
                  <w:r>
                    <w:rPr>
                      <w:rFonts w:hint="eastAsia"/>
                      <w:color w:val="auto"/>
                      <w:szCs w:val="21"/>
                      <w:u w:val="none"/>
                      <w:vertAlign w:val="baseline"/>
                      <w:lang w:eastAsia="zh-CN"/>
                    </w:rPr>
                    <w:t>是</w:t>
                  </w:r>
                </w:p>
              </w:tc>
              <w:tc>
                <w:tcPr>
                  <w:tcW w:w="463" w:type="pct"/>
                  <w:tcMar>
                    <w:top w:w="57" w:type="dxa"/>
                    <w:left w:w="108" w:type="dxa"/>
                    <w:bottom w:w="57" w:type="dxa"/>
                    <w:right w:w="108" w:type="dxa"/>
                  </w:tcMar>
                  <w:vAlign w:val="center"/>
                </w:tcPr>
                <w:p w14:paraId="7BE238A5">
                  <w:pPr>
                    <w:pStyle w:val="87"/>
                    <w:keepNext w:val="0"/>
                    <w:keepLines w:val="0"/>
                    <w:suppressLineNumbers w:val="0"/>
                    <w:spacing w:before="0" w:beforeAutospacing="0" w:after="0" w:afterAutospacing="0"/>
                    <w:ind w:left="0" w:right="0"/>
                    <w:rPr>
                      <w:rFonts w:hint="eastAsia" w:eastAsia="宋体"/>
                      <w:color w:val="auto"/>
                      <w:szCs w:val="21"/>
                      <w:u w:val="none"/>
                      <w:vertAlign w:val="baseline"/>
                      <w:lang w:val="en-US" w:eastAsia="zh-CN"/>
                    </w:rPr>
                  </w:pPr>
                  <w:r>
                    <w:rPr>
                      <w:rFonts w:hint="eastAsia"/>
                      <w:color w:val="auto"/>
                      <w:szCs w:val="21"/>
                      <w:u w:val="none"/>
                      <w:vertAlign w:val="baseline"/>
                      <w:lang w:val="en-US" w:eastAsia="zh-CN"/>
                    </w:rPr>
                    <w:t>否</w:t>
                  </w:r>
                </w:p>
              </w:tc>
              <w:tc>
                <w:tcPr>
                  <w:tcW w:w="361" w:type="pct"/>
                  <w:tcMar>
                    <w:top w:w="57" w:type="dxa"/>
                    <w:left w:w="108" w:type="dxa"/>
                    <w:bottom w:w="57" w:type="dxa"/>
                    <w:right w:w="108" w:type="dxa"/>
                  </w:tcMar>
                  <w:vAlign w:val="center"/>
                </w:tcPr>
                <w:p w14:paraId="736724F4">
                  <w:pPr>
                    <w:pStyle w:val="87"/>
                    <w:keepNext w:val="0"/>
                    <w:keepLines w:val="0"/>
                    <w:suppressLineNumbers w:val="0"/>
                    <w:spacing w:before="0" w:beforeAutospacing="0" w:after="0" w:afterAutospacing="0"/>
                    <w:ind w:left="0" w:right="0"/>
                    <w:rPr>
                      <w:rFonts w:hint="eastAsia" w:eastAsia="宋体"/>
                      <w:color w:val="auto"/>
                      <w:szCs w:val="21"/>
                      <w:u w:val="none"/>
                      <w:vertAlign w:val="baseline"/>
                      <w:lang w:val="en-US" w:eastAsia="zh-CN"/>
                    </w:rPr>
                  </w:pPr>
                  <w:r>
                    <w:rPr>
                      <w:rFonts w:hint="eastAsia"/>
                      <w:color w:val="auto"/>
                      <w:szCs w:val="21"/>
                      <w:u w:val="none"/>
                      <w:vertAlign w:val="baseline"/>
                      <w:lang w:val="en-US" w:eastAsia="zh-CN"/>
                    </w:rPr>
                    <w:t>无</w:t>
                  </w:r>
                </w:p>
              </w:tc>
              <w:tc>
                <w:tcPr>
                  <w:tcW w:w="380" w:type="pct"/>
                  <w:tcMar>
                    <w:top w:w="57" w:type="dxa"/>
                    <w:left w:w="108" w:type="dxa"/>
                    <w:bottom w:w="57" w:type="dxa"/>
                    <w:right w:w="108" w:type="dxa"/>
                  </w:tcMar>
                  <w:vAlign w:val="center"/>
                </w:tcPr>
                <w:p w14:paraId="49FC9D5B">
                  <w:pPr>
                    <w:pStyle w:val="87"/>
                    <w:keepNext w:val="0"/>
                    <w:keepLines w:val="0"/>
                    <w:suppressLineNumbers w:val="0"/>
                    <w:spacing w:before="0" w:beforeAutospacing="0" w:after="0" w:afterAutospacing="0"/>
                    <w:ind w:left="0" w:right="0"/>
                    <w:rPr>
                      <w:rFonts w:hint="eastAsia" w:eastAsia="宋体"/>
                      <w:color w:val="auto"/>
                      <w:szCs w:val="21"/>
                      <w:u w:val="none"/>
                      <w:vertAlign w:val="baseline"/>
                      <w:lang w:val="en-US" w:eastAsia="zh-CN"/>
                    </w:rPr>
                  </w:pPr>
                  <w:r>
                    <w:rPr>
                      <w:rFonts w:hint="eastAsia"/>
                      <w:color w:val="auto"/>
                      <w:szCs w:val="21"/>
                      <w:u w:val="none"/>
                      <w:vertAlign w:val="baseline"/>
                      <w:lang w:val="en-US" w:eastAsia="zh-CN"/>
                    </w:rPr>
                    <w:t>/</w:t>
                  </w:r>
                </w:p>
              </w:tc>
              <w:tc>
                <w:tcPr>
                  <w:tcW w:w="439" w:type="pct"/>
                  <w:tcMar>
                    <w:top w:w="57" w:type="dxa"/>
                    <w:left w:w="108" w:type="dxa"/>
                    <w:bottom w:w="57" w:type="dxa"/>
                    <w:right w:w="108" w:type="dxa"/>
                  </w:tcMar>
                  <w:vAlign w:val="center"/>
                </w:tcPr>
                <w:p w14:paraId="5649D09A">
                  <w:pPr>
                    <w:keepNext w:val="0"/>
                    <w:keepLines w:val="0"/>
                    <w:widowControl/>
                    <w:suppressLineNumbers w:val="0"/>
                    <w:spacing w:before="0" w:beforeAutospacing="0" w:after="0" w:afterAutospacing="0"/>
                    <w:ind w:left="0" w:leftChars="0" w:right="0" w:rightChars="0"/>
                    <w:jc w:val="center"/>
                    <w:textAlignment w:val="center"/>
                    <w:rPr>
                      <w:rFonts w:hint="default" w:eastAsia="宋体"/>
                      <w:color w:val="auto"/>
                      <w:szCs w:val="21"/>
                      <w:u w:val="none"/>
                      <w:vertAlign w:val="baseline"/>
                      <w:lang w:val="en-US" w:eastAsia="zh-CN"/>
                    </w:rPr>
                  </w:pPr>
                  <w:r>
                    <w:rPr>
                      <w:rFonts w:hint="eastAsia" w:ascii="宋体" w:hAnsi="宋体" w:eastAsia="宋体" w:cs="宋体"/>
                      <w:b w:val="0"/>
                      <w:bCs w:val="0"/>
                      <w:i w:val="0"/>
                      <w:iCs w:val="0"/>
                      <w:color w:val="000000"/>
                      <w:kern w:val="0"/>
                      <w:sz w:val="21"/>
                      <w:szCs w:val="21"/>
                      <w:u w:val="none"/>
                      <w:vertAlign w:val="baseline"/>
                      <w:lang w:val="en-US" w:eastAsia="zh-CN" w:bidi="ar"/>
                    </w:rPr>
                    <w:t>用作农肥或林地灌溉</w:t>
                  </w:r>
                </w:p>
              </w:tc>
              <w:tc>
                <w:tcPr>
                  <w:tcW w:w="289" w:type="pct"/>
                  <w:tcMar>
                    <w:top w:w="57" w:type="dxa"/>
                    <w:left w:w="108" w:type="dxa"/>
                    <w:bottom w:w="57" w:type="dxa"/>
                    <w:right w:w="108" w:type="dxa"/>
                  </w:tcMar>
                  <w:vAlign w:val="center"/>
                </w:tcPr>
                <w:p w14:paraId="7F3E85BA">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szCs w:val="21"/>
                      <w:u w:val="none"/>
                      <w:vertAlign w:val="baseline"/>
                      <w:lang w:val="en-US" w:eastAsia="zh-CN"/>
                    </w:rPr>
                  </w:pPr>
                  <w:r>
                    <w:rPr>
                      <w:rFonts w:hint="eastAsia" w:ascii="宋体" w:hAnsi="宋体" w:eastAsia="宋体" w:cs="宋体"/>
                      <w:b w:val="0"/>
                      <w:bCs w:val="0"/>
                      <w:i w:val="0"/>
                      <w:iCs w:val="0"/>
                      <w:color w:val="000000"/>
                      <w:kern w:val="0"/>
                      <w:sz w:val="21"/>
                      <w:szCs w:val="21"/>
                      <w:u w:val="none"/>
                      <w:vertAlign w:val="baseline"/>
                      <w:lang w:val="en-US" w:eastAsia="zh-CN" w:bidi="ar"/>
                    </w:rPr>
                    <w:t>不外排</w:t>
                  </w:r>
                </w:p>
              </w:tc>
            </w:tr>
          </w:tbl>
          <w:p w14:paraId="438381B2">
            <w:pPr>
              <w:pStyle w:val="109"/>
              <w:keepNext w:val="0"/>
              <w:keepLines w:val="0"/>
              <w:suppressLineNumbers w:val="0"/>
              <w:spacing w:before="157" w:beforeLines="50" w:beforeAutospacing="0" w:after="0" w:afterAutospacing="0"/>
              <w:ind w:left="0" w:right="0" w:firstLine="480"/>
              <w:rPr>
                <w:rFonts w:hint="eastAsia"/>
                <w:b w:val="0"/>
                <w:bCs w:val="0"/>
                <w:color w:val="auto"/>
                <w:u w:val="none"/>
                <w:lang w:val="en-US" w:eastAsia="zh-CN"/>
              </w:rPr>
            </w:pPr>
            <w:r>
              <w:rPr>
                <w:rFonts w:hint="eastAsia"/>
                <w:b/>
                <w:bCs/>
                <w:color w:val="auto"/>
                <w:u w:val="none"/>
                <w:lang w:val="en-US" w:eastAsia="zh-CN"/>
              </w:rPr>
              <w:t>2.3废水监测计划</w:t>
            </w:r>
          </w:p>
          <w:p w14:paraId="3082CCC3">
            <w:pPr>
              <w:pStyle w:val="109"/>
              <w:keepNext w:val="0"/>
              <w:keepLines w:val="0"/>
              <w:suppressLineNumbers w:val="0"/>
              <w:snapToGrid w:val="0"/>
              <w:spacing w:before="0" w:beforeLines="0" w:beforeAutospacing="0" w:after="0" w:afterAutospacing="0"/>
              <w:ind w:left="0" w:right="0" w:firstLine="480"/>
              <w:rPr>
                <w:rFonts w:hint="default"/>
                <w:b w:val="0"/>
                <w:bCs w:val="0"/>
                <w:color w:val="auto"/>
                <w:u w:val="none"/>
                <w:lang w:val="en-US" w:eastAsia="zh-CN"/>
              </w:rPr>
            </w:pPr>
            <w:r>
              <w:rPr>
                <w:rFonts w:hint="default"/>
                <w:b w:val="0"/>
                <w:bCs w:val="0"/>
                <w:color w:val="auto"/>
                <w:u w:val="none"/>
                <w:lang w:val="en-US" w:eastAsia="zh-CN"/>
              </w:rPr>
              <w:t>本项目</w:t>
            </w:r>
            <w:r>
              <w:rPr>
                <w:rFonts w:hint="eastAsia"/>
                <w:b w:val="0"/>
                <w:bCs w:val="0"/>
                <w:color w:val="auto"/>
                <w:u w:val="none"/>
                <w:lang w:val="en-US" w:eastAsia="zh-CN"/>
              </w:rPr>
              <w:t>无废水外排</w:t>
            </w:r>
            <w:r>
              <w:rPr>
                <w:rFonts w:hint="default"/>
                <w:b w:val="0"/>
                <w:bCs w:val="0"/>
                <w:color w:val="auto"/>
                <w:u w:val="none"/>
                <w:lang w:val="en-US" w:eastAsia="zh-CN"/>
              </w:rPr>
              <w:t>，无需开展自行监测。</w:t>
            </w:r>
          </w:p>
          <w:p w14:paraId="6861D969">
            <w:pPr>
              <w:pStyle w:val="109"/>
              <w:keepNext w:val="0"/>
              <w:keepLines w:val="0"/>
              <w:suppressLineNumbers w:val="0"/>
              <w:snapToGrid w:val="0"/>
              <w:spacing w:before="0" w:beforeLines="0" w:beforeAutospacing="0" w:after="0" w:afterAutospacing="0"/>
              <w:ind w:left="0" w:right="0" w:firstLine="480"/>
              <w:rPr>
                <w:rFonts w:hint="eastAsia"/>
                <w:b/>
                <w:bCs/>
                <w:color w:val="auto"/>
                <w:u w:val="none"/>
                <w:lang w:val="en-US" w:eastAsia="zh-CN"/>
              </w:rPr>
            </w:pPr>
            <w:r>
              <w:rPr>
                <w:rFonts w:hint="eastAsia"/>
                <w:b/>
                <w:bCs/>
                <w:color w:val="auto"/>
                <w:u w:val="none"/>
                <w:lang w:val="en-US" w:eastAsia="zh-CN"/>
              </w:rPr>
              <w:t>2.4废水环境影响分析</w:t>
            </w:r>
          </w:p>
          <w:p w14:paraId="0CAB0B29">
            <w:pPr>
              <w:pStyle w:val="109"/>
              <w:keepNext w:val="0"/>
              <w:keepLines w:val="0"/>
              <w:numPr>
                <w:ilvl w:val="0"/>
                <w:numId w:val="0"/>
              </w:numPr>
              <w:suppressLineNumbers w:val="0"/>
              <w:snapToGrid w:val="0"/>
              <w:spacing w:before="0" w:beforeLines="0" w:beforeAutospacing="0" w:after="0" w:afterAutospacing="0"/>
              <w:ind w:left="0" w:right="0" w:firstLine="480" w:firstLineChars="200"/>
              <w:rPr>
                <w:rFonts w:hint="eastAsia"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①生活污水</w:t>
            </w:r>
          </w:p>
          <w:p w14:paraId="4B4FF6BF">
            <w:pPr>
              <w:pStyle w:val="109"/>
              <w:keepNext w:val="0"/>
              <w:keepLines w:val="0"/>
              <w:numPr>
                <w:ilvl w:val="0"/>
                <w:numId w:val="0"/>
              </w:numPr>
              <w:suppressLineNumbers w:val="0"/>
              <w:snapToGrid w:val="0"/>
              <w:spacing w:before="0" w:beforeLines="0" w:beforeAutospacing="0" w:after="0" w:afterAutospacing="0"/>
              <w:ind w:left="0" w:right="0" w:firstLine="480" w:firstLineChars="200"/>
              <w:rPr>
                <w:rFonts w:hint="eastAsia"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本项目本项目食堂废水经隔油隔渣处理后与其他生活污水一并经隔油池+四格净化设施进行处理。四格净化处理工艺是一种综合多种污水处理工艺的工程实践，结合目前国内外的实际情况开发出来的处理农村居民生活污水的装置。工艺原理为厌氧发酵结合人工湿地处理，又称分散式污水处理设备、四格池，其工艺流程为“沉淀+消化+生物分离+人工湿地”。四格净化池前三格，即“沉淀+消化+生物分离”区组成三格化粪池。沉淀区沉淀大颗粒的无机物质，同时部分较轻的无机物及有机物质上浮到水面，形成浮渣层，废水则通过位于初沉段中部的过水管道进入消化区；消化区是一个密闭的空间，采用厌氧生化处理技术，通过厌氧微生物的吸附，分解将部分污染物质降解为二氧化碳和水，之后废水通过下部的过水孔进入生化分离区；生化分离区是一个兼氧的环境，并在其中配置有生化组合填料，组合填料比表面积很大，为兼氧微生物提供一个附着的载体。随着生物量的增加，生化组合填料层起到吸附过滤、生化处理和泥水分离的作用，经过生化分离区的污水清液进入后续湿地区。人工湿地是由人工建造和控制运行的与沼泽地类似的地面，将污水有控制的投配到经人工建造的湿地上，污水在沿一定方向流动的过程中，主要利用土壤、人工介质、植物、微生物的物理、化学、生物三重协同作用，对污水、污泥进行处理的一种技术。其作用机理包括吸附、滞留、过滤、氧化还原、沉淀、微生物分解、转化、植物遮蔽、残留物积累、蒸腾水分和养分吸收及各类动物的作用。</w:t>
            </w:r>
          </w:p>
          <w:p w14:paraId="3A2E34E1">
            <w:pPr>
              <w:pStyle w:val="109"/>
              <w:keepNext w:val="0"/>
              <w:keepLines w:val="0"/>
              <w:numPr>
                <w:ilvl w:val="0"/>
                <w:numId w:val="0"/>
              </w:numPr>
              <w:suppressLineNumbers w:val="0"/>
              <w:spacing w:before="0" w:beforeAutospacing="0" w:after="0" w:afterAutospacing="0"/>
              <w:ind w:left="0" w:right="0" w:firstLine="480" w:firstLineChars="200"/>
              <w:rPr>
                <w:rFonts w:hint="eastAsia"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经查阅四格净化池相关技术资料，四格净化池处理农村生活污水，其出水优于《农田灌溉水质标准》（GB5084-2021），低于《污水综合排放标准》（GB8978-1996）一级标准。本项目规范工区采用四格净化池工艺，处理后水质可满足《农田灌溉水质标准》（GB5084-2021）旱作标准，处理后可用作林地及农田浇灌。</w:t>
            </w:r>
          </w:p>
          <w:p w14:paraId="094ADA8E">
            <w:pPr>
              <w:pStyle w:val="109"/>
              <w:keepNext w:val="0"/>
              <w:keepLines w:val="0"/>
              <w:numPr>
                <w:ilvl w:val="0"/>
                <w:numId w:val="0"/>
              </w:numPr>
              <w:suppressLineNumbers w:val="0"/>
              <w:spacing w:before="0" w:beforeAutospacing="0" w:after="0" w:afterAutospacing="0"/>
              <w:ind w:left="0" w:right="0" w:firstLine="480" w:firstLineChars="200"/>
              <w:rPr>
                <w:rFonts w:hint="eastAsia"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根据业主提供资料，本项目四格净化设施最大容积为12m³，考虑到废水停留时间暂存量，按10m³空闲容积计算，厂区能满足本项目约5天的生活污水量，能满足雨季降雨较多的时候生活污水暂存的需要。雨季生活污水贮存于暂存池内备用，全部用于厂区和周边农肥，不外排，对项目所在区域地表水环境不会造成明显不利影响。</w:t>
            </w:r>
          </w:p>
          <w:p w14:paraId="179F2319">
            <w:pPr>
              <w:pStyle w:val="109"/>
              <w:keepNext w:val="0"/>
              <w:keepLines w:val="0"/>
              <w:numPr>
                <w:ilvl w:val="0"/>
                <w:numId w:val="0"/>
              </w:numPr>
              <w:suppressLineNumbers w:val="0"/>
              <w:spacing w:before="0" w:beforeAutospacing="0" w:after="0" w:afterAutospacing="0"/>
              <w:ind w:left="0" w:right="0" w:firstLine="480" w:firstLineChars="200"/>
              <w:rPr>
                <w:rFonts w:hint="eastAsia"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②雨污分流</w:t>
            </w:r>
          </w:p>
          <w:p w14:paraId="30C90995">
            <w:pPr>
              <w:pStyle w:val="109"/>
              <w:keepNext w:val="0"/>
              <w:keepLines w:val="0"/>
              <w:numPr>
                <w:ilvl w:val="0"/>
                <w:numId w:val="0"/>
              </w:numPr>
              <w:suppressLineNumbers w:val="0"/>
              <w:spacing w:before="0" w:beforeAutospacing="0" w:after="0" w:afterAutospacing="0"/>
              <w:ind w:left="0" w:right="0" w:firstLine="480" w:firstLineChars="200"/>
              <w:rPr>
                <w:rFonts w:hint="default"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研究表明，一般强度降雨很难形成地表径流，雨水通常被蒸发、下渗、吸收等消耗掉，只有大暴雨时，大量雨水短时间内汇集，才会形成地表径流，从而产生对地表冲刷。当遇到暴雨时，地面的污染物和泥沙被冲洗下来，使得径流雨水中含有一定浓度的污染物，主要为悬浮物。项目雨水采用重力流式排放，雨水冲刷形成径流中主要污染物为SS，经室外雨水沟渠利用自然地势坡度排入附近的农灌渠、水塘。</w:t>
            </w:r>
          </w:p>
          <w:p w14:paraId="0B263A15">
            <w:pPr>
              <w:pStyle w:val="109"/>
              <w:keepNext w:val="0"/>
              <w:keepLines w:val="0"/>
              <w:numPr>
                <w:ilvl w:val="0"/>
                <w:numId w:val="0"/>
              </w:numPr>
              <w:suppressLineNumbers w:val="0"/>
              <w:spacing w:before="0" w:beforeAutospacing="0" w:after="0" w:afterAutospacing="0"/>
              <w:ind w:left="0" w:right="0" w:firstLine="480" w:firstLineChars="200"/>
              <w:rPr>
                <w:rFonts w:hint="default" w:cs="Times New Roman"/>
                <w:color w:val="auto"/>
                <w:kern w:val="2"/>
                <w:sz w:val="24"/>
                <w:szCs w:val="24"/>
                <w:u w:val="none"/>
                <w:lang w:val="en-US" w:eastAsia="zh-CN" w:bidi="ar"/>
              </w:rPr>
            </w:pPr>
            <w:r>
              <w:rPr>
                <w:rFonts w:hint="default" w:cs="Times New Roman"/>
                <w:color w:val="auto"/>
                <w:kern w:val="2"/>
                <w:sz w:val="24"/>
                <w:szCs w:val="24"/>
                <w:u w:val="none"/>
                <w:lang w:val="en-US" w:eastAsia="zh-CN" w:bidi="ar"/>
              </w:rPr>
              <w:t>本项目建设完成后生活污水对地表水环境影响较小。</w:t>
            </w:r>
          </w:p>
          <w:p w14:paraId="4D44399C">
            <w:pPr>
              <w:pStyle w:val="2"/>
              <w:keepLines w:val="0"/>
              <w:numPr>
                <w:ilvl w:val="-1"/>
                <w:numId w:val="0"/>
              </w:numPr>
              <w:suppressLineNumbers w:val="0"/>
              <w:spacing w:before="0" w:beforeAutospacing="0" w:after="0" w:afterAutospacing="0"/>
              <w:ind w:left="0" w:right="0" w:firstLine="0" w:firstLineChars="0"/>
              <w:rPr>
                <w:rFonts w:hint="default"/>
                <w:b w:val="0"/>
                <w:bCs w:val="0"/>
                <w:color w:val="auto"/>
                <w:kern w:val="2"/>
                <w:sz w:val="24"/>
                <w:szCs w:val="24"/>
                <w:u w:val="none"/>
                <w:lang w:val="en-US" w:eastAsia="zh-CN"/>
              </w:rPr>
            </w:pPr>
          </w:p>
        </w:tc>
      </w:tr>
    </w:tbl>
    <w:p w14:paraId="2D132C43">
      <w:pPr>
        <w:rPr>
          <w:rFonts w:hint="eastAsia" w:ascii="Times New Roman" w:hAnsi="Times New Roman" w:eastAsia="宋体"/>
          <w:b/>
          <w:bCs/>
          <w:snapToGrid w:val="0"/>
          <w:color w:val="auto"/>
          <w:sz w:val="30"/>
          <w:szCs w:val="30"/>
          <w:lang w:val="en-US" w:eastAsia="zh-CN"/>
        </w:rPr>
        <w:sectPr>
          <w:type w:val="continuous"/>
          <w:pgSz w:w="11906" w:h="16838"/>
          <w:pgMar w:top="1440" w:right="1531" w:bottom="1440" w:left="1531" w:header="851" w:footer="851" w:gutter="0"/>
          <w:pgNumType w:fmt="decimal"/>
          <w:cols w:space="720" w:num="1"/>
          <w:docGrid w:linePitch="312" w:charSpace="0"/>
        </w:sectPr>
      </w:pPr>
      <w:r>
        <w:rPr>
          <w:rFonts w:hint="eastAsia"/>
          <w:b/>
          <w:bCs/>
          <w:snapToGrid w:val="0"/>
          <w:color w:val="auto"/>
          <w:sz w:val="30"/>
          <w:szCs w:val="30"/>
          <w:lang w:val="en-US" w:eastAsia="zh-CN"/>
        </w:rPr>
        <w:t xml:space="preserve"> </w:t>
      </w:r>
    </w:p>
    <w:tbl>
      <w:tblPr>
        <w:tblStyle w:val="24"/>
        <w:tblW w:w="501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7"/>
        <w:gridCol w:w="13839"/>
      </w:tblGrid>
      <w:tr w14:paraId="1BF2C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14" w:hRule="atLeast"/>
          <w:jc w:val="center"/>
        </w:trPr>
        <w:tc>
          <w:tcPr>
            <w:tcW w:w="104" w:type="pct"/>
            <w:noWrap w:val="0"/>
            <w:tcMar>
              <w:left w:w="28" w:type="dxa"/>
              <w:right w:w="28" w:type="dxa"/>
            </w:tcMar>
            <w:vAlign w:val="center"/>
          </w:tcPr>
          <w:p w14:paraId="3CA4B437">
            <w:pPr>
              <w:pStyle w:val="109"/>
              <w:keepNext w:val="0"/>
              <w:keepLines w:val="0"/>
              <w:suppressLineNumbers w:val="0"/>
              <w:spacing w:before="0" w:beforeAutospacing="0" w:after="0" w:afterAutospacing="0"/>
              <w:ind w:left="0" w:right="0" w:firstLine="0" w:firstLineChars="0"/>
              <w:jc w:val="both"/>
              <w:rPr>
                <w:rFonts w:hint="eastAsia" w:hAnsi="Times New Roman"/>
                <w:snapToGrid w:val="0"/>
                <w:color w:val="auto"/>
                <w:u w:val="none"/>
                <w:lang w:val="en-US" w:eastAsia="zh-CN"/>
              </w:rPr>
            </w:pPr>
          </w:p>
        </w:tc>
        <w:tc>
          <w:tcPr>
            <w:tcW w:w="4895" w:type="pct"/>
            <w:noWrap w:val="0"/>
            <w:vAlign w:val="top"/>
          </w:tcPr>
          <w:p w14:paraId="63A7FCD3">
            <w:pPr>
              <w:pStyle w:val="109"/>
              <w:keepNext w:val="0"/>
              <w:keepLines w:val="0"/>
              <w:numPr>
                <w:ilvl w:val="0"/>
                <w:numId w:val="0"/>
              </w:numPr>
              <w:suppressLineNumbers w:val="0"/>
              <w:spacing w:before="0" w:beforeAutospacing="0" w:after="0" w:afterAutospacing="0"/>
              <w:ind w:left="0" w:right="0" w:firstLine="482" w:firstLineChars="200"/>
              <w:rPr>
                <w:rFonts w:hint="default"/>
                <w:b/>
                <w:bCs/>
                <w:color w:val="auto"/>
                <w:u w:val="none"/>
              </w:rPr>
            </w:pPr>
            <w:r>
              <w:rPr>
                <w:rFonts w:hint="eastAsia"/>
                <w:b/>
                <w:bCs/>
                <w:color w:val="auto"/>
                <w:u w:val="none"/>
                <w:lang w:val="en-US" w:eastAsia="zh-CN"/>
              </w:rPr>
              <w:t>3、</w:t>
            </w:r>
            <w:r>
              <w:rPr>
                <w:rFonts w:hint="default"/>
                <w:b/>
                <w:bCs/>
                <w:color w:val="auto"/>
                <w:u w:val="none"/>
              </w:rPr>
              <w:t>噪声</w:t>
            </w:r>
          </w:p>
          <w:p w14:paraId="2940B95C">
            <w:pPr>
              <w:pStyle w:val="109"/>
              <w:keepNext w:val="0"/>
              <w:keepLines w:val="0"/>
              <w:suppressLineNumbers w:val="0"/>
              <w:spacing w:before="0" w:beforeLines="0" w:beforeAutospacing="0" w:after="0" w:afterAutospacing="0"/>
              <w:ind w:left="0" w:right="0" w:firstLine="480"/>
              <w:rPr>
                <w:rFonts w:hint="default"/>
                <w:b/>
                <w:bCs/>
                <w:color w:val="auto"/>
                <w:u w:val="none"/>
                <w:lang w:val="en-US" w:eastAsia="zh-CN"/>
              </w:rPr>
            </w:pPr>
            <w:r>
              <w:rPr>
                <w:rFonts w:hint="eastAsia"/>
                <w:b/>
                <w:bCs/>
                <w:color w:val="auto"/>
                <w:highlight w:val="none"/>
                <w:u w:val="none"/>
                <w:lang w:val="en-US" w:eastAsia="zh-CN"/>
              </w:rPr>
              <w:t>3.1噪声源强</w:t>
            </w:r>
          </w:p>
          <w:p w14:paraId="38D3F6CF">
            <w:pPr>
              <w:pStyle w:val="109"/>
              <w:keepNext w:val="0"/>
              <w:keepLines w:val="0"/>
              <w:suppressLineNumbers w:val="0"/>
              <w:spacing w:before="0" w:beforeLines="0" w:beforeAutospacing="0" w:after="0" w:afterAutospacing="0"/>
              <w:ind w:left="0" w:right="0" w:firstLine="480"/>
              <w:rPr>
                <w:rFonts w:hint="eastAsia"/>
                <w:color w:val="auto"/>
                <w:u w:val="none"/>
                <w:lang w:val="en-US" w:eastAsia="zh-CN"/>
              </w:rPr>
            </w:pPr>
            <w:r>
              <w:rPr>
                <w:rFonts w:hint="eastAsia"/>
                <w:color w:val="auto"/>
                <w:u w:val="none"/>
                <w:lang w:val="en-US" w:eastAsia="zh-CN"/>
              </w:rPr>
              <w:t>建设项目噪声主要来自车间生产设备，单台设备噪声源70-85dB(A)。为减少噪声对外界影响，建设单位采取的降噪措施：优先选用低噪声设备，采取“闹静分开、合理布局”的原则，设备均设置在封闭式车间内，通过上述措施，降噪值可达25dB(A)以上。</w:t>
            </w:r>
          </w:p>
          <w:p w14:paraId="33B7BE29">
            <w:pPr>
              <w:pStyle w:val="109"/>
              <w:keepNext w:val="0"/>
              <w:keepLines w:val="0"/>
              <w:suppressLineNumbers w:val="0"/>
              <w:spacing w:before="0" w:beforeLines="0" w:beforeAutospacing="0" w:after="0" w:afterAutospacing="0"/>
              <w:ind w:left="0" w:right="0" w:firstLine="0" w:firstLineChars="0"/>
              <w:jc w:val="center"/>
              <w:rPr>
                <w:rFonts w:hint="eastAsia"/>
                <w:b/>
                <w:bCs/>
                <w:color w:val="auto"/>
                <w:sz w:val="21"/>
                <w:szCs w:val="21"/>
                <w:u w:val="none"/>
                <w:lang w:val="en-US" w:eastAsia="zh-CN"/>
              </w:rPr>
            </w:pPr>
            <w:r>
              <w:rPr>
                <w:rFonts w:hint="eastAsia"/>
                <w:b/>
                <w:bCs/>
                <w:color w:val="auto"/>
                <w:sz w:val="21"/>
                <w:szCs w:val="21"/>
                <w:u w:val="none"/>
              </w:rPr>
              <w:t>表4-</w:t>
            </w:r>
            <w:r>
              <w:rPr>
                <w:rFonts w:hint="eastAsia"/>
                <w:b/>
                <w:bCs/>
                <w:color w:val="auto"/>
                <w:sz w:val="21"/>
                <w:szCs w:val="21"/>
                <w:u w:val="none"/>
                <w:lang w:val="en-US" w:eastAsia="zh-CN"/>
              </w:rPr>
              <w:t>9</w:t>
            </w:r>
            <w:r>
              <w:rPr>
                <w:rFonts w:hint="eastAsia"/>
                <w:b/>
                <w:bCs/>
                <w:color w:val="auto"/>
                <w:sz w:val="21"/>
                <w:szCs w:val="21"/>
                <w:u w:val="none"/>
              </w:rPr>
              <w:t xml:space="preserve"> 本项目噪声源强</w:t>
            </w:r>
            <w:r>
              <w:rPr>
                <w:rFonts w:hint="eastAsia"/>
                <w:b/>
                <w:bCs/>
                <w:color w:val="auto"/>
                <w:sz w:val="21"/>
                <w:szCs w:val="21"/>
                <w:u w:val="none"/>
                <w:lang w:val="en-US" w:eastAsia="zh-CN"/>
              </w:rPr>
              <w:t>信息表</w:t>
            </w:r>
          </w:p>
          <w:tbl>
            <w:tblPr>
              <w:tblStyle w:val="24"/>
              <w:tblW w:w="135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5"/>
              <w:gridCol w:w="521"/>
              <w:gridCol w:w="683"/>
              <w:gridCol w:w="433"/>
              <w:gridCol w:w="950"/>
              <w:gridCol w:w="426"/>
              <w:gridCol w:w="456"/>
              <w:gridCol w:w="456"/>
              <w:gridCol w:w="445"/>
              <w:gridCol w:w="398"/>
              <w:gridCol w:w="486"/>
              <w:gridCol w:w="398"/>
              <w:gridCol w:w="398"/>
              <w:gridCol w:w="530"/>
              <w:gridCol w:w="530"/>
              <w:gridCol w:w="530"/>
              <w:gridCol w:w="539"/>
              <w:gridCol w:w="567"/>
              <w:gridCol w:w="398"/>
              <w:gridCol w:w="398"/>
              <w:gridCol w:w="398"/>
              <w:gridCol w:w="398"/>
              <w:gridCol w:w="530"/>
              <w:gridCol w:w="530"/>
              <w:gridCol w:w="530"/>
              <w:gridCol w:w="531"/>
              <w:gridCol w:w="687"/>
            </w:tblGrid>
            <w:tr w14:paraId="5004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878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bookmarkStart w:id="12" w:name="PT_10"/>
                  <w:bookmarkEnd w:id="12"/>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序号</w:t>
                  </w:r>
                </w:p>
              </w:tc>
              <w:tc>
                <w:tcPr>
                  <w:tcW w:w="1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601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建筑物名称</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37D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声源名称</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C31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型号</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85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声源源强</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215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声源控制措施</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720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Style w:val="60"/>
                      <w:rFonts w:hint="default" w:ascii="Times New Roman" w:hAnsi="Times New Roman" w:cs="Times New Roman"/>
                      <w:b/>
                      <w:bCs/>
                      <w:color w:val="000000" w:themeColor="text1"/>
                      <w:sz w:val="18"/>
                      <w:szCs w:val="18"/>
                      <w:vertAlign w:val="baseline"/>
                      <w:lang w:val="en-US" w:eastAsia="zh-CN" w:bidi="ar"/>
                      <w14:textFill>
                        <w14:solidFill>
                          <w14:schemeClr w14:val="tx1"/>
                        </w14:solidFill>
                      </w14:textFill>
                    </w:rPr>
                    <w:t>空间相对位置</w:t>
                  </w:r>
                  <w:r>
                    <w:rPr>
                      <w:rStyle w:val="115"/>
                      <w:rFonts w:hint="default" w:ascii="Times New Roman" w:hAnsi="Times New Roman" w:eastAsia="宋体" w:cs="Times New Roman"/>
                      <w:b/>
                      <w:bCs/>
                      <w:color w:val="000000" w:themeColor="text1"/>
                      <w:sz w:val="18"/>
                      <w:szCs w:val="18"/>
                      <w:vertAlign w:val="baseline"/>
                      <w:lang w:val="en-US" w:eastAsia="zh-CN" w:bidi="ar"/>
                      <w14:textFill>
                        <w14:solidFill>
                          <w14:schemeClr w14:val="tx1"/>
                        </w14:solidFill>
                      </w14:textFill>
                    </w:rPr>
                    <w:t>/m</w:t>
                  </w:r>
                </w:p>
              </w:tc>
              <w:tc>
                <w:tcPr>
                  <w:tcW w:w="6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699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Style w:val="60"/>
                      <w:rFonts w:hint="default" w:ascii="Times New Roman" w:hAnsi="Times New Roman" w:cs="Times New Roman"/>
                      <w:b/>
                      <w:bCs/>
                      <w:color w:val="000000" w:themeColor="text1"/>
                      <w:sz w:val="18"/>
                      <w:szCs w:val="18"/>
                      <w:vertAlign w:val="baseline"/>
                      <w:lang w:val="en-US" w:eastAsia="zh-CN" w:bidi="ar"/>
                      <w14:textFill>
                        <w14:solidFill>
                          <w14:schemeClr w14:val="tx1"/>
                        </w14:solidFill>
                      </w14:textFill>
                    </w:rPr>
                    <w:t>距室内边界距离</w:t>
                  </w:r>
                  <w:r>
                    <w:rPr>
                      <w:rStyle w:val="115"/>
                      <w:rFonts w:hint="default" w:ascii="Times New Roman" w:hAnsi="Times New Roman" w:eastAsia="宋体" w:cs="Times New Roman"/>
                      <w:b/>
                      <w:bCs/>
                      <w:color w:val="000000" w:themeColor="text1"/>
                      <w:sz w:val="18"/>
                      <w:szCs w:val="18"/>
                      <w:vertAlign w:val="baseline"/>
                      <w:lang w:val="en-US" w:eastAsia="zh-CN" w:bidi="ar"/>
                      <w14:textFill>
                        <w14:solidFill>
                          <w14:schemeClr w14:val="tx1"/>
                        </w14:solidFill>
                      </w14:textFill>
                    </w:rPr>
                    <w:t>/m</w:t>
                  </w:r>
                </w:p>
              </w:tc>
              <w:tc>
                <w:tcPr>
                  <w:tcW w:w="7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F54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Style w:val="60"/>
                      <w:rFonts w:hint="default" w:ascii="Times New Roman" w:hAnsi="Times New Roman" w:cs="Times New Roman"/>
                      <w:b/>
                      <w:bCs/>
                      <w:color w:val="000000" w:themeColor="text1"/>
                      <w:sz w:val="18"/>
                      <w:szCs w:val="18"/>
                      <w:vertAlign w:val="baseline"/>
                      <w:lang w:val="en-US" w:eastAsia="zh-CN" w:bidi="ar"/>
                      <w14:textFill>
                        <w14:solidFill>
                          <w14:schemeClr w14:val="tx1"/>
                        </w14:solidFill>
                      </w14:textFill>
                    </w:rPr>
                    <w:t>室内边界声级</w:t>
                  </w:r>
                  <w:r>
                    <w:rPr>
                      <w:rStyle w:val="115"/>
                      <w:rFonts w:hint="default" w:ascii="Times New Roman" w:hAnsi="Times New Roman" w:eastAsia="宋体" w:cs="Times New Roman"/>
                      <w:b/>
                      <w:bCs/>
                      <w:color w:val="000000" w:themeColor="text1"/>
                      <w:sz w:val="18"/>
                      <w:szCs w:val="18"/>
                      <w:vertAlign w:val="baseline"/>
                      <w:lang w:val="en-US" w:eastAsia="zh-CN" w:bidi="ar"/>
                      <w14:textFill>
                        <w14:solidFill>
                          <w14:schemeClr w14:val="tx1"/>
                        </w14:solidFill>
                      </w14:textFill>
                    </w:rPr>
                    <w:t>/dB(A)</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C87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运行时段</w:t>
                  </w:r>
                </w:p>
              </w:tc>
              <w:tc>
                <w:tcPr>
                  <w:tcW w:w="5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739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Style w:val="60"/>
                      <w:rFonts w:hint="default" w:ascii="Times New Roman" w:hAnsi="Times New Roman" w:cs="Times New Roman"/>
                      <w:b/>
                      <w:bCs/>
                      <w:color w:val="000000" w:themeColor="text1"/>
                      <w:sz w:val="18"/>
                      <w:szCs w:val="18"/>
                      <w:vertAlign w:val="baseline"/>
                      <w:lang w:val="en-US" w:eastAsia="zh-CN" w:bidi="ar"/>
                      <w14:textFill>
                        <w14:solidFill>
                          <w14:schemeClr w14:val="tx1"/>
                        </w14:solidFill>
                      </w14:textFill>
                    </w:rPr>
                    <w:t>建筑物插入损失</w:t>
                  </w:r>
                  <w:r>
                    <w:rPr>
                      <w:rStyle w:val="115"/>
                      <w:rFonts w:hint="default" w:ascii="Times New Roman" w:hAnsi="Times New Roman" w:eastAsia="宋体" w:cs="Times New Roman"/>
                      <w:b/>
                      <w:bCs/>
                      <w:color w:val="000000" w:themeColor="text1"/>
                      <w:sz w:val="18"/>
                      <w:szCs w:val="18"/>
                      <w:vertAlign w:val="baseline"/>
                      <w:lang w:val="en-US" w:eastAsia="zh-CN" w:bidi="ar"/>
                      <w14:textFill>
                        <w14:solidFill>
                          <w14:schemeClr w14:val="tx1"/>
                        </w14:solidFill>
                      </w14:textFill>
                    </w:rPr>
                    <w:t>/dB(A)</w:t>
                  </w:r>
                </w:p>
              </w:tc>
              <w:tc>
                <w:tcPr>
                  <w:tcW w:w="10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1E0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Style w:val="60"/>
                      <w:rFonts w:hint="default" w:ascii="Times New Roman" w:hAnsi="Times New Roman" w:cs="Times New Roman"/>
                      <w:b/>
                      <w:bCs/>
                      <w:color w:val="000000" w:themeColor="text1"/>
                      <w:sz w:val="18"/>
                      <w:szCs w:val="18"/>
                      <w:vertAlign w:val="baseline"/>
                      <w:lang w:val="en-US" w:eastAsia="zh-CN" w:bidi="ar"/>
                      <w14:textFill>
                        <w14:solidFill>
                          <w14:schemeClr w14:val="tx1"/>
                        </w14:solidFill>
                      </w14:textFill>
                    </w:rPr>
                    <w:t>建筑物外噪声声压级</w:t>
                  </w:r>
                  <w:r>
                    <w:rPr>
                      <w:rStyle w:val="115"/>
                      <w:rFonts w:hint="default" w:ascii="Times New Roman" w:hAnsi="Times New Roman" w:eastAsia="宋体" w:cs="Times New Roman"/>
                      <w:b/>
                      <w:bCs/>
                      <w:color w:val="000000" w:themeColor="text1"/>
                      <w:sz w:val="18"/>
                      <w:szCs w:val="18"/>
                      <w:vertAlign w:val="baseline"/>
                      <w:lang w:val="en-US" w:eastAsia="zh-CN" w:bidi="ar"/>
                      <w14:textFill>
                        <w14:solidFill>
                          <w14:schemeClr w14:val="tx1"/>
                        </w14:solidFill>
                      </w14:textFill>
                    </w:rPr>
                    <w:t>/dB(A)</w:t>
                  </w:r>
                </w:p>
              </w:tc>
            </w:tr>
            <w:tr w14:paraId="66B3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3E2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p>
              </w:tc>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A9F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B19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7D5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76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Style w:val="116"/>
                      <w:rFonts w:hint="default" w:ascii="Times New Roman" w:hAnsi="Times New Roman" w:cs="Times New Roman"/>
                      <w:b/>
                      <w:bCs/>
                      <w:color w:val="000000" w:themeColor="text1"/>
                      <w:sz w:val="18"/>
                      <w:szCs w:val="18"/>
                      <w:vertAlign w:val="baseline"/>
                      <w:lang w:val="en-US" w:eastAsia="zh-CN" w:bidi="ar"/>
                      <w14:textFill>
                        <w14:solidFill>
                          <w14:schemeClr w14:val="tx1"/>
                        </w14:solidFill>
                      </w14:textFill>
                    </w:rPr>
                    <w:t>（声压级</w:t>
                  </w:r>
                  <w:r>
                    <w:rPr>
                      <w:rStyle w:val="130"/>
                      <w:rFonts w:hint="default" w:ascii="Times New Roman" w:hAnsi="Times New Roman" w:eastAsia="宋体" w:cs="Times New Roman"/>
                      <w:b/>
                      <w:bCs/>
                      <w:color w:val="000000" w:themeColor="text1"/>
                      <w:sz w:val="18"/>
                      <w:szCs w:val="18"/>
                      <w:vertAlign w:val="baseline"/>
                      <w:lang w:val="en-US" w:eastAsia="zh-CN" w:bidi="ar"/>
                      <w14:textFill>
                        <w14:solidFill>
                          <w14:schemeClr w14:val="tx1"/>
                        </w14:solidFill>
                      </w14:textFill>
                    </w:rPr>
                    <w:t>/</w:t>
                  </w:r>
                  <w:r>
                    <w:rPr>
                      <w:rStyle w:val="116"/>
                      <w:rFonts w:hint="default" w:ascii="Times New Roman" w:hAnsi="Times New Roman" w:cs="Times New Roman"/>
                      <w:b/>
                      <w:bCs/>
                      <w:color w:val="000000" w:themeColor="text1"/>
                      <w:sz w:val="18"/>
                      <w:szCs w:val="18"/>
                      <w:vertAlign w:val="baseline"/>
                      <w:lang w:val="en-US" w:eastAsia="zh-CN" w:bidi="ar"/>
                      <w14:textFill>
                        <w14:solidFill>
                          <w14:schemeClr w14:val="tx1"/>
                        </w14:solidFill>
                      </w14:textFill>
                    </w:rPr>
                    <w:t>距声源距离）</w:t>
                  </w:r>
                  <w:r>
                    <w:rPr>
                      <w:rStyle w:val="130"/>
                      <w:rFonts w:hint="default" w:ascii="Times New Roman" w:hAnsi="Times New Roman" w:eastAsia="宋体" w:cs="Times New Roman"/>
                      <w:b/>
                      <w:bCs/>
                      <w:color w:val="000000" w:themeColor="text1"/>
                      <w:sz w:val="18"/>
                      <w:szCs w:val="18"/>
                      <w:vertAlign w:val="baseline"/>
                      <w:lang w:val="en-US" w:eastAsia="zh-CN" w:bidi="ar"/>
                      <w14:textFill>
                        <w14:solidFill>
                          <w14:schemeClr w14:val="tx1"/>
                        </w14:solidFill>
                      </w14:textFill>
                    </w:rPr>
                    <w:t>/</w:t>
                  </w:r>
                  <w:r>
                    <w:rPr>
                      <w:rStyle w:val="116"/>
                      <w:rFonts w:hint="default" w:ascii="Times New Roman" w:hAnsi="Times New Roman" w:cs="Times New Roman"/>
                      <w:b/>
                      <w:bCs/>
                      <w:color w:val="000000" w:themeColor="text1"/>
                      <w:sz w:val="18"/>
                      <w:szCs w:val="18"/>
                      <w:vertAlign w:val="baseline"/>
                      <w:lang w:val="en-US" w:eastAsia="zh-CN" w:bidi="ar"/>
                      <w14:textFill>
                        <w14:solidFill>
                          <w14:schemeClr w14:val="tx1"/>
                        </w14:solidFill>
                      </w14:textFill>
                    </w:rPr>
                    <w:t>（</w:t>
                  </w:r>
                  <w:r>
                    <w:rPr>
                      <w:rStyle w:val="130"/>
                      <w:rFonts w:hint="default" w:ascii="Times New Roman" w:hAnsi="Times New Roman" w:eastAsia="宋体" w:cs="Times New Roman"/>
                      <w:b/>
                      <w:bCs/>
                      <w:color w:val="000000" w:themeColor="text1"/>
                      <w:sz w:val="18"/>
                      <w:szCs w:val="18"/>
                      <w:vertAlign w:val="baseline"/>
                      <w:lang w:val="en-US" w:eastAsia="zh-CN" w:bidi="ar"/>
                      <w14:textFill>
                        <w14:solidFill>
                          <w14:schemeClr w14:val="tx1"/>
                        </w14:solidFill>
                      </w14:textFill>
                    </w:rPr>
                    <w:t>dB(A)/m</w:t>
                  </w:r>
                  <w:r>
                    <w:rPr>
                      <w:rStyle w:val="116"/>
                      <w:rFonts w:hint="default" w:ascii="Times New Roman" w:hAnsi="Times New Roman" w:cs="Times New Roman"/>
                      <w:b/>
                      <w:bCs/>
                      <w:color w:val="000000" w:themeColor="text1"/>
                      <w:sz w:val="18"/>
                      <w:szCs w:val="18"/>
                      <w:vertAlign w:val="baseline"/>
                      <w:lang w:val="en-US" w:eastAsia="zh-CN" w:bidi="ar"/>
                      <w14:textFill>
                        <w14:solidFill>
                          <w14:schemeClr w14:val="tx1"/>
                        </w14:solidFill>
                      </w14:textFill>
                    </w:rPr>
                    <w:t>）</w:t>
                  </w: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40F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B6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X</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52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Y</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28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Z</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52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东</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C5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BF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52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09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东</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FF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71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西</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41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北</w:t>
                  </w: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936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44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东</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51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9F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81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2B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东</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22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F4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西</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54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北</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59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vertAlign w:val="baseline"/>
                      <w:lang w:val="en-US" w:eastAsia="zh-CN" w:bidi="ar"/>
                      <w14:textFill>
                        <w14:solidFill>
                          <w14:schemeClr w14:val="tx1"/>
                        </w14:solidFill>
                      </w14:textFill>
                    </w:rPr>
                    <w:t>建筑物外距离</w:t>
                  </w:r>
                </w:p>
              </w:tc>
            </w:tr>
            <w:tr w14:paraId="4D55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0F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D4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厂房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13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切割机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EA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54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8</w:t>
                  </w:r>
                  <w:r>
                    <w:rPr>
                      <w:rFonts w:hint="eastAsia" w:cs="Times New Roman"/>
                      <w:i w:val="0"/>
                      <w:iCs w:val="0"/>
                      <w:color w:val="000000" w:themeColor="text1"/>
                      <w:kern w:val="0"/>
                      <w:sz w:val="18"/>
                      <w:szCs w:val="18"/>
                      <w:u w:val="none"/>
                      <w:vertAlign w:val="baseli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/1</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72A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基础减震，厂房隔声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2A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A0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-44</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AE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F7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D0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26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34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A3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63.0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12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63.0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54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59.5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BA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42.2 </w:t>
                  </w:r>
                </w:p>
              </w:tc>
              <w:tc>
                <w:tcPr>
                  <w:tcW w:w="567" w:type="dxa"/>
                  <w:vMerge w:val="restart"/>
                  <w:tcBorders>
                    <w:top w:val="single" w:color="000000" w:sz="4" w:space="0"/>
                    <w:left w:val="single" w:color="000000" w:sz="4" w:space="0"/>
                    <w:right w:val="single" w:color="000000" w:sz="4" w:space="0"/>
                  </w:tcBorders>
                  <w:shd w:val="clear" w:color="auto" w:fill="auto"/>
                  <w:vAlign w:val="center"/>
                </w:tcPr>
                <w:p w14:paraId="1817F5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8:00-17:00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1F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82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A7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F2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8C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38.0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7A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38.0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51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34.5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DF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17.2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CB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r>
            <w:tr w14:paraId="42F3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41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25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厂房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87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焊接机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46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32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70/1</w:t>
                  </w: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46A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F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03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-37</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E1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9C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F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1D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F3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53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49.5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AE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53.0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27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53.0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B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32.2 </w:t>
                  </w:r>
                </w:p>
              </w:tc>
              <w:tc>
                <w:tcPr>
                  <w:tcW w:w="567" w:type="dxa"/>
                  <w:vMerge w:val="continue"/>
                  <w:tcBorders>
                    <w:left w:val="single" w:color="000000" w:sz="4" w:space="0"/>
                    <w:right w:val="single" w:color="000000" w:sz="4" w:space="0"/>
                  </w:tcBorders>
                  <w:shd w:val="clear" w:color="auto" w:fill="auto"/>
                  <w:vAlign w:val="center"/>
                </w:tcPr>
                <w:p w14:paraId="56C58A7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82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36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5E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9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D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24.5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31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28.0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C2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28.0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34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7.2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E0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r>
            <w:tr w14:paraId="0E6B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15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3</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66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厂房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5E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冲压机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2C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EE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8</w:t>
                  </w:r>
                  <w:r>
                    <w:rPr>
                      <w:rFonts w:hint="eastAsia" w:cs="Times New Roman"/>
                      <w:i w:val="0"/>
                      <w:iCs w:val="0"/>
                      <w:color w:val="000000" w:themeColor="text1"/>
                      <w:kern w:val="0"/>
                      <w:sz w:val="18"/>
                      <w:szCs w:val="18"/>
                      <w:u w:val="none"/>
                      <w:vertAlign w:val="baseli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/1</w:t>
                  </w: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7011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8A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75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-23</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A8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32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4F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6A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CC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77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62.5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01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56.5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B0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66.0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D6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46.9 </w:t>
                  </w:r>
                </w:p>
              </w:tc>
              <w:tc>
                <w:tcPr>
                  <w:tcW w:w="567" w:type="dxa"/>
                  <w:vMerge w:val="continue"/>
                  <w:tcBorders>
                    <w:left w:val="single" w:color="000000" w:sz="4" w:space="0"/>
                    <w:right w:val="single" w:color="000000" w:sz="4" w:space="0"/>
                  </w:tcBorders>
                  <w:shd w:val="clear" w:color="auto" w:fill="auto"/>
                  <w:vAlign w:val="center"/>
                </w:tcPr>
                <w:p w14:paraId="66388E8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8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B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91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B9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50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37.5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B6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31.5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E4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B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21.9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3B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r>
            <w:tr w14:paraId="0589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BC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4</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CC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厂房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71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车床</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E9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71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83/1</w:t>
                  </w: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24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93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BC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40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D6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18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F2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FC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E1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66.0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1C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56.5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EF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62.5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E3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46.9 </w:t>
                  </w:r>
                </w:p>
              </w:tc>
              <w:tc>
                <w:tcPr>
                  <w:tcW w:w="567" w:type="dxa"/>
                  <w:vMerge w:val="continue"/>
                  <w:tcBorders>
                    <w:left w:val="single" w:color="000000" w:sz="4" w:space="0"/>
                    <w:right w:val="single" w:color="000000" w:sz="4" w:space="0"/>
                  </w:tcBorders>
                  <w:shd w:val="clear" w:color="auto" w:fill="auto"/>
                  <w:vAlign w:val="center"/>
                </w:tcPr>
                <w:p w14:paraId="37705B4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65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6E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7F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76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E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41.0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4A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31.5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D5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37.5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15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21.9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4E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r>
            <w:tr w14:paraId="6A0D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DA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41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厂房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B4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锯床</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7D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E8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8</w:t>
                  </w:r>
                  <w:r>
                    <w:rPr>
                      <w:rFonts w:hint="eastAsia" w:cs="Times New Roman"/>
                      <w:i w:val="0"/>
                      <w:iCs w:val="0"/>
                      <w:color w:val="000000" w:themeColor="text1"/>
                      <w:kern w:val="0"/>
                      <w:sz w:val="18"/>
                      <w:szCs w:val="18"/>
                      <w:u w:val="none"/>
                      <w:vertAlign w:val="baseli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/1</w:t>
                  </w: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6FD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BC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97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C7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F1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22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0E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2B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C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59.5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06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49.0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B9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63.0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8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46.1 </w:t>
                  </w:r>
                </w:p>
              </w:tc>
              <w:tc>
                <w:tcPr>
                  <w:tcW w:w="567" w:type="dxa"/>
                  <w:vMerge w:val="continue"/>
                  <w:tcBorders>
                    <w:left w:val="single" w:color="000000" w:sz="4" w:space="0"/>
                    <w:right w:val="single" w:color="000000" w:sz="4" w:space="0"/>
                  </w:tcBorders>
                  <w:shd w:val="clear" w:color="auto" w:fill="auto"/>
                  <w:vAlign w:val="center"/>
                </w:tcPr>
                <w:p w14:paraId="7D466FF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5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35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3A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6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D2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34.5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52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24.0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FC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38.0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AF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21.1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F1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r>
            <w:tr w14:paraId="3E8F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F4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1D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厂房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A5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钻床</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AB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34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8</w:t>
                  </w:r>
                  <w:r>
                    <w:rPr>
                      <w:rFonts w:hint="eastAsia" w:cs="Times New Roman"/>
                      <w:i w:val="0"/>
                      <w:iCs w:val="0"/>
                      <w:color w:val="000000" w:themeColor="text1"/>
                      <w:kern w:val="0"/>
                      <w:sz w:val="18"/>
                      <w:szCs w:val="18"/>
                      <w:u w:val="none"/>
                      <w:vertAlign w:val="baseli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/1</w:t>
                  </w: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6107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EC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A1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9A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35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2E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78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A2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5B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67.0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77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54.9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41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63.5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02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48.9 </w:t>
                  </w:r>
                </w:p>
              </w:tc>
              <w:tc>
                <w:tcPr>
                  <w:tcW w:w="567" w:type="dxa"/>
                  <w:vMerge w:val="continue"/>
                  <w:tcBorders>
                    <w:left w:val="single" w:color="000000" w:sz="4" w:space="0"/>
                    <w:right w:val="single" w:color="000000" w:sz="4" w:space="0"/>
                  </w:tcBorders>
                  <w:shd w:val="clear" w:color="auto" w:fill="auto"/>
                  <w:vAlign w:val="center"/>
                </w:tcPr>
                <w:p w14:paraId="3F520DB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DC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52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C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CB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A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42.0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3B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29.9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D5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38.5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50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23.9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58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r>
            <w:tr w14:paraId="051B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41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7</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77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厂房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25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喷漆气泵</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FD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1F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80/1</w:t>
                  </w: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E9A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8C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21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B7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E3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79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2C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AA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73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56.5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1D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43.1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E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60.0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3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46.0 </w:t>
                  </w:r>
                </w:p>
              </w:tc>
              <w:tc>
                <w:tcPr>
                  <w:tcW w:w="567" w:type="dxa"/>
                  <w:vMerge w:val="continue"/>
                  <w:tcBorders>
                    <w:left w:val="single" w:color="000000" w:sz="4" w:space="0"/>
                    <w:right w:val="single" w:color="000000" w:sz="4" w:space="0"/>
                  </w:tcBorders>
                  <w:shd w:val="clear" w:color="auto" w:fill="auto"/>
                  <w:vAlign w:val="center"/>
                </w:tcPr>
                <w:p w14:paraId="1A59C65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CD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D1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3E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B9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20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31.5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9B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18.1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39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35.0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7A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21.0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2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r>
            <w:tr w14:paraId="6FAA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3C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8</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7E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厂房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B7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空压机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B0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76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eastAsia" w:cs="Times New Roman"/>
                      <w:i w:val="0"/>
                      <w:iCs w:val="0"/>
                      <w:color w:val="000000" w:themeColor="text1"/>
                      <w:kern w:val="0"/>
                      <w:sz w:val="18"/>
                      <w:szCs w:val="18"/>
                      <w:u w:val="none"/>
                      <w:vertAlign w:val="baseline"/>
                      <w:lang w:val="en-US" w:eastAsia="zh-CN" w:bidi="ar"/>
                      <w14:textFill>
                        <w14:solidFill>
                          <w14:schemeClr w14:val="tx1"/>
                        </w14:solidFill>
                      </w14:textFill>
                    </w:rPr>
                    <w:t>85</w:t>
                  </w: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288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2F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71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18</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3A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F8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2A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06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9E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77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61.5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4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47.5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26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65.0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7A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51.9 </w:t>
                  </w:r>
                </w:p>
              </w:tc>
              <w:tc>
                <w:tcPr>
                  <w:tcW w:w="567" w:type="dxa"/>
                  <w:tcBorders>
                    <w:left w:val="single" w:color="000000" w:sz="4" w:space="0"/>
                    <w:right w:val="single" w:color="000000" w:sz="4" w:space="0"/>
                  </w:tcBorders>
                  <w:shd w:val="clear" w:color="auto" w:fill="auto"/>
                  <w:vAlign w:val="center"/>
                </w:tcPr>
                <w:p w14:paraId="6125A8F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10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3D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D8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18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BA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36.5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4A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22.5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88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40.0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9D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26.9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75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r>
            <w:tr w14:paraId="5A59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98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9</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44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厂房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BB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风机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9558">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themeColor="text1"/>
                      <w:sz w:val="18"/>
                      <w:szCs w:val="18"/>
                      <w:u w:val="none"/>
                      <w:vertAlign w:val="baseli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18"/>
                      <w:szCs w:val="18"/>
                      <w:u w:val="none"/>
                      <w:vertAlign w:val="baseline"/>
                      <w:lang w:val="en-US" w:eastAsia="zh-CN"/>
                      <w14:textFill>
                        <w14:solidFill>
                          <w14:schemeClr w14:val="tx1"/>
                        </w14:solidFill>
                      </w14:textFill>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36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8</w:t>
                  </w:r>
                  <w:r>
                    <w:rPr>
                      <w:rFonts w:hint="eastAsia" w:cs="Times New Roman"/>
                      <w:i w:val="0"/>
                      <w:iCs w:val="0"/>
                      <w:color w:val="000000" w:themeColor="text1"/>
                      <w:kern w:val="0"/>
                      <w:sz w:val="18"/>
                      <w:szCs w:val="18"/>
                      <w:u w:val="none"/>
                      <w:vertAlign w:val="baseline"/>
                      <w:lang w:val="en-US" w:eastAsia="zh-CN" w:bidi="ar"/>
                      <w14:textFill>
                        <w14:solidFill>
                          <w14:schemeClr w14:val="tx1"/>
                        </w14:solidFill>
                      </w14:textFill>
                    </w:rPr>
                    <w:t>0</w:t>
                  </w: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5A5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5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-16</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9B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6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53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8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F0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49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48</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A0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57.5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64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47.6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BC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78.8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77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51.1 </w:t>
                  </w:r>
                </w:p>
              </w:tc>
              <w:tc>
                <w:tcPr>
                  <w:tcW w:w="567" w:type="dxa"/>
                  <w:tcBorders>
                    <w:left w:val="single" w:color="000000" w:sz="4" w:space="0"/>
                    <w:bottom w:val="single" w:color="000000" w:sz="4" w:space="0"/>
                    <w:right w:val="single" w:color="000000" w:sz="4" w:space="0"/>
                  </w:tcBorders>
                  <w:shd w:val="clear" w:color="auto" w:fill="auto"/>
                  <w:vAlign w:val="center"/>
                </w:tcPr>
                <w:p w14:paraId="322361F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05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DF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37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02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5B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32.5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4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22.6 </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6A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53.8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E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26.1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C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r>
            <w:tr w14:paraId="1A0D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000"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32B6A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18"/>
                      <w:szCs w:val="18"/>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vertAlign w:val="baseline"/>
                      <w:lang w:val="en-US" w:eastAsia="zh-CN" w:bidi="ar"/>
                      <w14:textFill>
                        <w14:solidFill>
                          <w14:schemeClr w14:val="tx1"/>
                        </w14:solidFill>
                      </w14:textFill>
                    </w:rPr>
                    <w:t>表中坐标以厂界中心（113°37′16.54534″,27°46′8.26451″）为坐标原点，正东向为</w:t>
                  </w:r>
                  <w:r>
                    <w:rPr>
                      <w:rStyle w:val="131"/>
                      <w:rFonts w:hint="default" w:ascii="Times New Roman" w:hAnsi="Times New Roman" w:eastAsia="宋体" w:cs="Times New Roman"/>
                      <w:color w:val="000000" w:themeColor="text1"/>
                      <w:sz w:val="18"/>
                      <w:szCs w:val="18"/>
                      <w:vertAlign w:val="baseline"/>
                      <w:lang w:val="en-US" w:eastAsia="zh-CN" w:bidi="ar"/>
                      <w14:textFill>
                        <w14:solidFill>
                          <w14:schemeClr w14:val="tx1"/>
                        </w14:solidFill>
                      </w14:textFill>
                    </w:rPr>
                    <w:t>X</w:t>
                  </w:r>
                  <w:r>
                    <w:rPr>
                      <w:rStyle w:val="132"/>
                      <w:rFonts w:hint="default" w:ascii="Times New Roman" w:hAnsi="Times New Roman" w:cs="Times New Roman"/>
                      <w:color w:val="000000" w:themeColor="text1"/>
                      <w:sz w:val="18"/>
                      <w:szCs w:val="18"/>
                      <w:vertAlign w:val="baseline"/>
                      <w:lang w:val="en-US" w:eastAsia="zh-CN" w:bidi="ar"/>
                      <w14:textFill>
                        <w14:solidFill>
                          <w14:schemeClr w14:val="tx1"/>
                        </w14:solidFill>
                      </w14:textFill>
                    </w:rPr>
                    <w:t>轴正方向，正北向为</w:t>
                  </w:r>
                  <w:r>
                    <w:rPr>
                      <w:rStyle w:val="131"/>
                      <w:rFonts w:hint="default" w:ascii="Times New Roman" w:hAnsi="Times New Roman" w:eastAsia="宋体" w:cs="Times New Roman"/>
                      <w:color w:val="000000" w:themeColor="text1"/>
                      <w:sz w:val="18"/>
                      <w:szCs w:val="18"/>
                      <w:vertAlign w:val="baseline"/>
                      <w:lang w:val="en-US" w:eastAsia="zh-CN" w:bidi="ar"/>
                      <w14:textFill>
                        <w14:solidFill>
                          <w14:schemeClr w14:val="tx1"/>
                        </w14:solidFill>
                      </w14:textFill>
                    </w:rPr>
                    <w:t>Y</w:t>
                  </w:r>
                  <w:r>
                    <w:rPr>
                      <w:rStyle w:val="132"/>
                      <w:rFonts w:hint="default" w:ascii="Times New Roman" w:hAnsi="Times New Roman" w:cs="Times New Roman"/>
                      <w:color w:val="000000" w:themeColor="text1"/>
                      <w:sz w:val="18"/>
                      <w:szCs w:val="18"/>
                      <w:vertAlign w:val="baseline"/>
                      <w:lang w:val="en-US" w:eastAsia="zh-CN" w:bidi="ar"/>
                      <w14:textFill>
                        <w14:solidFill>
                          <w14:schemeClr w14:val="tx1"/>
                        </w14:solidFill>
                      </w14:textFill>
                    </w:rPr>
                    <w:t>轴正方向</w:t>
                  </w:r>
                </w:p>
              </w:tc>
            </w:tr>
          </w:tbl>
          <w:p w14:paraId="2F7BA82A">
            <w:pPr>
              <w:pStyle w:val="2"/>
              <w:keepLines w:val="0"/>
              <w:numPr>
                <w:ilvl w:val="-1"/>
                <w:numId w:val="0"/>
              </w:numPr>
              <w:suppressLineNumbers w:val="0"/>
              <w:spacing w:before="0" w:beforeAutospacing="0" w:after="0" w:afterAutospacing="0"/>
              <w:ind w:left="0" w:right="0" w:firstLine="0" w:firstLineChars="0"/>
              <w:rPr>
                <w:rFonts w:hint="default"/>
                <w:b w:val="0"/>
                <w:bCs w:val="0"/>
                <w:color w:val="auto"/>
                <w:kern w:val="2"/>
                <w:sz w:val="24"/>
                <w:szCs w:val="24"/>
                <w:u w:val="none"/>
                <w:lang w:val="en-US" w:eastAsia="zh-CN"/>
              </w:rPr>
            </w:pPr>
          </w:p>
        </w:tc>
      </w:tr>
    </w:tbl>
    <w:p w14:paraId="174670B9">
      <w:pPr>
        <w:rPr>
          <w:rFonts w:ascii="Times New Roman" w:hAnsi="Times New Roman"/>
          <w:b/>
          <w:bCs/>
          <w:snapToGrid w:val="0"/>
          <w:color w:val="auto"/>
          <w:sz w:val="30"/>
          <w:szCs w:val="30"/>
        </w:rPr>
        <w:sectPr>
          <w:type w:val="continuous"/>
          <w:pgSz w:w="16838" w:h="11906" w:orient="landscape"/>
          <w:pgMar w:top="1531" w:right="1440" w:bottom="1531" w:left="1440" w:header="851" w:footer="851" w:gutter="0"/>
          <w:pgNumType w:fmt="decimal"/>
          <w:cols w:space="720" w:num="1"/>
          <w:docGrid w:linePitch="312" w:charSpace="0"/>
        </w:sectPr>
      </w:pPr>
    </w:p>
    <w:tbl>
      <w:tblPr>
        <w:tblStyle w:val="24"/>
        <w:tblW w:w="50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5"/>
        <w:gridCol w:w="8865"/>
      </w:tblGrid>
      <w:tr w14:paraId="56E7D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14" w:hRule="atLeast"/>
          <w:jc w:val="center"/>
        </w:trPr>
        <w:tc>
          <w:tcPr>
            <w:tcW w:w="217" w:type="pct"/>
            <w:noWrap w:val="0"/>
            <w:tcMar>
              <w:left w:w="28" w:type="dxa"/>
              <w:right w:w="28" w:type="dxa"/>
            </w:tcMar>
            <w:vAlign w:val="center"/>
          </w:tcPr>
          <w:p w14:paraId="17880F70">
            <w:pPr>
              <w:pStyle w:val="109"/>
              <w:keepNext w:val="0"/>
              <w:keepLines w:val="0"/>
              <w:suppressLineNumbers w:val="0"/>
              <w:spacing w:before="0" w:beforeAutospacing="0" w:after="0" w:afterAutospacing="0"/>
              <w:ind w:left="0" w:right="0" w:firstLine="0" w:firstLineChars="0"/>
              <w:jc w:val="both"/>
              <w:rPr>
                <w:rFonts w:hint="eastAsia" w:hAnsi="Times New Roman"/>
                <w:snapToGrid w:val="0"/>
                <w:color w:val="auto"/>
                <w:u w:val="none"/>
                <w:lang w:val="en-US" w:eastAsia="zh-CN"/>
              </w:rPr>
            </w:pPr>
          </w:p>
        </w:tc>
        <w:tc>
          <w:tcPr>
            <w:tcW w:w="4782" w:type="pct"/>
            <w:noWrap w:val="0"/>
            <w:vAlign w:val="top"/>
          </w:tcPr>
          <w:p w14:paraId="4F0FDB78">
            <w:pPr>
              <w:keepNext w:val="0"/>
              <w:keepLines w:val="0"/>
              <w:widowControl w:val="0"/>
              <w:suppressLineNumbers w:val="0"/>
              <w:spacing w:before="157" w:beforeLines="50" w:beforeAutospacing="0" w:after="0" w:afterAutospacing="0" w:line="360" w:lineRule="auto"/>
              <w:ind w:left="0" w:right="0" w:firstLine="482" w:firstLineChars="200"/>
              <w:jc w:val="both"/>
              <w:rPr>
                <w:rFonts w:hint="eastAsia" w:ascii="Times New Roman" w:hAnsi="宋体" w:eastAsia="宋体" w:cs="Times New Roman"/>
                <w:b/>
                <w:bCs/>
                <w:color w:val="auto"/>
                <w:kern w:val="2"/>
                <w:sz w:val="24"/>
                <w:szCs w:val="24"/>
                <w:u w:val="none"/>
                <w:lang w:val="en-US" w:eastAsia="zh-CN" w:bidi="ar-SA"/>
              </w:rPr>
            </w:pPr>
            <w:r>
              <w:rPr>
                <w:rFonts w:hint="eastAsia" w:ascii="Times New Roman" w:hAnsi="宋体" w:eastAsia="宋体" w:cs="Times New Roman"/>
                <w:b/>
                <w:bCs/>
                <w:color w:val="auto"/>
                <w:kern w:val="2"/>
                <w:sz w:val="24"/>
                <w:szCs w:val="24"/>
                <w:u w:val="none"/>
                <w:lang w:val="en-US" w:eastAsia="zh-CN" w:bidi="ar-SA"/>
              </w:rPr>
              <w:t>3.2噪声预测</w:t>
            </w:r>
          </w:p>
          <w:p w14:paraId="0C7C22F1">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（1）预测模式</w:t>
            </w:r>
          </w:p>
          <w:p w14:paraId="1B6114D4">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为了预测项目建成后对附近敏感点的噪声影响程度，根据本项目噪声源的特点和简化预测过程，本次评价采用声导则工业噪声预测计算模式中室内声源等效室外声源声功率级计算方法。</w:t>
            </w:r>
          </w:p>
          <w:p w14:paraId="42AF78EA">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本项目声源位于室内，室内声源可采用等效室外声源声功率级法进行计算。设靠近开口处(或窗户)室内、室外某倍频带的声压级分别为L</w:t>
            </w:r>
            <w:r>
              <w:rPr>
                <w:rFonts w:hint="default" w:ascii="Times New Roman" w:hAnsi="宋体" w:eastAsia="宋体" w:cs="Times New Roman"/>
                <w:b w:val="0"/>
                <w:bCs w:val="0"/>
                <w:color w:val="auto"/>
                <w:kern w:val="2"/>
                <w:sz w:val="24"/>
                <w:szCs w:val="24"/>
                <w:u w:val="none"/>
                <w:vertAlign w:val="subscript"/>
                <w:lang w:val="en-US" w:eastAsia="zh-CN" w:bidi="ar-SA"/>
              </w:rPr>
              <w:t>p1</w:t>
            </w:r>
            <w:r>
              <w:rPr>
                <w:rFonts w:hint="default" w:ascii="Times New Roman" w:hAnsi="宋体" w:eastAsia="宋体" w:cs="Times New Roman"/>
                <w:b w:val="0"/>
                <w:bCs w:val="0"/>
                <w:color w:val="auto"/>
                <w:kern w:val="2"/>
                <w:sz w:val="24"/>
                <w:szCs w:val="24"/>
                <w:u w:val="none"/>
                <w:lang w:val="en-US" w:eastAsia="zh-CN" w:bidi="ar-SA"/>
              </w:rPr>
              <w:t>和L</w:t>
            </w:r>
            <w:r>
              <w:rPr>
                <w:rFonts w:hint="default" w:ascii="Times New Roman" w:hAnsi="宋体" w:eastAsia="宋体" w:cs="Times New Roman"/>
                <w:b w:val="0"/>
                <w:bCs w:val="0"/>
                <w:color w:val="auto"/>
                <w:kern w:val="2"/>
                <w:sz w:val="24"/>
                <w:szCs w:val="24"/>
                <w:u w:val="none"/>
                <w:vertAlign w:val="subscript"/>
                <w:lang w:val="en-US" w:eastAsia="zh-CN" w:bidi="ar-SA"/>
              </w:rPr>
              <w:t>p2</w:t>
            </w:r>
            <w:r>
              <w:rPr>
                <w:rFonts w:hint="default" w:ascii="Times New Roman" w:hAnsi="宋体" w:eastAsia="宋体" w:cs="Times New Roman"/>
                <w:b w:val="0"/>
                <w:bCs w:val="0"/>
                <w:color w:val="auto"/>
                <w:kern w:val="2"/>
                <w:sz w:val="24"/>
                <w:szCs w:val="24"/>
                <w:u w:val="none"/>
                <w:lang w:val="en-US" w:eastAsia="zh-CN" w:bidi="ar-SA"/>
              </w:rPr>
              <w:t>。若声源所在室内声场为近似扩散声场，则室外的倍频带声压级可按公式(1)近似求出：</w:t>
            </w:r>
          </w:p>
          <w:p w14:paraId="618E5A0C">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宋体" w:eastAsia="宋体" w:cs="Times New Roman"/>
                <w:b w:val="0"/>
                <w:bCs w:val="0"/>
                <w:color w:val="auto"/>
                <w:kern w:val="2"/>
                <w:sz w:val="24"/>
                <w:szCs w:val="24"/>
                <w:u w:val="none"/>
                <w:vertAlign w:val="baseli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P2</w:t>
            </w:r>
            <w:r>
              <w:rPr>
                <w:rFonts w:hint="eastAsia" w:ascii="Times New Roman" w:hAnsi="宋体" w:eastAsia="宋体" w:cs="Times New Roman"/>
                <w:b w:val="0"/>
                <w:bCs w:val="0"/>
                <w:color w:val="auto"/>
                <w:kern w:val="2"/>
                <w:sz w:val="24"/>
                <w:szCs w:val="24"/>
                <w:u w:val="none"/>
                <w:vertAlign w:val="baseli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vertAlign w:val="baseline"/>
                <w:lang w:val="en-US" w:eastAsia="zh-CN" w:bidi="ar-SA"/>
              </w:rPr>
              <w:t>-(TL+6)           (1)</w:t>
            </w:r>
          </w:p>
          <w:p w14:paraId="49A3EBFD">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lang w:val="en-US" w:eastAsia="zh-CN" w:bidi="ar-SA"/>
              </w:rPr>
              <w:t>——靠近开口处（或窗户）室内某倍频带的声压级或A声级，dB；</w:t>
            </w:r>
          </w:p>
          <w:p w14:paraId="1D8C689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p2</w:t>
            </w:r>
            <w:r>
              <w:rPr>
                <w:rFonts w:hint="eastAsia" w:ascii="Times New Roman" w:hAnsi="宋体" w:eastAsia="宋体" w:cs="Times New Roman"/>
                <w:b w:val="0"/>
                <w:bCs w:val="0"/>
                <w:color w:val="auto"/>
                <w:kern w:val="2"/>
                <w:sz w:val="24"/>
                <w:szCs w:val="24"/>
                <w:u w:val="none"/>
                <w:lang w:val="en-US" w:eastAsia="zh-CN" w:bidi="ar-SA"/>
              </w:rPr>
              <w:t>——靠近开口处（或窗户）室外某倍频带的声压级或A声级，dB；</w:t>
            </w:r>
          </w:p>
          <w:p w14:paraId="0F2DC154">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kern w:val="2"/>
                <w:sz w:val="24"/>
                <w:szCs w:val="24"/>
                <w:lang w:val="en-US" w:eastAsia="zh-CN" w:bidi="ar-SA"/>
              </w:rPr>
              <w:drawing>
                <wp:anchor distT="0" distB="0" distL="114300" distR="114300" simplePos="0" relativeHeight="251661312" behindDoc="0" locked="0" layoutInCell="1" allowOverlap="1">
                  <wp:simplePos x="0" y="0"/>
                  <wp:positionH relativeFrom="column">
                    <wp:posOffset>1544955</wp:posOffset>
                  </wp:positionH>
                  <wp:positionV relativeFrom="paragraph">
                    <wp:posOffset>368300</wp:posOffset>
                  </wp:positionV>
                  <wp:extent cx="2346960" cy="1227455"/>
                  <wp:effectExtent l="0" t="0" r="15240" b="10795"/>
                  <wp:wrapTopAndBottom/>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pic:cNvPicPr>
                        </pic:nvPicPr>
                        <pic:blipFill>
                          <a:blip r:embed="rId8"/>
                          <a:stretch>
                            <a:fillRect/>
                          </a:stretch>
                        </pic:blipFill>
                        <pic:spPr>
                          <a:xfrm>
                            <a:off x="0" y="0"/>
                            <a:ext cx="2346960" cy="1227455"/>
                          </a:xfrm>
                          <a:prstGeom prst="rect">
                            <a:avLst/>
                          </a:prstGeom>
                          <a:noFill/>
                          <a:ln>
                            <a:noFill/>
                          </a:ln>
                        </pic:spPr>
                      </pic:pic>
                    </a:graphicData>
                  </a:graphic>
                </wp:anchor>
              </w:drawing>
            </w:r>
            <w:r>
              <w:rPr>
                <w:rFonts w:hint="eastAsia" w:ascii="Times New Roman" w:hAnsi="宋体" w:eastAsia="宋体" w:cs="Times New Roman"/>
                <w:b w:val="0"/>
                <w:bCs w:val="0"/>
                <w:color w:val="auto"/>
                <w:kern w:val="2"/>
                <w:sz w:val="24"/>
                <w:szCs w:val="24"/>
                <w:u w:val="none"/>
                <w:lang w:val="en-US" w:eastAsia="zh-CN" w:bidi="ar-SA"/>
              </w:rPr>
              <w:t>TL——隔墙（或窗户）倍频带或A声级的隔声量，dB。</w:t>
            </w:r>
          </w:p>
          <w:p w14:paraId="05055B4A">
            <w:pPr>
              <w:keepNext w:val="0"/>
              <w:keepLines w:val="0"/>
              <w:widowControl w:val="0"/>
              <w:suppressLineNumbers w:val="0"/>
              <w:spacing w:before="0" w:beforeLines="0" w:beforeAutospacing="0" w:after="0" w:afterAutospacing="0" w:line="360" w:lineRule="auto"/>
              <w:ind w:left="0" w:right="0" w:firstLine="0" w:firstLineChars="0"/>
              <w:jc w:val="center"/>
              <w:rPr>
                <w:rFonts w:hint="eastAsia" w:ascii="Times New Roman" w:hAnsi="宋体" w:eastAsia="宋体" w:cs="Times New Roman"/>
                <w:b w:val="0"/>
                <w:bCs w:val="0"/>
                <w:color w:val="auto"/>
                <w:kern w:val="2"/>
                <w:sz w:val="21"/>
                <w:szCs w:val="21"/>
                <w:u w:val="none"/>
                <w:lang w:val="en-US" w:eastAsia="zh-CN" w:bidi="ar-SA"/>
              </w:rPr>
            </w:pPr>
            <w:r>
              <w:rPr>
                <w:rFonts w:hint="eastAsia" w:ascii="Times New Roman" w:hAnsi="宋体" w:eastAsia="宋体" w:cs="Times New Roman"/>
                <w:b/>
                <w:bCs/>
                <w:color w:val="auto"/>
                <w:kern w:val="2"/>
                <w:sz w:val="21"/>
                <w:szCs w:val="21"/>
                <w:u w:val="none"/>
                <w:lang w:val="en-US" w:eastAsia="zh-CN" w:bidi="ar-SA"/>
              </w:rPr>
              <w:t>图4-1 室内声源等效室外声源图例</w:t>
            </w:r>
          </w:p>
          <w:p w14:paraId="2688CBBC">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室内声源靠近围护结构处产生的倍频带声压级Lp1可按公式(2)计算得出。</w:t>
            </w:r>
          </w:p>
          <w:p w14:paraId="0EBFD6ED">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P1</m:t>
                  </m:r>
                  <m:ctrlPr>
                    <w:rPr>
                      <w:rFonts w:hint="default" w:ascii="Cambria Math" w:hAnsi="Cambria Math" w:cs="Times New Roman"/>
                      <w:bCs w:val="0"/>
                      <w:i/>
                      <w:color w:val="auto"/>
                      <w:u w:val="none"/>
                      <w:lang w:val="en-US"/>
                    </w:rPr>
                  </m:ctrlPr>
                </m:sub>
              </m:sSub>
              <m:r>
                <m:rPr/>
                <w:rPr>
                  <w:rFonts w:hint="default" w:ascii="Cambria Math" w:hAnsi="Cambria Math" w:cs="Times New Roman"/>
                  <w:color w:val="auto"/>
                  <w:u w:val="none"/>
                  <w:lang w:val="en-US" w:eastAsia="zh-CN"/>
                </w:rPr>
                <m: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W</m:t>
                  </m:r>
                  <m:ctrlPr>
                    <w:rPr>
                      <w:rFonts w:hint="default" w:ascii="Cambria Math" w:hAnsi="Cambria Math" w:cs="Times New Roman"/>
                      <w:bCs w:val="0"/>
                      <w:i/>
                      <w:color w:val="auto"/>
                      <w:u w:val="none"/>
                      <w:lang w:val="en-US" w:eastAsia="zh-CN"/>
                    </w:rPr>
                  </m:ctrlPr>
                </m:sub>
              </m:sSub>
              <m:r>
                <m:rPr/>
                <w:rPr>
                  <w:rFonts w:hint="default" w:ascii="Cambria Math" w:hAnsi="Cambria Math" w:cs="Times New Roman"/>
                  <w:color w:val="auto"/>
                  <w:u w:val="none"/>
                  <w:lang w:val="en-US" w:eastAsia="zh-CN"/>
                </w:rPr>
                <m:t>+10lg</m:t>
              </m:r>
              <m:d>
                <m:dPr>
                  <m:ctrlPr>
                    <w:rPr>
                      <w:rFonts w:hint="default" w:ascii="Cambria Math" w:hAnsi="Cambria Math" w:cs="Times New Roman"/>
                      <w:bCs w:val="0"/>
                      <w:i/>
                      <w:color w:val="auto"/>
                      <w:u w:val="none"/>
                      <w:lang w:val="en-US" w:eastAsia="zh-CN"/>
                    </w:rPr>
                  </m:ctrlPr>
                </m:dPr>
                <m:e>
                  <m:f>
                    <m:fPr>
                      <m:ctrlPr>
                        <w:rPr>
                          <w:rFonts w:hint="default" w:ascii="Cambria Math" w:hAnsi="Cambria Math" w:cs="Times New Roman"/>
                          <w:bCs w:val="0"/>
                          <w:i/>
                          <w:color w:val="auto"/>
                          <w:u w:val="none"/>
                          <w:lang w:val="en-US" w:eastAsia="zh-CN"/>
                        </w:rPr>
                      </m:ctrlPr>
                    </m:fPr>
                    <m:num>
                      <m:r>
                        <m:rPr/>
                        <w:rPr>
                          <w:rFonts w:hint="default" w:ascii="Cambria Math" w:hAnsi="Cambria Math" w:cs="Times New Roman"/>
                          <w:color w:val="auto"/>
                          <w:u w:val="none"/>
                          <w:lang w:val="en-US" w:eastAsia="zh-CN"/>
                        </w:rPr>
                        <m:t>Q</m:t>
                      </m:r>
                      <m:ctrlPr>
                        <w:rPr>
                          <w:rFonts w:hint="default" w:ascii="Cambria Math" w:hAnsi="Cambria Math" w:cs="Times New Roman"/>
                          <w:bCs w:val="0"/>
                          <w:i/>
                          <w:color w:val="auto"/>
                          <w:u w:val="none"/>
                          <w:lang w:val="en-US" w:eastAsia="zh-CN"/>
                        </w:rPr>
                      </m:ctrlPr>
                    </m:num>
                    <m:den>
                      <m:r>
                        <m:rPr/>
                        <w:rPr>
                          <w:rFonts w:hint="default" w:ascii="Cambria Math" w:hAnsi="Cambria Math" w:cs="Times New Roman"/>
                          <w:color w:val="auto"/>
                          <w:u w:val="none"/>
                          <w:lang w:val="en-US" w:eastAsia="zh-CN"/>
                        </w:rPr>
                        <m:t>4π</m:t>
                      </m:r>
                      <m:sSup>
                        <m:sSupPr>
                          <m:ctrlPr>
                            <w:rPr>
                              <w:rFonts w:hint="default" w:ascii="Cambria Math" w:hAnsi="Cambria Math" w:cs="Times New Roman"/>
                              <w:bCs w:val="0"/>
                              <w:i/>
                              <w:color w:val="auto"/>
                              <w:u w:val="none"/>
                              <w:lang w:val="en-US" w:eastAsia="zh-CN"/>
                            </w:rPr>
                          </m:ctrlPr>
                        </m:sSupPr>
                        <m:e>
                          <m:r>
                            <m:rPr/>
                            <w:rPr>
                              <w:rFonts w:hint="default" w:ascii="Cambria Math" w:hAnsi="Cambria Math" w:cs="Times New Roman"/>
                              <w:color w:val="auto"/>
                              <w:u w:val="none"/>
                              <w:lang w:val="en-US" w:eastAsia="zh-CN"/>
                            </w:rPr>
                            <m:t>r</m:t>
                          </m:r>
                          <m:ctrlPr>
                            <w:rPr>
                              <w:rFonts w:hint="default" w:ascii="Cambria Math" w:hAnsi="Cambria Math" w:cs="Times New Roman"/>
                              <w:bCs w:val="0"/>
                              <w:i/>
                              <w:color w:val="auto"/>
                              <w:u w:val="none"/>
                              <w:lang w:val="en-US" w:eastAsia="zh-CN"/>
                            </w:rPr>
                          </m:ctrlPr>
                        </m:e>
                        <m:sup>
                          <m:r>
                            <m:rPr/>
                            <w:rPr>
                              <w:rFonts w:hint="default" w:ascii="Cambria Math" w:hAnsi="Cambria Math" w:cs="Times New Roman"/>
                              <w:color w:val="auto"/>
                              <w:u w:val="none"/>
                              <w:lang w:val="en-US" w:eastAsia="zh-CN"/>
                            </w:rPr>
                            <m:t>2</m:t>
                          </m:r>
                          <m:ctrlPr>
                            <w:rPr>
                              <w:rFonts w:hint="default" w:ascii="Cambria Math" w:hAnsi="Cambria Math" w:cs="Times New Roman"/>
                              <w:bCs w:val="0"/>
                              <w:i/>
                              <w:color w:val="auto"/>
                              <w:u w:val="none"/>
                              <w:lang w:val="en-US" w:eastAsia="zh-CN"/>
                            </w:rPr>
                          </m:ctrlPr>
                        </m:sup>
                      </m:sSup>
                      <m:ctrlPr>
                        <w:rPr>
                          <w:rFonts w:hint="default" w:ascii="Cambria Math" w:hAnsi="Cambria Math" w:cs="Times New Roman"/>
                          <w:bCs w:val="0"/>
                          <w:i/>
                          <w:color w:val="auto"/>
                          <w:u w:val="none"/>
                          <w:lang w:val="en-US" w:eastAsia="zh-CN"/>
                        </w:rPr>
                      </m:ctrlPr>
                    </m:den>
                  </m:f>
                  <m:r>
                    <m:rPr/>
                    <w:rPr>
                      <w:rFonts w:hint="default" w:ascii="Cambria Math" w:hAnsi="Cambria Math" w:cs="Times New Roman"/>
                      <w:color w:val="auto"/>
                      <w:u w:val="none"/>
                      <w:lang w:val="en-US" w:eastAsia="zh-CN"/>
                    </w:rPr>
                    <m:t>+</m:t>
                  </m:r>
                  <m:f>
                    <m:fPr>
                      <m:ctrlPr>
                        <w:rPr>
                          <w:rFonts w:hint="default" w:ascii="Cambria Math" w:hAnsi="Cambria Math" w:cs="Times New Roman"/>
                          <w:bCs w:val="0"/>
                          <w:i/>
                          <w:color w:val="auto"/>
                          <w:u w:val="none"/>
                          <w:lang w:val="en-US" w:eastAsia="zh-CN"/>
                        </w:rPr>
                      </m:ctrlPr>
                    </m:fPr>
                    <m:num>
                      <m:r>
                        <m:rPr/>
                        <w:rPr>
                          <w:rFonts w:hint="default" w:ascii="Cambria Math" w:hAnsi="Cambria Math" w:cs="Times New Roman"/>
                          <w:color w:val="auto"/>
                          <w:u w:val="none"/>
                          <w:lang w:val="en-US" w:eastAsia="zh-CN"/>
                        </w:rPr>
                        <m:t>4</m:t>
                      </m:r>
                      <m:ctrlPr>
                        <w:rPr>
                          <w:rFonts w:hint="default" w:ascii="Cambria Math" w:hAnsi="Cambria Math" w:cs="Times New Roman"/>
                          <w:bCs w:val="0"/>
                          <w:i/>
                          <w:color w:val="auto"/>
                          <w:u w:val="none"/>
                          <w:lang w:val="en-US" w:eastAsia="zh-CN"/>
                        </w:rPr>
                      </m:ctrlPr>
                    </m:num>
                    <m:den>
                      <m:r>
                        <m:rPr/>
                        <w:rPr>
                          <w:rFonts w:hint="default" w:ascii="Cambria Math" w:hAnsi="Cambria Math" w:cs="Times New Roman"/>
                          <w:color w:val="auto"/>
                          <w:u w:val="none"/>
                          <w:lang w:val="en-US" w:eastAsia="zh-CN"/>
                        </w:rPr>
                        <m:t>R</m:t>
                      </m:r>
                      <m:ctrlPr>
                        <w:rPr>
                          <w:rFonts w:hint="default" w:ascii="Cambria Math" w:hAnsi="Cambria Math" w:cs="Times New Roman"/>
                          <w:bCs w:val="0"/>
                          <w:i/>
                          <w:color w:val="auto"/>
                          <w:u w:val="none"/>
                          <w:lang w:val="en-US" w:eastAsia="zh-CN"/>
                        </w:rPr>
                      </m:ctrlPr>
                    </m:den>
                  </m:f>
                  <m:ctrlPr>
                    <w:rPr>
                      <w:rFonts w:hint="default" w:ascii="Cambria Math" w:hAnsi="Cambria Math" w:cs="Times New Roman"/>
                      <w:bCs w:val="0"/>
                      <w:i/>
                      <w:color w:val="auto"/>
                      <w:u w:val="none"/>
                      <w:lang w:val="en-US" w:eastAsia="zh-CN"/>
                    </w:rPr>
                  </m:ctrlPr>
                </m:e>
              </m:d>
            </m:oMath>
            <w:r>
              <w:rPr>
                <w:rFonts w:hint="default" w:ascii="Times New Roman" w:hAnsi="Times New Roman" w:eastAsia="宋体" w:cs="Times New Roman"/>
                <w:bCs w:val="0"/>
                <w:i w:val="0"/>
                <w:color w:val="auto"/>
                <w:kern w:val="2"/>
                <w:sz w:val="24"/>
                <w:szCs w:val="24"/>
                <w:u w:val="none"/>
                <w:lang w:val="en-US" w:eastAsia="zh-CN" w:bidi="ar-SA"/>
              </w:rPr>
              <w:t xml:space="preserve"> </w:t>
            </w:r>
            <w:r>
              <w:rPr>
                <w:rFonts w:hint="eastAsia" w:ascii="Times New Roman" w:hAnsi="Cambria Math" w:eastAsia="宋体" w:cs="Times New Roman"/>
                <w:bCs w:val="0"/>
                <w:i w:val="0"/>
                <w:color w:val="auto"/>
                <w:kern w:val="2"/>
                <w:sz w:val="24"/>
                <w:szCs w:val="24"/>
                <w:u w:val="none"/>
                <w:lang w:val="en-US" w:eastAsia="zh-CN" w:bidi="ar-SA"/>
              </w:rPr>
              <w:t>（2）</w:t>
            </w:r>
          </w:p>
          <w:p w14:paraId="3615AA4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lang w:val="en-US" w:eastAsia="zh-CN" w:bidi="ar-SA"/>
              </w:rPr>
              <w:t>——靠近开口处（或窗户）室内某倍频带的声压级或 A 声级，dB；</w:t>
            </w:r>
          </w:p>
          <w:p w14:paraId="236DC49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w</w:t>
            </w:r>
            <w:r>
              <w:rPr>
                <w:rFonts w:hint="eastAsia" w:ascii="Times New Roman" w:hAnsi="宋体" w:eastAsia="宋体" w:cs="Times New Roman"/>
                <w:b w:val="0"/>
                <w:bCs w:val="0"/>
                <w:color w:val="auto"/>
                <w:kern w:val="2"/>
                <w:sz w:val="24"/>
                <w:szCs w:val="24"/>
                <w:u w:val="none"/>
                <w:lang w:val="en-US" w:eastAsia="zh-CN" w:bidi="ar-SA"/>
              </w:rPr>
              <w:t xml:space="preserve"> ——点声源声功率级（A 计权或倍频带），dB；</w:t>
            </w:r>
          </w:p>
          <w:p w14:paraId="49636295">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Q—指向性因数；通常对无指向性声源，当声源放在房间中心时，Q=1；当放在一面墙的中心时，Q=2；当放在两面墙夹角处时，Q=4；当放在三面墙夹角处时，Q=8。</w:t>
            </w:r>
          </w:p>
          <w:p w14:paraId="4703B527">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R—房间常数；R=Sα/(1−α)，S为房间内表面面积，㎡；α为平均吸声系数；本项目α取0.1。</w:t>
            </w:r>
          </w:p>
          <w:p w14:paraId="0FF20AC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r—声源到靠近围护结构某点处的距离，m。</w:t>
            </w:r>
          </w:p>
          <w:p w14:paraId="3522FF6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按公式(3)计算出所有室内声源在围护结构处产生的i倍频带叠加声压级：</w:t>
            </w:r>
          </w:p>
          <w:p w14:paraId="5EAA6698">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pli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rPr>
                <m:t>=</m:t>
              </m:r>
              <m:r>
                <m:rPr/>
                <w:rPr>
                  <w:rFonts w:hint="default" w:ascii="Cambria Math" w:hAnsi="Cambria Math" w:cs="Times New Roman"/>
                  <w:color w:val="auto"/>
                  <w:u w:val="none"/>
                  <w:lang w:val="en-US" w:eastAsia="zh-CN"/>
                </w:rPr>
                <m:t>10lg</m:t>
              </m:r>
              <m:d>
                <m:dPr>
                  <m:ctrlPr>
                    <w:rPr>
                      <w:rFonts w:hint="default" w:ascii="Cambria Math" w:hAnsi="Cambria Math" w:cs="Times New Roman"/>
                      <w:bCs w:val="0"/>
                      <w:i/>
                      <w:color w:val="auto"/>
                      <w:u w:val="none"/>
                      <w:lang w:val="en-US" w:eastAsia="zh-CN"/>
                    </w:rPr>
                  </m:ctrlPr>
                </m:dPr>
                <m:e>
                  <m:nary>
                    <m:naryPr>
                      <m:chr m:val="∑"/>
                      <m:limLoc m:val="undOvr"/>
                      <m:ctrlPr>
                        <w:rPr>
                          <w:rFonts w:hint="default" w:ascii="Cambria Math" w:hAnsi="Cambria Math" w:cs="Times New Roman"/>
                          <w:bCs w:val="0"/>
                          <w:i/>
                          <w:color w:val="auto"/>
                          <w:u w:val="none"/>
                          <w:lang w:val="en-US" w:eastAsia="zh-CN"/>
                        </w:rPr>
                      </m:ctrlPr>
                    </m:naryPr>
                    <m:sub>
                      <m:r>
                        <m:rPr/>
                        <w:rPr>
                          <w:rFonts w:hint="default" w:ascii="Cambria Math" w:hAnsi="Cambria Math" w:cs="Times New Roman"/>
                          <w:color w:val="auto"/>
                          <w:u w:val="none"/>
                          <w:lang w:val="en-US" w:eastAsia="zh-CN"/>
                        </w:rPr>
                        <m:t>j</m:t>
                      </m:r>
                      <m:r>
                        <m:rPr/>
                        <w:rPr>
                          <w:rFonts w:hint="default" w:ascii="Cambria Math" w:hAnsi="Cambria Math" w:cs="Times New Roman"/>
                          <w:color w:val="auto"/>
                          <w:u w:val="none"/>
                          <w:lang w:val="en-US"/>
                        </w:rPr>
                        <m:t>=</m:t>
                      </m:r>
                      <m:r>
                        <m:rPr/>
                        <w:rPr>
                          <w:rFonts w:hint="default" w:ascii="Cambria Math" w:hAnsi="Cambria Math" w:cs="Times New Roman"/>
                          <w:color w:val="auto"/>
                          <w:u w:val="none"/>
                          <w:lang w:val="en-US" w:eastAsia="zh-CN"/>
                        </w:rPr>
                        <m:t>1</m:t>
                      </m:r>
                      <m:ctrlPr>
                        <w:rPr>
                          <w:rFonts w:hint="default" w:ascii="Cambria Math" w:hAnsi="Cambria Math" w:cs="Times New Roman"/>
                          <w:bCs w:val="0"/>
                          <w:i/>
                          <w:color w:val="auto"/>
                          <w:u w:val="none"/>
                          <w:lang w:val="en-US" w:eastAsia="zh-CN"/>
                        </w:rPr>
                      </m:ctrlPr>
                    </m:sub>
                    <m:sup>
                      <m:r>
                        <m:rPr/>
                        <w:rPr>
                          <w:rFonts w:hint="default" w:ascii="Cambria Math" w:hAnsi="Cambria Math" w:cs="Times New Roman"/>
                          <w:color w:val="auto"/>
                          <w:u w:val="none"/>
                          <w:lang w:val="en-US" w:eastAsia="zh-CN"/>
                        </w:rPr>
                        <m:t>N</m:t>
                      </m:r>
                      <m:ctrlPr>
                        <w:rPr>
                          <w:rFonts w:hint="default" w:ascii="Cambria Math" w:hAnsi="Cambria Math" w:cs="Times New Roman"/>
                          <w:bCs w:val="0"/>
                          <w:i/>
                          <w:color w:val="auto"/>
                          <w:u w:val="none"/>
                          <w:lang w:val="en-US" w:eastAsia="zh-CN"/>
                        </w:rPr>
                      </m:ctrlPr>
                    </m:sup>
                    <m:e>
                      <m:sSup>
                        <m:sSupPr>
                          <m:ctrlPr>
                            <w:rPr>
                              <w:rFonts w:hint="default" w:ascii="Cambria Math" w:hAnsi="Cambria Math" w:cs="Times New Roman"/>
                              <w:bCs w:val="0"/>
                              <w:i/>
                              <w:color w:val="auto"/>
                              <w:u w:val="none"/>
                              <w:lang w:val="en-US" w:eastAsia="zh-CN"/>
                            </w:rPr>
                          </m:ctrlPr>
                        </m:sSupPr>
                        <m:e>
                          <m:r>
                            <m:rPr/>
                            <w:rPr>
                              <w:rFonts w:hint="default" w:ascii="Cambria Math" w:hAnsi="Cambria Math" w:cs="Times New Roman"/>
                              <w:color w:val="auto"/>
                              <w:u w:val="none"/>
                              <w:lang w:val="en-US" w:eastAsia="zh-CN"/>
                            </w:rPr>
                            <m:t>10</m:t>
                          </m:r>
                          <m:ctrlPr>
                            <w:rPr>
                              <w:rFonts w:hint="default" w:ascii="Cambria Math" w:hAnsi="Cambria Math" w:cs="Times New Roman"/>
                              <w:bCs w:val="0"/>
                              <w:i/>
                              <w:color w:val="auto"/>
                              <w:u w:val="none"/>
                              <w:lang w:val="en-US" w:eastAsia="zh-CN"/>
                            </w:rPr>
                          </m:ctrlPr>
                        </m:e>
                        <m:sup>
                          <m:r>
                            <m:rPr/>
                            <w:rPr>
                              <w:rFonts w:hint="default" w:ascii="Cambria Math" w:hAnsi="Cambria Math" w:cs="Times New Roman"/>
                              <w:color w:val="auto"/>
                              <w:u w:val="none"/>
                              <w:lang w:val="en-US" w:eastAsia="zh-CN"/>
                            </w:rPr>
                            <m:t>0.1</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plij</m:t>
                              </m:r>
                              <m:ctrlPr>
                                <w:rPr>
                                  <w:rFonts w:hint="default" w:ascii="Cambria Math" w:hAnsi="Cambria Math" w:cs="Times New Roman"/>
                                  <w:bCs w:val="0"/>
                                  <w:i/>
                                  <w:color w:val="auto"/>
                                  <w:u w:val="none"/>
                                  <w:lang w:val="en-US" w:eastAsia="zh-CN"/>
                                </w:rPr>
                              </m:ctrlPr>
                            </m:sub>
                          </m:sSub>
                          <m:ctrlPr>
                            <w:rPr>
                              <w:rFonts w:hint="default" w:ascii="Cambria Math" w:hAnsi="Cambria Math" w:cs="Times New Roman"/>
                              <w:bCs w:val="0"/>
                              <w:i/>
                              <w:color w:val="auto"/>
                              <w:u w:val="none"/>
                              <w:lang w:val="en-US" w:eastAsia="zh-CN"/>
                            </w:rPr>
                          </m:ctrlPr>
                        </m:sup>
                      </m:sSup>
                      <m:ctrlPr>
                        <w:rPr>
                          <w:rFonts w:hint="default" w:ascii="Cambria Math" w:hAnsi="Cambria Math" w:cs="Times New Roman"/>
                          <w:bCs w:val="0"/>
                          <w:i/>
                          <w:color w:val="auto"/>
                          <w:u w:val="none"/>
                          <w:lang w:val="en-US" w:eastAsia="zh-CN"/>
                        </w:rPr>
                      </m:ctrlPr>
                    </m:e>
                  </m:nary>
                  <m:ctrlPr>
                    <w:rPr>
                      <w:rFonts w:hint="default" w:ascii="Cambria Math" w:hAnsi="Cambria Math" w:cs="Times New Roman"/>
                      <w:bCs w:val="0"/>
                      <w:i/>
                      <w:color w:val="auto"/>
                      <w:u w:val="none"/>
                      <w:lang w:val="en-US" w:eastAsia="zh-CN"/>
                    </w:rPr>
                  </m:ctrlPr>
                </m:e>
              </m:d>
            </m:oMath>
            <w:r>
              <w:rPr>
                <w:rFonts w:hint="eastAsia" w:ascii="Times New Roman" w:hAnsi="宋体" w:eastAsia="宋体" w:cs="Times New Roman"/>
                <w:b w:val="0"/>
                <w:bCs w:val="0"/>
                <w:color w:val="auto"/>
                <w:kern w:val="2"/>
                <w:sz w:val="24"/>
                <w:szCs w:val="24"/>
                <w:u w:val="none"/>
                <w:lang w:val="en-US" w:eastAsia="zh-CN" w:bidi="ar-SA"/>
              </w:rPr>
              <w:t xml:space="preserve"> （3）</w:t>
            </w:r>
          </w:p>
          <w:p w14:paraId="3AB8B15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式中：Lp1i(T)—靠近围护结构处室内N个声源i倍频带的叠加声压级，Db(A)；</w:t>
            </w:r>
          </w:p>
          <w:p w14:paraId="1AFD29AF">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Lp1i—室内j声源i倍频带的声压级，dB(A)；</w:t>
            </w:r>
          </w:p>
          <w:p w14:paraId="6160893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N—室内声源总数。</w:t>
            </w:r>
          </w:p>
          <w:p w14:paraId="1A2FCE72">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在室内近似为扩散声场时，按公式(4)计算出靠近室外围护结构处的声压级：</w:t>
            </w:r>
          </w:p>
          <w:p w14:paraId="13431027">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p2i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rPr>
                <m:t>=</m:t>
              </m:r>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pli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eastAsia="zh-CN"/>
                </w:rPr>
                <m:t>−</m:t>
              </m:r>
              <m:d>
                <m:dPr>
                  <m:ctrlPr>
                    <w:rPr>
                      <w:rFonts w:hint="default" w:ascii="Cambria Math" w:hAnsi="Cambria Math" w:cs="Times New Roman"/>
                      <w:bCs w:val="0"/>
                      <w:i/>
                      <w:color w:val="auto"/>
                      <w:u w:val="none"/>
                      <w:lang w:val="en-US" w:eastAsia="zh-CN"/>
                    </w:rPr>
                  </m:ctrlPr>
                </m:dPr>
                <m:e>
                  <m:r>
                    <m:rPr/>
                    <w:rPr>
                      <w:rFonts w:hint="default" w:ascii="Cambria Math" w:hAnsi="Cambria Math" w:cs="Times New Roman"/>
                      <w:color w:val="auto"/>
                      <w:u w:val="none"/>
                      <w:lang w:val="en-US" w:eastAsia="zh-CN"/>
                    </w:rPr>
                    <m:t>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i</m:t>
                      </m:r>
                      <m:ctrlPr>
                        <w:rPr>
                          <w:rFonts w:hint="default" w:ascii="Cambria Math" w:hAnsi="Cambria Math" w:cs="Times New Roman"/>
                          <w:bCs w:val="0"/>
                          <w:i/>
                          <w:color w:val="auto"/>
                          <w:u w:val="none"/>
                          <w:lang w:val="en-US" w:eastAsia="zh-CN"/>
                        </w:rPr>
                      </m:ctrlPr>
                    </m:sub>
                  </m:sSub>
                  <m:r>
                    <m:rPr/>
                    <w:rPr>
                      <w:rFonts w:hint="default" w:ascii="Cambria Math" w:hAnsi="Cambria Math" w:cs="Times New Roman"/>
                      <w:color w:val="auto"/>
                      <w:u w:val="none"/>
                      <w:lang w:val="en-US" w:eastAsia="zh-CN"/>
                    </w:rPr>
                    <m:t>+6</m:t>
                  </m:r>
                  <m:ctrlPr>
                    <w:rPr>
                      <w:rFonts w:hint="default" w:ascii="Cambria Math" w:hAnsi="Cambria Math" w:cs="Times New Roman"/>
                      <w:bCs w:val="0"/>
                      <w:i/>
                      <w:color w:val="auto"/>
                      <w:u w:val="none"/>
                      <w:lang w:val="en-US" w:eastAsia="zh-CN"/>
                    </w:rPr>
                  </m:ctrlPr>
                </m:e>
              </m:d>
            </m:oMath>
            <w:r>
              <w:rPr>
                <w:rFonts w:hint="eastAsia" w:ascii="Times New Roman" w:hAnsi="宋体" w:eastAsia="宋体" w:cs="Times New Roman"/>
                <w:b w:val="0"/>
                <w:bCs w:val="0"/>
                <w:color w:val="auto"/>
                <w:kern w:val="2"/>
                <w:sz w:val="24"/>
                <w:szCs w:val="24"/>
                <w:u w:val="none"/>
                <w:lang w:val="en-US" w:eastAsia="zh-CN" w:bidi="ar-SA"/>
              </w:rPr>
              <w:t xml:space="preserve"> （4）</w:t>
            </w:r>
          </w:p>
          <w:p w14:paraId="13E7D17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式中：Lp2i(T)—靠近围护结构处室外N个声源i倍频带的叠加声压级，dB；</w:t>
            </w:r>
          </w:p>
          <w:p w14:paraId="052F28F0">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TLi—围护结构i倍频带的隔声量，dB(A)。</w:t>
            </w:r>
          </w:p>
          <w:p w14:paraId="44C2ABBC">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然后按公式(5)将室外声源的声压级和透过面积换算成等效的室外声源，计算出中心位置位于透声面积(S)处的等效声源的倍频带声功率级。</w:t>
            </w:r>
          </w:p>
          <w:p w14:paraId="53D9A0EE">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w</m:t>
                  </m:r>
                  <m:ctrlPr>
                    <w:rPr>
                      <w:rFonts w:hint="default" w:ascii="Cambria Math" w:hAnsi="Cambria Math" w:cs="Times New Roman"/>
                      <w:bCs w:val="0"/>
                      <w:i/>
                      <w:color w:val="auto"/>
                      <w:u w:val="none"/>
                      <w:lang w:val="en-US"/>
                    </w:rPr>
                  </m:ctrlPr>
                </m:sub>
              </m:sSub>
              <m:r>
                <m:rPr/>
                <w:rPr>
                  <w:rFonts w:hint="default" w:ascii="Cambria Math" w:hAnsi="Cambria Math" w:cs="Times New Roman"/>
                  <w:color w:val="auto"/>
                  <w:u w:val="none"/>
                  <w:lang w:val="en-US" w:eastAsia="zh-CN"/>
                </w:rPr>
                <m: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p2</m:t>
                  </m:r>
                  <m:ctrlPr>
                    <w:rPr>
                      <w:rFonts w:hint="default" w:ascii="Cambria Math" w:hAnsi="Cambria Math" w:cs="Times New Roman"/>
                      <w:bCs w:val="0"/>
                      <w:i/>
                      <w:color w:val="auto"/>
                      <w:u w:val="none"/>
                      <w:lang w:val="en-US" w:eastAsia="zh-CN"/>
                    </w:rPr>
                  </m:ctrlPr>
                </m:sub>
              </m:sSub>
              <m:d>
                <m:dPr>
                  <m:ctrlPr>
                    <w:rPr>
                      <w:rFonts w:hint="default" w:ascii="Cambria Math" w:hAnsi="Cambria Math" w:cs="Times New Roman"/>
                      <w:bCs w:val="0"/>
                      <w:i/>
                      <w:color w:val="auto"/>
                      <w:u w:val="none"/>
                      <w:lang w:val="en-US" w:eastAsia="zh-CN"/>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eastAsia="zh-CN"/>
                    </w:rPr>
                  </m:ctrlPr>
                </m:e>
              </m:d>
              <m:r>
                <m:rPr/>
                <w:rPr>
                  <w:rFonts w:hint="default" w:ascii="Cambria Math" w:hAnsi="Cambria Math" w:cs="Times New Roman"/>
                  <w:color w:val="auto"/>
                  <w:u w:val="none"/>
                  <w:lang w:val="en-US" w:eastAsia="zh-CN"/>
                </w:rPr>
                <m:t>+10lgS</m:t>
              </m:r>
            </m:oMath>
            <w:r>
              <w:rPr>
                <w:rFonts w:hint="eastAsia" w:ascii="Times New Roman" w:hAnsi="宋体" w:eastAsia="宋体" w:cs="Times New Roman"/>
                <w:b w:val="0"/>
                <w:bCs w:val="0"/>
                <w:color w:val="auto"/>
                <w:kern w:val="2"/>
                <w:sz w:val="24"/>
                <w:szCs w:val="24"/>
                <w:u w:val="none"/>
                <w:lang w:val="en-US" w:eastAsia="zh-CN" w:bidi="ar-SA"/>
              </w:rPr>
              <w:t>（5）</w:t>
            </w:r>
          </w:p>
          <w:p w14:paraId="15A3A2F5">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然后按室外声源预测方法计算预测点处的声级。</w:t>
            </w:r>
          </w:p>
          <w:p w14:paraId="79EB2990">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工业企业噪声计算：</w:t>
            </w:r>
          </w:p>
          <w:p w14:paraId="7E63D879">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设第i个室外声源在预测点产生的A声级为L</w:t>
            </w:r>
            <w:r>
              <w:rPr>
                <w:rFonts w:hint="eastAsia" w:ascii="Times New Roman" w:hAnsi="宋体" w:eastAsia="宋体" w:cs="Times New Roman"/>
                <w:b w:val="0"/>
                <w:bCs w:val="0"/>
                <w:color w:val="auto"/>
                <w:kern w:val="2"/>
                <w:sz w:val="24"/>
                <w:szCs w:val="24"/>
                <w:u w:val="none"/>
                <w:vertAlign w:val="subscript"/>
                <w:lang w:val="en-US" w:eastAsia="zh-CN" w:bidi="ar-SA"/>
              </w:rPr>
              <w:t>Ai</w:t>
            </w:r>
            <w:r>
              <w:rPr>
                <w:rFonts w:hint="eastAsia" w:ascii="Times New Roman" w:hAnsi="宋体" w:eastAsia="宋体" w:cs="Times New Roman"/>
                <w:b w:val="0"/>
                <w:bCs w:val="0"/>
                <w:color w:val="auto"/>
                <w:kern w:val="2"/>
                <w:sz w:val="24"/>
                <w:szCs w:val="24"/>
                <w:u w:val="none"/>
                <w:lang w:val="en-US" w:eastAsia="zh-CN" w:bidi="ar-SA"/>
              </w:rPr>
              <w:t>，在T时间内该声源工作时间为ti；第j个等效室外声源在预测点产生的A声级为L</w:t>
            </w:r>
            <w:r>
              <w:rPr>
                <w:rFonts w:hint="eastAsia" w:ascii="Times New Roman" w:hAnsi="宋体" w:eastAsia="宋体" w:cs="Times New Roman"/>
                <w:b w:val="0"/>
                <w:bCs w:val="0"/>
                <w:color w:val="auto"/>
                <w:kern w:val="2"/>
                <w:sz w:val="24"/>
                <w:szCs w:val="24"/>
                <w:u w:val="none"/>
                <w:vertAlign w:val="subscript"/>
                <w:lang w:val="en-US" w:eastAsia="zh-CN" w:bidi="ar-SA"/>
              </w:rPr>
              <w:t>Aj</w:t>
            </w:r>
            <w:r>
              <w:rPr>
                <w:rFonts w:hint="eastAsia" w:ascii="Times New Roman" w:hAnsi="宋体" w:eastAsia="宋体" w:cs="Times New Roman"/>
                <w:b w:val="0"/>
                <w:bCs w:val="0"/>
                <w:color w:val="auto"/>
                <w:kern w:val="2"/>
                <w:sz w:val="24"/>
                <w:szCs w:val="24"/>
                <w:u w:val="none"/>
                <w:lang w:val="en-US" w:eastAsia="zh-CN" w:bidi="ar-SA"/>
              </w:rPr>
              <w:t>，在T时间内该声源工作时间为tj，则拟建工程声源对预测点产生的贡献值（L</w:t>
            </w:r>
            <w:r>
              <w:rPr>
                <w:rFonts w:hint="eastAsia" w:ascii="Times New Roman" w:hAnsi="宋体" w:eastAsia="宋体" w:cs="Times New Roman"/>
                <w:b w:val="0"/>
                <w:bCs w:val="0"/>
                <w:color w:val="auto"/>
                <w:kern w:val="2"/>
                <w:sz w:val="24"/>
                <w:szCs w:val="24"/>
                <w:u w:val="none"/>
                <w:vertAlign w:val="subscript"/>
                <w:lang w:val="en-US" w:eastAsia="zh-CN" w:bidi="ar-SA"/>
              </w:rPr>
              <w:t>eqg</w:t>
            </w:r>
            <w:r>
              <w:rPr>
                <w:rFonts w:hint="eastAsia" w:ascii="Times New Roman" w:hAnsi="宋体" w:eastAsia="宋体" w:cs="Times New Roman"/>
                <w:b w:val="0"/>
                <w:bCs w:val="0"/>
                <w:color w:val="auto"/>
                <w:kern w:val="2"/>
                <w:sz w:val="24"/>
                <w:szCs w:val="24"/>
                <w:u w:val="none"/>
                <w:lang w:val="en-US" w:eastAsia="zh-CN" w:bidi="ar-SA"/>
              </w:rPr>
              <w:t>）为：</w:t>
            </w:r>
          </w:p>
          <w:p w14:paraId="1D73AF6B">
            <w:pPr>
              <w:keepNext w:val="0"/>
              <w:keepLines w:val="0"/>
              <w:widowControl w:val="0"/>
              <w:suppressLineNumbers w:val="0"/>
              <w:spacing w:before="0" w:beforeAutospacing="0" w:after="0" w:afterAutospacing="0" w:line="360" w:lineRule="auto"/>
              <w:ind w:left="0" w:right="0" w:firstLine="0" w:firstLineChars="0"/>
              <w:jc w:val="center"/>
              <w:rPr>
                <w:rFonts w:hint="eastAsia"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kern w:val="2"/>
                      <w:sz w:val="24"/>
                      <w:szCs w:val="24"/>
                      <w:u w:val="none"/>
                      <w:lang w:val="en-US"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bidi="ar-SA"/>
                    </w:rPr>
                  </m:ctrlPr>
                </m:e>
                <m:sub>
                  <m:r>
                    <m:rPr/>
                    <w:rPr>
                      <w:rFonts w:hint="default" w:ascii="Cambria Math" w:hAnsi="Cambria Math" w:cs="Times New Roman"/>
                      <w:color w:val="auto"/>
                      <w:kern w:val="2"/>
                      <w:sz w:val="24"/>
                      <w:szCs w:val="24"/>
                      <w:u w:val="none"/>
                      <w:lang w:val="en-US" w:eastAsia="zh-CN" w:bidi="ar-SA"/>
                    </w:rPr>
                    <m:t>eqg</m:t>
                  </m:r>
                  <m:ctrlPr>
                    <w:rPr>
                      <w:rFonts w:hint="default" w:ascii="Cambria Math" w:hAnsi="Cambria Math" w:cs="Times New Roman"/>
                      <w:bCs w:val="0"/>
                      <w:i/>
                      <w:color w:val="auto"/>
                      <w:kern w:val="2"/>
                      <w:sz w:val="24"/>
                      <w:szCs w:val="24"/>
                      <w:u w:val="none"/>
                      <w:lang w:val="en-US" w:bidi="ar-SA"/>
                    </w:rPr>
                  </m:ctrlPr>
                </m:sub>
              </m:sSub>
              <m:r>
                <m:rPr/>
                <w:rPr>
                  <w:rFonts w:hint="default" w:ascii="Cambria Math" w:hAnsi="Cambria Math" w:cs="Times New Roman"/>
                  <w:color w:val="auto"/>
                  <w:kern w:val="2"/>
                  <w:sz w:val="24"/>
                  <w:szCs w:val="24"/>
                  <w:u w:val="none"/>
                  <w:lang w:val="en-US" w:eastAsia="zh-CN" w:bidi="ar-SA"/>
                </w:rPr>
                <m:t>=10lg</m:t>
              </m:r>
              <m:d>
                <m:dPr>
                  <m:begChr m:val="["/>
                  <m:endChr m:val="]"/>
                  <m:ctrlPr>
                    <w:rPr>
                      <w:rFonts w:hint="default" w:ascii="Cambria Math" w:hAnsi="Cambria Math" w:cs="Times New Roman"/>
                      <w:bCs w:val="0"/>
                      <w:i/>
                      <w:color w:val="auto"/>
                      <w:kern w:val="2"/>
                      <w:sz w:val="24"/>
                      <w:szCs w:val="24"/>
                      <w:u w:val="none"/>
                      <w:lang w:val="en-US" w:eastAsia="zh-CN" w:bidi="ar-SA"/>
                    </w:rPr>
                  </m:ctrlPr>
                </m:dPr>
                <m:e>
                  <m:f>
                    <m:fPr>
                      <m:ctrlPr>
                        <w:rPr>
                          <w:rFonts w:hint="default" w:ascii="Cambria Math" w:hAnsi="Cambria Math" w:cs="Times New Roman"/>
                          <w:bCs w:val="0"/>
                          <w:i/>
                          <w:color w:val="auto"/>
                          <w:kern w:val="2"/>
                          <w:sz w:val="24"/>
                          <w:szCs w:val="24"/>
                          <w:u w:val="none"/>
                          <w:lang w:val="en-US" w:eastAsia="zh-CN" w:bidi="ar-SA"/>
                        </w:rPr>
                      </m:ctrlPr>
                    </m:fPr>
                    <m:num>
                      <m:r>
                        <m:rPr/>
                        <w:rPr>
                          <w:rFonts w:hint="default" w:ascii="Cambria Math" w:hAnsi="Cambria Math" w:cs="Times New Roman"/>
                          <w:color w:val="auto"/>
                          <w:kern w:val="2"/>
                          <w:sz w:val="24"/>
                          <w:szCs w:val="24"/>
                          <w:u w:val="none"/>
                          <w:lang w:val="en-US" w:eastAsia="zh-CN" w:bidi="ar-SA"/>
                        </w:rPr>
                        <m:t>1</m:t>
                      </m:r>
                      <m:ctrlPr>
                        <w:rPr>
                          <w:rFonts w:hint="default" w:ascii="Cambria Math" w:hAnsi="Cambria Math" w:cs="Times New Roman"/>
                          <w:bCs w:val="0"/>
                          <w:i/>
                          <w:color w:val="auto"/>
                          <w:kern w:val="2"/>
                          <w:sz w:val="24"/>
                          <w:szCs w:val="24"/>
                          <w:u w:val="none"/>
                          <w:lang w:val="en-US" w:eastAsia="zh-CN" w:bidi="ar-SA"/>
                        </w:rPr>
                      </m:ctrlPr>
                    </m:num>
                    <m:den>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den>
                  </m:f>
                  <m:d>
                    <m:dPr>
                      <m:ctrlPr>
                        <w:rPr>
                          <w:rFonts w:hint="default" w:ascii="Cambria Math" w:hAnsi="Cambria Math" w:cs="Times New Roman"/>
                          <w:bCs w:val="0"/>
                          <w:i/>
                          <w:color w:val="auto"/>
                          <w:kern w:val="2"/>
                          <w:sz w:val="24"/>
                          <w:szCs w:val="24"/>
                          <w:u w:val="none"/>
                          <w:lang w:val="en-US" w:eastAsia="zh-CN" w:bidi="ar-SA"/>
                        </w:rPr>
                      </m:ctrlPr>
                    </m:dPr>
                    <m:e>
                      <m:nary>
                        <m:naryPr>
                          <m:chr m:val="∑"/>
                          <m:limLoc m:val="undOvr"/>
                          <m:ctrlPr>
                            <w:rPr>
                              <w:rFonts w:hint="default" w:ascii="Cambria Math" w:hAnsi="Cambria Math" w:cs="Times New Roman"/>
                              <w:bCs w:val="0"/>
                              <w:i/>
                              <w:color w:val="auto"/>
                              <w:kern w:val="2"/>
                              <w:sz w:val="24"/>
                              <w:szCs w:val="24"/>
                              <w:u w:val="none"/>
                              <w:lang w:val="en-US" w:eastAsia="zh-CN" w:bidi="ar-SA"/>
                            </w:rPr>
                          </m:ctrlPr>
                        </m:naryPr>
                        <m:sub>
                          <m:r>
                            <m:rPr/>
                            <w:rPr>
                              <w:rFonts w:hint="default" w:ascii="Cambria Math" w:hAnsi="Cambria Math" w:cs="Times New Roman"/>
                              <w:color w:val="auto"/>
                              <w:kern w:val="2"/>
                              <w:sz w:val="24"/>
                              <w:szCs w:val="24"/>
                              <w:u w:val="none"/>
                              <w:lang w:val="en-US" w:eastAsia="zh-CN" w:bidi="ar-SA"/>
                            </w:rPr>
                            <m:t>i=1</m:t>
                          </m:r>
                          <m:ctrlPr>
                            <w:rPr>
                              <w:rFonts w:hint="default" w:ascii="Cambria Math" w:hAnsi="Cambria Math" w:cs="Times New Roman"/>
                              <w:bCs w:val="0"/>
                              <w:i/>
                              <w:color w:val="auto"/>
                              <w:kern w:val="2"/>
                              <w:sz w:val="24"/>
                              <w:szCs w:val="24"/>
                              <w:u w:val="none"/>
                              <w:lang w:val="en-US" w:eastAsia="zh-CN" w:bidi="ar-SA"/>
                            </w:rPr>
                          </m:ctrlPr>
                        </m:sub>
                        <m:sup>
                          <m:r>
                            <m:rPr/>
                            <w:rPr>
                              <w:rFonts w:hint="default" w:ascii="Cambria Math" w:hAnsi="Cambria Math" w:cs="Times New Roman"/>
                              <w:color w:val="auto"/>
                              <w:kern w:val="2"/>
                              <w:sz w:val="24"/>
                              <w:szCs w:val="24"/>
                              <w:u w:val="none"/>
                              <w:lang w:val="en-US" w:eastAsia="zh-CN" w:bidi="ar-SA"/>
                            </w:rPr>
                            <m:t>N</m:t>
                          </m:r>
                          <m:ctrlPr>
                            <w:rPr>
                              <w:rFonts w:hint="default" w:ascii="Cambria Math" w:hAnsi="Cambria Math" w:cs="Times New Roman"/>
                              <w:bCs w:val="0"/>
                              <w:i/>
                              <w:color w:val="auto"/>
                              <w:kern w:val="2"/>
                              <w:sz w:val="24"/>
                              <w:szCs w:val="24"/>
                              <w:u w:val="none"/>
                              <w:lang w:val="en-US" w:eastAsia="zh-CN" w:bidi="ar-SA"/>
                            </w:rPr>
                          </m:ctrlPr>
                        </m:sup>
                        <m:e>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i</m:t>
                              </m:r>
                              <m:ctrlPr>
                                <w:rPr>
                                  <w:rFonts w:hint="default" w:ascii="Cambria Math" w:hAnsi="Cambria Math" w:cs="Times New Roman"/>
                                  <w:bCs w:val="0"/>
                                  <w:i/>
                                  <w:color w:val="auto"/>
                                  <w:kern w:val="2"/>
                                  <w:sz w:val="24"/>
                                  <w:szCs w:val="24"/>
                                  <w:u w:val="none"/>
                                  <w:lang w:val="en-US" w:eastAsia="zh-CN" w:bidi="ar-SA"/>
                                </w:rPr>
                              </m:ctrlPr>
                            </m:sub>
                          </m:sSub>
                          <m:sSup>
                            <m:sSupPr>
                              <m:ctrlPr>
                                <w:rPr>
                                  <w:rFonts w:hint="default" w:ascii="Cambria Math" w:hAnsi="Cambria Math" w:cs="Times New Roman"/>
                                  <w:bCs w:val="0"/>
                                  <w:i/>
                                  <w:color w:val="auto"/>
                                  <w:kern w:val="2"/>
                                  <w:sz w:val="24"/>
                                  <w:szCs w:val="24"/>
                                  <w:u w:val="none"/>
                                  <w:lang w:val="en-US" w:eastAsia="zh-CN" w:bidi="ar-SA"/>
                                </w:rPr>
                              </m:ctrlPr>
                            </m:sSupPr>
                            <m:e>
                              <m:r>
                                <m:rPr/>
                                <w:rPr>
                                  <w:rFonts w:hint="default" w:ascii="Cambria Math" w:hAnsi="Cambria Math" w:cs="Times New Roman"/>
                                  <w:color w:val="auto"/>
                                  <w:kern w:val="2"/>
                                  <w:sz w:val="24"/>
                                  <w:szCs w:val="24"/>
                                  <w:u w:val="none"/>
                                  <w:lang w:val="en-US" w:eastAsia="zh-CN" w:bidi="ar-SA"/>
                                </w:rPr>
                                <m:t>10</m:t>
                              </m:r>
                              <m:ctrlPr>
                                <w:rPr>
                                  <w:rFonts w:hint="default" w:ascii="Cambria Math" w:hAnsi="Cambria Math" w:cs="Times New Roman"/>
                                  <w:bCs w:val="0"/>
                                  <w:i/>
                                  <w:color w:val="auto"/>
                                  <w:kern w:val="2"/>
                                  <w:sz w:val="24"/>
                                  <w:szCs w:val="24"/>
                                  <w:u w:val="none"/>
                                  <w:lang w:val="en-US" w:eastAsia="zh-CN" w:bidi="ar-SA"/>
                                </w:rPr>
                              </m:ctrlPr>
                            </m:e>
                            <m:sup>
                              <m:r>
                                <m:rPr/>
                                <w:rPr>
                                  <w:rFonts w:hint="default" w:ascii="Cambria Math" w:hAnsi="Cambria Math" w:cs="Times New Roman"/>
                                  <w:color w:val="auto"/>
                                  <w:kern w:val="2"/>
                                  <w:sz w:val="24"/>
                                  <w:szCs w:val="24"/>
                                  <w:u w:val="none"/>
                                  <w:lang w:val="en-US" w:eastAsia="zh-CN" w:bidi="ar-SA"/>
                                </w:rPr>
                                <m:t>0.1</m:t>
                              </m:r>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Ai</m:t>
                                  </m:r>
                                  <m:ctrlPr>
                                    <w:rPr>
                                      <w:rFonts w:hint="default" w:ascii="Cambria Math" w:hAnsi="Cambria Math" w:cs="Times New Roman"/>
                                      <w:bCs w:val="0"/>
                                      <w:i/>
                                      <w:color w:val="auto"/>
                                      <w:kern w:val="2"/>
                                      <w:sz w:val="24"/>
                                      <w:szCs w:val="24"/>
                                      <w:u w:val="none"/>
                                      <w:lang w:val="en-US" w:eastAsia="zh-CN" w:bidi="ar-SA"/>
                                    </w:rPr>
                                  </m:ctrlPr>
                                </m:sub>
                              </m:sSub>
                              <m:ctrlPr>
                                <w:rPr>
                                  <w:rFonts w:hint="default" w:ascii="Cambria Math" w:hAnsi="Cambria Math" w:cs="Times New Roman"/>
                                  <w:bCs w:val="0"/>
                                  <w:i/>
                                  <w:color w:val="auto"/>
                                  <w:kern w:val="2"/>
                                  <w:sz w:val="24"/>
                                  <w:szCs w:val="24"/>
                                  <w:u w:val="none"/>
                                  <w:lang w:val="en-US" w:eastAsia="zh-CN" w:bidi="ar-SA"/>
                                </w:rPr>
                              </m:ctrlPr>
                            </m:sup>
                          </m:sSup>
                          <m:r>
                            <m:rPr/>
                            <w:rPr>
                              <w:rFonts w:hint="default" w:ascii="Cambria Math" w:hAnsi="Cambria Math" w:cs="Times New Roman"/>
                              <w:color w:val="auto"/>
                              <w:kern w:val="2"/>
                              <w:sz w:val="24"/>
                              <w:szCs w:val="24"/>
                              <w:u w:val="none"/>
                              <w:lang w:val="en-US" w:eastAsia="zh-CN" w:bidi="ar-SA"/>
                            </w:rPr>
                            <m:t>+</m:t>
                          </m:r>
                          <m:ctrlPr>
                            <w:rPr>
                              <w:rFonts w:hint="default" w:ascii="Cambria Math" w:hAnsi="Cambria Math" w:cs="Times New Roman"/>
                              <w:bCs w:val="0"/>
                              <w:i/>
                              <w:color w:val="auto"/>
                              <w:kern w:val="2"/>
                              <w:sz w:val="24"/>
                              <w:szCs w:val="24"/>
                              <w:u w:val="none"/>
                              <w:lang w:val="en-US" w:eastAsia="zh-CN" w:bidi="ar-SA"/>
                            </w:rPr>
                          </m:ctrlPr>
                        </m:e>
                      </m:nary>
                      <m:nary>
                        <m:naryPr>
                          <m:chr m:val="∑"/>
                          <m:limLoc m:val="undOvr"/>
                          <m:ctrlPr>
                            <w:rPr>
                              <w:rFonts w:hint="default" w:ascii="Cambria Math" w:hAnsi="Cambria Math" w:cs="Times New Roman"/>
                              <w:bCs w:val="0"/>
                              <w:i/>
                              <w:color w:val="auto"/>
                              <w:kern w:val="2"/>
                              <w:sz w:val="24"/>
                              <w:szCs w:val="24"/>
                              <w:u w:val="none"/>
                              <w:lang w:val="en-US" w:eastAsia="zh-CN" w:bidi="ar-SA"/>
                            </w:rPr>
                          </m:ctrlPr>
                        </m:naryPr>
                        <m:sub>
                          <m:r>
                            <m:rPr/>
                            <w:rPr>
                              <w:rFonts w:hint="default" w:ascii="Cambria Math" w:hAnsi="Cambria Math" w:cs="Times New Roman"/>
                              <w:color w:val="auto"/>
                              <w:kern w:val="2"/>
                              <w:sz w:val="24"/>
                              <w:szCs w:val="24"/>
                              <w:u w:val="none"/>
                              <w:lang w:val="en-US" w:eastAsia="zh-CN" w:bidi="ar-SA"/>
                            </w:rPr>
                            <m:t>j=1</m:t>
                          </m:r>
                          <m:ctrlPr>
                            <w:rPr>
                              <w:rFonts w:hint="default" w:ascii="Cambria Math" w:hAnsi="Cambria Math" w:cs="Times New Roman"/>
                              <w:bCs w:val="0"/>
                              <w:i/>
                              <w:color w:val="auto"/>
                              <w:kern w:val="2"/>
                              <w:sz w:val="24"/>
                              <w:szCs w:val="24"/>
                              <w:u w:val="none"/>
                              <w:lang w:val="en-US" w:eastAsia="zh-CN" w:bidi="ar-SA"/>
                            </w:rPr>
                          </m:ctrlPr>
                        </m:sub>
                        <m:sup>
                          <m:r>
                            <m:rPr/>
                            <w:rPr>
                              <w:rFonts w:hint="default" w:ascii="Cambria Math" w:hAnsi="Cambria Math" w:cs="Times New Roman"/>
                              <w:color w:val="auto"/>
                              <w:kern w:val="2"/>
                              <w:sz w:val="24"/>
                              <w:szCs w:val="24"/>
                              <w:u w:val="none"/>
                              <w:lang w:val="en-US" w:eastAsia="zh-CN" w:bidi="ar-SA"/>
                            </w:rPr>
                            <m:t>M</m:t>
                          </m:r>
                          <m:ctrlPr>
                            <w:rPr>
                              <w:rFonts w:hint="default" w:ascii="Cambria Math" w:hAnsi="Cambria Math" w:cs="Times New Roman"/>
                              <w:bCs w:val="0"/>
                              <w:i/>
                              <w:color w:val="auto"/>
                              <w:kern w:val="2"/>
                              <w:sz w:val="24"/>
                              <w:szCs w:val="24"/>
                              <w:u w:val="none"/>
                              <w:lang w:val="en-US" w:eastAsia="zh-CN" w:bidi="ar-SA"/>
                            </w:rPr>
                          </m:ctrlPr>
                        </m:sup>
                        <m:e>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j</m:t>
                              </m:r>
                              <m:ctrlPr>
                                <w:rPr>
                                  <w:rFonts w:hint="default" w:ascii="Cambria Math" w:hAnsi="Cambria Math" w:cs="Times New Roman"/>
                                  <w:bCs w:val="0"/>
                                  <w:i/>
                                  <w:color w:val="auto"/>
                                  <w:kern w:val="2"/>
                                  <w:sz w:val="24"/>
                                  <w:szCs w:val="24"/>
                                  <w:u w:val="none"/>
                                  <w:lang w:val="en-US" w:eastAsia="zh-CN" w:bidi="ar-SA"/>
                                </w:rPr>
                              </m:ctrlPr>
                            </m:sub>
                          </m:sSub>
                          <m:sSup>
                            <m:sSupPr>
                              <m:ctrlPr>
                                <w:rPr>
                                  <w:rFonts w:hint="default" w:ascii="Cambria Math" w:hAnsi="Cambria Math" w:cs="Times New Roman"/>
                                  <w:bCs w:val="0"/>
                                  <w:i/>
                                  <w:color w:val="auto"/>
                                  <w:kern w:val="2"/>
                                  <w:sz w:val="24"/>
                                  <w:szCs w:val="24"/>
                                  <w:u w:val="none"/>
                                  <w:lang w:val="en-US" w:eastAsia="zh-CN" w:bidi="ar-SA"/>
                                </w:rPr>
                              </m:ctrlPr>
                            </m:sSupPr>
                            <m:e>
                              <m:r>
                                <m:rPr/>
                                <w:rPr>
                                  <w:rFonts w:hint="default" w:ascii="Cambria Math" w:hAnsi="Cambria Math" w:cs="Times New Roman"/>
                                  <w:color w:val="auto"/>
                                  <w:kern w:val="2"/>
                                  <w:sz w:val="24"/>
                                  <w:szCs w:val="24"/>
                                  <w:u w:val="none"/>
                                  <w:lang w:val="en-US" w:eastAsia="zh-CN" w:bidi="ar-SA"/>
                                </w:rPr>
                                <m:t>10</m:t>
                              </m:r>
                              <m:ctrlPr>
                                <w:rPr>
                                  <w:rFonts w:hint="default" w:ascii="Cambria Math" w:hAnsi="Cambria Math" w:cs="Times New Roman"/>
                                  <w:bCs w:val="0"/>
                                  <w:i/>
                                  <w:color w:val="auto"/>
                                  <w:kern w:val="2"/>
                                  <w:sz w:val="24"/>
                                  <w:szCs w:val="24"/>
                                  <w:u w:val="none"/>
                                  <w:lang w:val="en-US" w:eastAsia="zh-CN" w:bidi="ar-SA"/>
                                </w:rPr>
                              </m:ctrlPr>
                            </m:e>
                            <m:sup>
                              <m:r>
                                <m:rPr/>
                                <w:rPr>
                                  <w:rFonts w:hint="default" w:ascii="Cambria Math" w:hAnsi="Cambria Math" w:cs="Times New Roman"/>
                                  <w:color w:val="auto"/>
                                  <w:kern w:val="2"/>
                                  <w:sz w:val="24"/>
                                  <w:szCs w:val="24"/>
                                  <w:u w:val="none"/>
                                  <w:lang w:val="en-US" w:eastAsia="zh-CN" w:bidi="ar-SA"/>
                                </w:rPr>
                                <m:t>0.1</m:t>
                              </m:r>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Aj</m:t>
                                  </m:r>
                                  <m:ctrlPr>
                                    <w:rPr>
                                      <w:rFonts w:hint="default" w:ascii="Cambria Math" w:hAnsi="Cambria Math" w:cs="Times New Roman"/>
                                      <w:bCs w:val="0"/>
                                      <w:i/>
                                      <w:color w:val="auto"/>
                                      <w:kern w:val="2"/>
                                      <w:sz w:val="24"/>
                                      <w:szCs w:val="24"/>
                                      <w:u w:val="none"/>
                                      <w:lang w:val="en-US" w:eastAsia="zh-CN" w:bidi="ar-SA"/>
                                    </w:rPr>
                                  </m:ctrlPr>
                                </m:sub>
                              </m:sSub>
                              <m:ctrlPr>
                                <w:rPr>
                                  <w:rFonts w:hint="default" w:ascii="Cambria Math" w:hAnsi="Cambria Math" w:cs="Times New Roman"/>
                                  <w:bCs w:val="0"/>
                                  <w:i/>
                                  <w:color w:val="auto"/>
                                  <w:kern w:val="2"/>
                                  <w:sz w:val="24"/>
                                  <w:szCs w:val="24"/>
                                  <w:u w:val="none"/>
                                  <w:lang w:val="en-US" w:eastAsia="zh-CN" w:bidi="ar-SA"/>
                                </w:rPr>
                              </m:ctrlPr>
                            </m:sup>
                          </m:sSup>
                          <m:ctrlPr>
                            <w:rPr>
                              <w:rFonts w:hint="default" w:ascii="Cambria Math" w:hAnsi="Cambria Math" w:cs="Times New Roman"/>
                              <w:bCs w:val="0"/>
                              <w:i/>
                              <w:color w:val="auto"/>
                              <w:kern w:val="2"/>
                              <w:sz w:val="24"/>
                              <w:szCs w:val="24"/>
                              <w:u w:val="none"/>
                              <w:lang w:val="en-US" w:eastAsia="zh-CN" w:bidi="ar-SA"/>
                            </w:rPr>
                          </m:ctrlPr>
                        </m:e>
                      </m:nary>
                      <m:ctrlPr>
                        <w:rPr>
                          <w:rFonts w:hint="default" w:ascii="Cambria Math" w:hAnsi="Cambria Math" w:cs="Times New Roman"/>
                          <w:bCs w:val="0"/>
                          <w:i/>
                          <w:color w:val="auto"/>
                          <w:kern w:val="2"/>
                          <w:sz w:val="24"/>
                          <w:szCs w:val="24"/>
                          <w:u w:val="none"/>
                          <w:lang w:val="en-US" w:eastAsia="zh-CN" w:bidi="ar-SA"/>
                        </w:rPr>
                      </m:ctrlPr>
                    </m:e>
                  </m:d>
                  <m:ctrlPr>
                    <w:rPr>
                      <w:rFonts w:hint="default" w:ascii="Cambria Math" w:hAnsi="Cambria Math" w:cs="Times New Roman"/>
                      <w:bCs w:val="0"/>
                      <w:i/>
                      <w:color w:val="auto"/>
                      <w:kern w:val="2"/>
                      <w:sz w:val="24"/>
                      <w:szCs w:val="24"/>
                      <w:u w:val="none"/>
                      <w:lang w:val="en-US" w:eastAsia="zh-CN" w:bidi="ar-SA"/>
                    </w:rPr>
                  </m:ctrlPr>
                </m:e>
              </m:d>
            </m:oMath>
            <w:r>
              <w:rPr>
                <w:rFonts w:hint="eastAsia" w:ascii="Times New Roman" w:hAnsi="宋体" w:eastAsia="宋体" w:cs="Times New Roman"/>
                <w:b w:val="0"/>
                <w:bCs w:val="0"/>
                <w:color w:val="auto"/>
                <w:kern w:val="2"/>
                <w:sz w:val="24"/>
                <w:szCs w:val="24"/>
                <w:u w:val="none"/>
                <w:lang w:val="en-US" w:eastAsia="zh-CN" w:bidi="ar-SA"/>
              </w:rPr>
              <w:t>（6）</w:t>
            </w:r>
          </w:p>
          <w:p w14:paraId="2145AEE3">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eqg</w:t>
            </w:r>
            <w:r>
              <w:rPr>
                <w:rFonts w:hint="eastAsia" w:ascii="Times New Roman" w:hAnsi="宋体" w:eastAsia="宋体" w:cs="Times New Roman"/>
                <w:b w:val="0"/>
                <w:bCs w:val="0"/>
                <w:color w:val="auto"/>
                <w:kern w:val="2"/>
                <w:sz w:val="24"/>
                <w:szCs w:val="24"/>
                <w:u w:val="none"/>
                <w:lang w:val="en-US" w:eastAsia="zh-CN" w:bidi="ar-SA"/>
              </w:rPr>
              <w:t>——建设项目声源在预测点产生的噪声贡献值，dB；</w:t>
            </w:r>
          </w:p>
          <w:p w14:paraId="02A81076">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T——用于计算等效声级的时间，s；</w:t>
            </w:r>
          </w:p>
          <w:p w14:paraId="7E4A14C0">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N——室外声源个数；</w:t>
            </w:r>
          </w:p>
          <w:p w14:paraId="528EA41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w:t>
            </w:r>
            <w:r>
              <w:rPr>
                <w:rFonts w:hint="eastAsia" w:ascii="Times New Roman" w:hAnsi="宋体" w:eastAsia="宋体" w:cs="Times New Roman"/>
                <w:b w:val="0"/>
                <w:bCs w:val="0"/>
                <w:color w:val="auto"/>
                <w:kern w:val="2"/>
                <w:sz w:val="24"/>
                <w:szCs w:val="24"/>
                <w:u w:val="none"/>
                <w:vertAlign w:val="subscript"/>
                <w:lang w:val="en-US" w:eastAsia="zh-CN" w:bidi="ar-SA"/>
              </w:rPr>
              <w:t>i</w:t>
            </w:r>
            <w:r>
              <w:rPr>
                <w:rFonts w:hint="eastAsia" w:ascii="Times New Roman" w:hAnsi="宋体" w:eastAsia="宋体" w:cs="Times New Roman"/>
                <w:b w:val="0"/>
                <w:bCs w:val="0"/>
                <w:color w:val="auto"/>
                <w:kern w:val="2"/>
                <w:sz w:val="24"/>
                <w:szCs w:val="24"/>
                <w:u w:val="none"/>
                <w:lang w:val="en-US" w:eastAsia="zh-CN" w:bidi="ar-SA"/>
              </w:rPr>
              <w:t>——在T时间内i声源工作时间，s；</w:t>
            </w:r>
          </w:p>
          <w:p w14:paraId="5EBC7CDD">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M——等效室外声源个数；</w:t>
            </w:r>
          </w:p>
          <w:p w14:paraId="6D07418F">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w:t>
            </w:r>
            <w:r>
              <w:rPr>
                <w:rFonts w:hint="eastAsia" w:ascii="Times New Roman" w:hAnsi="宋体" w:eastAsia="宋体" w:cs="Times New Roman"/>
                <w:b w:val="0"/>
                <w:bCs w:val="0"/>
                <w:color w:val="auto"/>
                <w:kern w:val="2"/>
                <w:sz w:val="24"/>
                <w:szCs w:val="24"/>
                <w:u w:val="none"/>
                <w:vertAlign w:val="subscript"/>
                <w:lang w:val="en-US" w:eastAsia="zh-CN" w:bidi="ar-SA"/>
              </w:rPr>
              <w:t>j</w:t>
            </w:r>
            <w:r>
              <w:rPr>
                <w:rFonts w:hint="eastAsia" w:ascii="Times New Roman" w:hAnsi="宋体" w:eastAsia="宋体" w:cs="Times New Roman"/>
                <w:b w:val="0"/>
                <w:bCs w:val="0"/>
                <w:color w:val="auto"/>
                <w:kern w:val="2"/>
                <w:sz w:val="24"/>
                <w:szCs w:val="24"/>
                <w:u w:val="none"/>
                <w:lang w:val="en-US" w:eastAsia="zh-CN" w:bidi="ar-SA"/>
              </w:rPr>
              <w:t>——在T时间内j声源工作时间，s。</w:t>
            </w:r>
          </w:p>
          <w:p w14:paraId="55E92C08">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（2）声环境保护目标调查</w:t>
            </w:r>
          </w:p>
          <w:p w14:paraId="2B2B4C9D">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left"/>
              <w:outlineLvl w:val="9"/>
              <w:rPr>
                <w:rFonts w:hint="default" w:ascii="Times New Roman" w:hAnsi="Times New Roman" w:eastAsia="宋体" w:cs="Times New Roman"/>
                <w:kern w:val="0"/>
                <w:sz w:val="24"/>
                <w:szCs w:val="24"/>
                <w:highlight w:val="yellow"/>
                <w:lang w:val="en-US" w:eastAsia="zh-CN" w:bidi="ar-SA"/>
              </w:rPr>
            </w:pPr>
            <w:r>
              <w:rPr>
                <w:rFonts w:hint="default" w:ascii="Times New Roman" w:hAnsi="Times New Roman" w:eastAsia="宋体" w:cs="Times New Roman"/>
                <w:kern w:val="0"/>
                <w:sz w:val="24"/>
                <w:szCs w:val="24"/>
                <w:highlight w:val="none"/>
                <w:lang w:val="en-US" w:eastAsia="zh-CN" w:bidi="ar-SA"/>
              </w:rPr>
              <w:t>项目声环境保护目标调查见</w:t>
            </w:r>
            <w:r>
              <w:rPr>
                <w:rFonts w:hint="eastAsia" w:cs="Times New Roman"/>
                <w:kern w:val="0"/>
                <w:sz w:val="24"/>
                <w:szCs w:val="24"/>
                <w:highlight w:val="none"/>
                <w:lang w:val="en-US" w:eastAsia="zh-CN" w:bidi="ar-SA"/>
              </w:rPr>
              <w:t>下表</w:t>
            </w:r>
            <w:r>
              <w:rPr>
                <w:rFonts w:hint="default" w:ascii="Times New Roman" w:hAnsi="Times New Roman" w:eastAsia="宋体" w:cs="Times New Roman"/>
                <w:kern w:val="0"/>
                <w:sz w:val="24"/>
                <w:szCs w:val="24"/>
                <w:highlight w:val="none"/>
                <w:lang w:val="en-US" w:eastAsia="zh-CN" w:bidi="ar-SA"/>
              </w:rPr>
              <w:t>。</w:t>
            </w:r>
          </w:p>
          <w:p w14:paraId="4631EA57">
            <w:pPr>
              <w:keepNext w:val="0"/>
              <w:keepLines w:val="0"/>
              <w:widowControl w:val="0"/>
              <w:suppressLineNumbers w:val="0"/>
              <w:tabs>
                <w:tab w:val="left" w:pos="789"/>
              </w:tabs>
              <w:autoSpaceDE w:val="0"/>
              <w:autoSpaceDN w:val="0"/>
              <w:snapToGrid w:val="0"/>
              <w:spacing w:before="157" w:beforeLines="50" w:beforeAutospacing="0" w:after="0" w:afterAutospacing="0" w:line="240" w:lineRule="auto"/>
              <w:ind w:left="0" w:right="204"/>
              <w:jc w:val="center"/>
              <w:rPr>
                <w:rFonts w:hint="default" w:ascii="Times New Roman" w:hAnsi="Times New Roman" w:eastAsia="宋体" w:cs="Times New Roman"/>
                <w:b/>
                <w:kern w:val="0"/>
                <w:sz w:val="21"/>
                <w:szCs w:val="21"/>
                <w:lang w:val="en-US" w:eastAsia="zh-CN" w:bidi="ar-SA"/>
              </w:rPr>
            </w:pPr>
            <w:r>
              <w:rPr>
                <w:rFonts w:hint="default" w:ascii="Times New Roman" w:hAnsi="Times New Roman" w:eastAsia="宋体" w:cs="Times New Roman"/>
                <w:b/>
                <w:kern w:val="0"/>
                <w:sz w:val="21"/>
                <w:szCs w:val="21"/>
                <w:lang w:val="en-US" w:eastAsia="zh-CN" w:bidi="ar-SA"/>
              </w:rPr>
              <w:t>表</w:t>
            </w:r>
            <w:r>
              <w:rPr>
                <w:rFonts w:hint="eastAsia" w:ascii="Times New Roman" w:hAnsi="Times New Roman" w:eastAsia="宋体" w:cs="Times New Roman"/>
                <w:b/>
                <w:kern w:val="0"/>
                <w:sz w:val="21"/>
                <w:szCs w:val="21"/>
                <w:lang w:val="en-US" w:eastAsia="zh-CN" w:bidi="ar-SA"/>
              </w:rPr>
              <w:t>4-</w:t>
            </w:r>
            <w:r>
              <w:rPr>
                <w:rFonts w:hint="eastAsia" w:cs="Times New Roman"/>
                <w:b/>
                <w:kern w:val="0"/>
                <w:sz w:val="21"/>
                <w:szCs w:val="21"/>
                <w:lang w:val="en-US" w:eastAsia="zh-CN" w:bidi="ar-SA"/>
              </w:rPr>
              <w:t>10</w:t>
            </w:r>
            <w:r>
              <w:rPr>
                <w:rFonts w:hint="eastAsia" w:ascii="Times New Roman" w:hAnsi="Times New Roman" w:cs="Times New Roman"/>
                <w:b/>
                <w:kern w:val="0"/>
                <w:sz w:val="21"/>
                <w:szCs w:val="21"/>
                <w:lang w:val="en-US" w:eastAsia="zh-CN" w:bidi="ar-SA"/>
              </w:rPr>
              <w:t xml:space="preserve"> </w:t>
            </w:r>
            <w:r>
              <w:rPr>
                <w:rFonts w:hint="default" w:ascii="Times New Roman" w:hAnsi="Times New Roman" w:eastAsia="宋体" w:cs="Times New Roman"/>
                <w:b/>
                <w:spacing w:val="-3"/>
                <w:kern w:val="0"/>
                <w:sz w:val="21"/>
                <w:szCs w:val="21"/>
                <w:lang w:val="en-US" w:eastAsia="zh-CN" w:bidi="ar-SA"/>
              </w:rPr>
              <w:t>工</w:t>
            </w:r>
            <w:r>
              <w:rPr>
                <w:rFonts w:hint="default" w:ascii="Times New Roman" w:hAnsi="Times New Roman" w:eastAsia="宋体" w:cs="Times New Roman"/>
                <w:b/>
                <w:kern w:val="0"/>
                <w:sz w:val="21"/>
                <w:szCs w:val="21"/>
                <w:lang w:val="en-US" w:eastAsia="zh-CN" w:bidi="ar-SA"/>
              </w:rPr>
              <w:t>业</w:t>
            </w:r>
            <w:r>
              <w:rPr>
                <w:rFonts w:hint="default" w:ascii="Times New Roman" w:hAnsi="Times New Roman" w:eastAsia="宋体" w:cs="Times New Roman"/>
                <w:b/>
                <w:spacing w:val="-3"/>
                <w:kern w:val="0"/>
                <w:sz w:val="21"/>
                <w:szCs w:val="21"/>
                <w:lang w:val="en-US" w:eastAsia="zh-CN" w:bidi="ar-SA"/>
              </w:rPr>
              <w:t>企</w:t>
            </w:r>
            <w:r>
              <w:rPr>
                <w:rFonts w:hint="default" w:ascii="Times New Roman" w:hAnsi="Times New Roman" w:eastAsia="宋体" w:cs="Times New Roman"/>
                <w:b/>
                <w:kern w:val="0"/>
                <w:sz w:val="21"/>
                <w:szCs w:val="21"/>
                <w:lang w:val="en-US" w:eastAsia="zh-CN" w:bidi="ar-SA"/>
              </w:rPr>
              <w:t>业</w:t>
            </w:r>
            <w:r>
              <w:rPr>
                <w:rFonts w:hint="default" w:ascii="Times New Roman" w:hAnsi="Times New Roman" w:eastAsia="宋体" w:cs="Times New Roman"/>
                <w:b/>
                <w:spacing w:val="-3"/>
                <w:kern w:val="0"/>
                <w:sz w:val="21"/>
                <w:szCs w:val="21"/>
                <w:lang w:val="en-US" w:eastAsia="zh-CN" w:bidi="ar-SA"/>
              </w:rPr>
              <w:t>声</w:t>
            </w:r>
            <w:r>
              <w:rPr>
                <w:rFonts w:hint="default" w:ascii="Times New Roman" w:hAnsi="Times New Roman" w:eastAsia="宋体" w:cs="Times New Roman"/>
                <w:b/>
                <w:kern w:val="0"/>
                <w:sz w:val="21"/>
                <w:szCs w:val="21"/>
                <w:lang w:val="en-US" w:eastAsia="zh-CN" w:bidi="ar-SA"/>
              </w:rPr>
              <w:t>环</w:t>
            </w:r>
            <w:r>
              <w:rPr>
                <w:rFonts w:hint="default" w:ascii="Times New Roman" w:hAnsi="Times New Roman" w:eastAsia="宋体" w:cs="Times New Roman"/>
                <w:b/>
                <w:spacing w:val="-3"/>
                <w:kern w:val="0"/>
                <w:sz w:val="21"/>
                <w:szCs w:val="21"/>
                <w:lang w:val="en-US" w:eastAsia="zh-CN" w:bidi="ar-SA"/>
              </w:rPr>
              <w:t>境</w:t>
            </w:r>
            <w:r>
              <w:rPr>
                <w:rFonts w:hint="default" w:ascii="Times New Roman" w:hAnsi="Times New Roman" w:eastAsia="宋体" w:cs="Times New Roman"/>
                <w:b/>
                <w:kern w:val="0"/>
                <w:sz w:val="21"/>
                <w:szCs w:val="21"/>
                <w:lang w:val="en-US" w:eastAsia="zh-CN" w:bidi="ar-SA"/>
              </w:rPr>
              <w:t>保护</w:t>
            </w:r>
            <w:r>
              <w:rPr>
                <w:rFonts w:hint="default" w:ascii="Times New Roman" w:hAnsi="Times New Roman" w:eastAsia="宋体" w:cs="Times New Roman"/>
                <w:b/>
                <w:spacing w:val="-3"/>
                <w:kern w:val="0"/>
                <w:sz w:val="21"/>
                <w:szCs w:val="21"/>
                <w:lang w:val="en-US" w:eastAsia="zh-CN" w:bidi="ar-SA"/>
              </w:rPr>
              <w:t>目</w:t>
            </w:r>
            <w:r>
              <w:rPr>
                <w:rFonts w:hint="default" w:ascii="Times New Roman" w:hAnsi="Times New Roman" w:eastAsia="宋体" w:cs="Times New Roman"/>
                <w:b/>
                <w:kern w:val="0"/>
                <w:sz w:val="21"/>
                <w:szCs w:val="21"/>
                <w:lang w:val="en-US" w:eastAsia="zh-CN" w:bidi="ar-SA"/>
              </w:rPr>
              <w:t>标</w:t>
            </w:r>
            <w:r>
              <w:rPr>
                <w:rFonts w:hint="default" w:ascii="Times New Roman" w:hAnsi="Times New Roman" w:eastAsia="宋体" w:cs="Times New Roman"/>
                <w:b/>
                <w:spacing w:val="-3"/>
                <w:kern w:val="0"/>
                <w:sz w:val="21"/>
                <w:szCs w:val="21"/>
                <w:lang w:val="en-US" w:eastAsia="zh-CN" w:bidi="ar-SA"/>
              </w:rPr>
              <w:t>调</w:t>
            </w:r>
            <w:r>
              <w:rPr>
                <w:rFonts w:hint="default" w:ascii="Times New Roman" w:hAnsi="Times New Roman" w:eastAsia="宋体" w:cs="Times New Roman"/>
                <w:b/>
                <w:kern w:val="0"/>
                <w:sz w:val="21"/>
                <w:szCs w:val="21"/>
                <w:lang w:val="en-US" w:eastAsia="zh-CN" w:bidi="ar-SA"/>
              </w:rPr>
              <w:t>查表</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28" w:type="dxa"/>
                <w:left w:w="108" w:type="dxa"/>
                <w:bottom w:w="28" w:type="dxa"/>
                <w:right w:w="108" w:type="dxa"/>
              </w:tblCellMar>
            </w:tblPr>
            <w:tblGrid>
              <w:gridCol w:w="570"/>
              <w:gridCol w:w="1044"/>
              <w:gridCol w:w="578"/>
              <w:gridCol w:w="579"/>
              <w:gridCol w:w="590"/>
              <w:gridCol w:w="794"/>
              <w:gridCol w:w="870"/>
              <w:gridCol w:w="1918"/>
              <w:gridCol w:w="1703"/>
            </w:tblGrid>
            <w:tr w14:paraId="6D82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621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cs="Times New Roman"/>
                      <w:b/>
                      <w:bCs/>
                      <w:color w:val="auto"/>
                      <w:szCs w:val="21"/>
                      <w:u w:val="none"/>
                      <w:lang w:val="en-US" w:eastAsia="zh-CN" w:bidi="ar"/>
                    </w:rPr>
                    <w:t>序号</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A48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cs="Times New Roman"/>
                      <w:b/>
                      <w:bCs/>
                      <w:color w:val="auto"/>
                      <w:szCs w:val="21"/>
                      <w:u w:val="none"/>
                      <w:lang w:val="en-US" w:eastAsia="zh-CN" w:bidi="ar"/>
                    </w:rPr>
                    <w:t>声环境保护目标名称</w:t>
                  </w:r>
                </w:p>
              </w:tc>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A50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cs="Times New Roman"/>
                      <w:b/>
                      <w:bCs/>
                      <w:color w:val="auto"/>
                      <w:szCs w:val="21"/>
                      <w:u w:val="none"/>
                      <w:lang w:val="en-US" w:eastAsia="zh-CN" w:bidi="ar"/>
                    </w:rPr>
                    <w:t>空间相对位置</w:t>
                  </w:r>
                  <w:r>
                    <w:rPr>
                      <w:rStyle w:val="83"/>
                      <w:rFonts w:eastAsia="宋体"/>
                      <w:b/>
                      <w:bCs/>
                      <w:color w:val="auto"/>
                      <w:lang w:val="en-US" w:eastAsia="zh-CN" w:bidi="ar"/>
                    </w:rPr>
                    <w:t>/m</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76D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cs="Times New Roman"/>
                      <w:b/>
                      <w:bCs/>
                      <w:color w:val="auto"/>
                      <w:szCs w:val="21"/>
                      <w:u w:val="none"/>
                      <w:lang w:val="en-US" w:eastAsia="zh-CN" w:bidi="ar"/>
                    </w:rPr>
                    <w:t>距厂界最近距离</w:t>
                  </w:r>
                  <w:r>
                    <w:rPr>
                      <w:rStyle w:val="83"/>
                      <w:rFonts w:eastAsia="宋体"/>
                      <w:b/>
                      <w:bCs/>
                      <w:color w:val="auto"/>
                      <w:lang w:val="en-US" w:eastAsia="zh-CN" w:bidi="ar"/>
                    </w:rPr>
                    <w:t>/m</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59D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cs="Times New Roman"/>
                      <w:b/>
                      <w:bCs/>
                      <w:color w:val="auto"/>
                      <w:szCs w:val="21"/>
                      <w:u w:val="none"/>
                      <w:lang w:val="en-US" w:eastAsia="zh-CN" w:bidi="ar"/>
                    </w:rPr>
                    <w:t>方位</w:t>
                  </w:r>
                </w:p>
              </w:tc>
              <w:tc>
                <w:tcPr>
                  <w:tcW w:w="11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C8F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cs="Times New Roman"/>
                      <w:b/>
                      <w:bCs/>
                      <w:color w:val="auto"/>
                      <w:szCs w:val="21"/>
                      <w:u w:val="none"/>
                      <w:lang w:val="en-US" w:eastAsia="zh-CN" w:bidi="ar"/>
                    </w:rPr>
                    <w:t>执行标准</w:t>
                  </w:r>
                  <w:r>
                    <w:rPr>
                      <w:rStyle w:val="83"/>
                      <w:rFonts w:eastAsia="宋体"/>
                      <w:b/>
                      <w:bCs/>
                      <w:color w:val="auto"/>
                      <w:lang w:val="en-US" w:eastAsia="zh-CN" w:bidi="ar"/>
                    </w:rPr>
                    <w:t>/</w:t>
                  </w:r>
                  <w:r>
                    <w:rPr>
                      <w:rFonts w:hint="default" w:ascii="Times New Roman" w:hAnsi="Times New Roman" w:cs="Times New Roman"/>
                      <w:b/>
                      <w:bCs/>
                      <w:color w:val="auto"/>
                      <w:szCs w:val="21"/>
                      <w:u w:val="none"/>
                      <w:lang w:val="en-US" w:eastAsia="zh-CN" w:bidi="ar"/>
                    </w:rPr>
                    <w:t>功能区类别</w:t>
                  </w:r>
                </w:p>
              </w:tc>
              <w:tc>
                <w:tcPr>
                  <w:tcW w:w="9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F4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声环境保护目标情况说明</w:t>
                  </w:r>
                </w:p>
              </w:tc>
            </w:tr>
            <w:tr w14:paraId="7728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80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C35C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1"/>
                      <w:szCs w:val="21"/>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6F5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84E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X</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0AD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Y</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E65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Z</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B27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D95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1"/>
                      <w:szCs w:val="21"/>
                      <w:u w:val="none"/>
                    </w:rPr>
                  </w:pPr>
                </w:p>
              </w:tc>
              <w:tc>
                <w:tcPr>
                  <w:tcW w:w="11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B6A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1"/>
                      <w:szCs w:val="21"/>
                      <w:u w:val="none"/>
                    </w:rPr>
                  </w:pPr>
                </w:p>
              </w:tc>
              <w:tc>
                <w:tcPr>
                  <w:tcW w:w="9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4F4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r>
            <w:tr w14:paraId="433E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011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78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highlight w:val="none"/>
                      <w:u w:val="none"/>
                      <w:lang w:val="en-US" w:eastAsia="zh-CN" w:bidi="ar"/>
                    </w:rPr>
                    <w:t>厂界</w:t>
                  </w:r>
                  <w:r>
                    <w:rPr>
                      <w:rFonts w:hint="eastAsia" w:ascii="宋体" w:hAnsi="宋体" w:cs="宋体"/>
                      <w:i w:val="0"/>
                      <w:iCs w:val="0"/>
                      <w:color w:val="000000"/>
                      <w:kern w:val="0"/>
                      <w:sz w:val="21"/>
                      <w:szCs w:val="21"/>
                      <w:highlight w:val="none"/>
                      <w:u w:val="none"/>
                      <w:lang w:val="en-US" w:eastAsia="zh-CN" w:bidi="ar"/>
                    </w:rPr>
                    <w:t>西</w:t>
                  </w:r>
                  <w:r>
                    <w:rPr>
                      <w:rFonts w:hint="eastAsia" w:ascii="宋体" w:hAnsi="宋体" w:eastAsia="宋体" w:cs="宋体"/>
                      <w:i w:val="0"/>
                      <w:iCs w:val="0"/>
                      <w:color w:val="000000"/>
                      <w:kern w:val="0"/>
                      <w:sz w:val="21"/>
                      <w:szCs w:val="21"/>
                      <w:highlight w:val="none"/>
                      <w:u w:val="none"/>
                      <w:lang w:val="en-US" w:eastAsia="zh-CN" w:bidi="ar"/>
                    </w:rPr>
                    <w:t>侧居民</w:t>
                  </w:r>
                </w:p>
              </w:tc>
              <w:tc>
                <w:tcPr>
                  <w:tcW w:w="3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BE6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-38</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C76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E1E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9D9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7D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西</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侧</w:t>
                  </w:r>
                </w:p>
              </w:tc>
              <w:tc>
                <w:tcPr>
                  <w:tcW w:w="11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8F8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《声环境质量标准》（</w:t>
                  </w:r>
                  <w:r>
                    <w:rPr>
                      <w:rFonts w:hint="default" w:ascii="Times New Roman" w:hAnsi="Times New Roman" w:eastAsia="宋体" w:cs="Times New Roman"/>
                      <w:i w:val="0"/>
                      <w:iCs w:val="0"/>
                      <w:color w:val="auto"/>
                      <w:kern w:val="0"/>
                      <w:sz w:val="21"/>
                      <w:szCs w:val="21"/>
                      <w:u w:val="none"/>
                      <w:lang w:val="en-US" w:eastAsia="zh-CN" w:bidi="ar"/>
                    </w:rPr>
                    <w:t>GB3096-2008</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类标准</w:t>
                  </w:r>
                </w:p>
              </w:tc>
              <w:tc>
                <w:tcPr>
                  <w:tcW w:w="9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A7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砖混结构，居民楼</w:t>
                  </w:r>
                </w:p>
              </w:tc>
            </w:tr>
            <w:tr w14:paraId="08C3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5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B95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D0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厂界北侧居民</w:t>
                  </w:r>
                </w:p>
              </w:tc>
              <w:tc>
                <w:tcPr>
                  <w:tcW w:w="3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749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1AF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C3C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p>
              </w:tc>
              <w:tc>
                <w:tcPr>
                  <w:tcW w:w="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9D1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D2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北</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侧</w:t>
                  </w:r>
                </w:p>
              </w:tc>
              <w:tc>
                <w:tcPr>
                  <w:tcW w:w="11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D69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61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砖混结构，居民楼</w:t>
                  </w:r>
                </w:p>
              </w:tc>
            </w:tr>
            <w:tr w14:paraId="1243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819A8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表中坐标以厂界中心（</w:t>
                  </w:r>
                  <w:r>
                    <w:rPr>
                      <w:rFonts w:hint="default" w:ascii="Times New Roman" w:hAnsi="Times New Roman" w:eastAsia="宋体" w:cs="Times New Roman"/>
                      <w:i w:val="0"/>
                      <w:iCs w:val="0"/>
                      <w:color w:val="auto"/>
                      <w:kern w:val="0"/>
                      <w:sz w:val="21"/>
                      <w:szCs w:val="21"/>
                      <w:u w:val="none"/>
                      <w:lang w:val="en-US" w:eastAsia="zh-CN" w:bidi="ar"/>
                    </w:rPr>
                    <w:t>113°37′16.54534″,27°46′8.26451″</w:t>
                  </w:r>
                  <w:r>
                    <w:rPr>
                      <w:rFonts w:hint="eastAsia" w:ascii="宋体" w:hAnsi="宋体" w:eastAsia="宋体" w:cs="宋体"/>
                      <w:i w:val="0"/>
                      <w:iCs w:val="0"/>
                      <w:color w:val="auto"/>
                      <w:kern w:val="0"/>
                      <w:sz w:val="21"/>
                      <w:szCs w:val="21"/>
                      <w:u w:val="none"/>
                      <w:lang w:val="en-US" w:eastAsia="zh-CN" w:bidi="ar"/>
                    </w:rPr>
                    <w:t>）为坐标原点，正东向为</w:t>
                  </w:r>
                  <w:r>
                    <w:rPr>
                      <w:rFonts w:hint="default" w:ascii="Times New Roman" w:hAnsi="Times New Roman" w:eastAsia="宋体" w:cs="Times New Roman"/>
                      <w:i w:val="0"/>
                      <w:iCs w:val="0"/>
                      <w:color w:val="auto"/>
                      <w:kern w:val="0"/>
                      <w:sz w:val="21"/>
                      <w:szCs w:val="21"/>
                      <w:u w:val="none"/>
                      <w:lang w:val="en-US" w:eastAsia="zh-CN" w:bidi="ar"/>
                    </w:rPr>
                    <w:t>X</w:t>
                  </w:r>
                  <w:r>
                    <w:rPr>
                      <w:rFonts w:hint="eastAsia" w:ascii="宋体" w:hAnsi="宋体" w:eastAsia="宋体" w:cs="宋体"/>
                      <w:i w:val="0"/>
                      <w:iCs w:val="0"/>
                      <w:color w:val="auto"/>
                      <w:kern w:val="0"/>
                      <w:sz w:val="21"/>
                      <w:szCs w:val="21"/>
                      <w:u w:val="none"/>
                      <w:lang w:val="en-US" w:eastAsia="zh-CN" w:bidi="ar"/>
                    </w:rPr>
                    <w:t>轴正方向，正北向为</w:t>
                  </w:r>
                  <w:r>
                    <w:rPr>
                      <w:rFonts w:hint="default" w:ascii="Times New Roman" w:hAnsi="Times New Roman" w:eastAsia="宋体" w:cs="Times New Roman"/>
                      <w:i w:val="0"/>
                      <w:iCs w:val="0"/>
                      <w:color w:val="auto"/>
                      <w:kern w:val="0"/>
                      <w:sz w:val="21"/>
                      <w:szCs w:val="21"/>
                      <w:u w:val="none"/>
                      <w:lang w:val="en-US" w:eastAsia="zh-CN" w:bidi="ar"/>
                    </w:rPr>
                    <w:t>Y</w:t>
                  </w:r>
                  <w:r>
                    <w:rPr>
                      <w:rFonts w:hint="eastAsia" w:ascii="宋体" w:hAnsi="宋体" w:eastAsia="宋体" w:cs="宋体"/>
                      <w:i w:val="0"/>
                      <w:iCs w:val="0"/>
                      <w:color w:val="auto"/>
                      <w:kern w:val="0"/>
                      <w:sz w:val="21"/>
                      <w:szCs w:val="21"/>
                      <w:u w:val="none"/>
                      <w:lang w:val="en-US" w:eastAsia="zh-CN" w:bidi="ar"/>
                    </w:rPr>
                    <w:t>轴正方向</w:t>
                  </w:r>
                </w:p>
              </w:tc>
            </w:tr>
          </w:tbl>
          <w:p w14:paraId="5C0A0B48">
            <w:pPr>
              <w:keepNext w:val="0"/>
              <w:keepLines w:val="0"/>
              <w:widowControl w:val="0"/>
              <w:suppressLineNumbers w:val="0"/>
              <w:spacing w:before="157" w:beforeLines="5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（3）预测计算与结果分析</w:t>
            </w:r>
          </w:p>
          <w:p w14:paraId="711067A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本项目敏感点噪声预测结果如下：</w:t>
            </w:r>
          </w:p>
          <w:p w14:paraId="02ACCE37">
            <w:pPr>
              <w:keepNext w:val="0"/>
              <w:keepLines w:val="0"/>
              <w:widowControl w:val="0"/>
              <w:suppressLineNumbers w:val="0"/>
              <w:spacing w:before="0" w:beforeLines="0" w:beforeAutospacing="0" w:after="0" w:afterAutospacing="0" w:line="240" w:lineRule="auto"/>
              <w:ind w:left="0" w:right="0" w:firstLine="0" w:firstLineChars="0"/>
              <w:jc w:val="center"/>
              <w:rPr>
                <w:rFonts w:hint="eastAsia" w:ascii="Times New Roman" w:hAnsi="宋体" w:eastAsia="宋体" w:cs="Times New Roman"/>
                <w:b/>
                <w:bCs/>
                <w:color w:val="auto"/>
                <w:kern w:val="2"/>
                <w:sz w:val="21"/>
                <w:szCs w:val="21"/>
                <w:highlight w:val="yellow"/>
                <w:u w:val="none"/>
                <w:lang w:val="en-US" w:eastAsia="zh-CN" w:bidi="ar-SA"/>
              </w:rPr>
            </w:pPr>
            <w:r>
              <w:rPr>
                <w:rFonts w:hint="eastAsia" w:ascii="Times New Roman" w:hAnsi="宋体" w:eastAsia="宋体" w:cs="Times New Roman"/>
                <w:b/>
                <w:bCs/>
                <w:color w:val="auto"/>
                <w:kern w:val="2"/>
                <w:sz w:val="21"/>
                <w:szCs w:val="21"/>
                <w:highlight w:val="none"/>
                <w:u w:val="none"/>
                <w:lang w:val="en-US" w:eastAsia="zh-CN" w:bidi="ar-SA"/>
              </w:rPr>
              <w:t>表4-</w:t>
            </w:r>
            <w:r>
              <w:rPr>
                <w:rFonts w:hint="eastAsia" w:hAnsi="宋体" w:cs="Times New Roman"/>
                <w:b/>
                <w:bCs/>
                <w:color w:val="auto"/>
                <w:kern w:val="2"/>
                <w:sz w:val="21"/>
                <w:szCs w:val="21"/>
                <w:highlight w:val="none"/>
                <w:u w:val="none"/>
                <w:lang w:val="en-US" w:eastAsia="zh-CN" w:bidi="ar-SA"/>
              </w:rPr>
              <w:t>11</w:t>
            </w:r>
            <w:r>
              <w:rPr>
                <w:rFonts w:hint="eastAsia" w:ascii="Times New Roman" w:hAnsi="宋体" w:eastAsia="宋体" w:cs="Times New Roman"/>
                <w:b/>
                <w:bCs/>
                <w:color w:val="auto"/>
                <w:kern w:val="2"/>
                <w:sz w:val="21"/>
                <w:szCs w:val="21"/>
                <w:highlight w:val="none"/>
                <w:u w:val="none"/>
                <w:lang w:val="en-US" w:eastAsia="zh-CN" w:bidi="ar-SA"/>
              </w:rPr>
              <w:t xml:space="preserve"> 敏感点噪声预测结果与达标分析表</w:t>
            </w:r>
          </w:p>
          <w:tbl>
            <w:tblPr>
              <w:tblStyle w:val="24"/>
              <w:tblW w:w="86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28" w:type="dxa"/>
                <w:left w:w="108" w:type="dxa"/>
                <w:bottom w:w="28" w:type="dxa"/>
                <w:right w:w="108" w:type="dxa"/>
              </w:tblCellMar>
            </w:tblPr>
            <w:tblGrid>
              <w:gridCol w:w="510"/>
              <w:gridCol w:w="1224"/>
              <w:gridCol w:w="867"/>
              <w:gridCol w:w="867"/>
              <w:gridCol w:w="867"/>
              <w:gridCol w:w="1217"/>
              <w:gridCol w:w="1217"/>
              <w:gridCol w:w="1011"/>
              <w:gridCol w:w="867"/>
            </w:tblGrid>
            <w:tr w14:paraId="252F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970"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FFF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36D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声环境保护目标名称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51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83"/>
                      <w:rFonts w:hint="default" w:ascii="Times New Roman" w:hAnsi="Times New Roman" w:cs="Times New Roman"/>
                      <w:b/>
                      <w:bCs/>
                      <w:lang w:val="en-US" w:eastAsia="zh-CN" w:bidi="ar"/>
                    </w:rPr>
                    <w:t>噪声背景值</w:t>
                  </w:r>
                  <w:r>
                    <w:rPr>
                      <w:rStyle w:val="60"/>
                      <w:rFonts w:ascii="Times New Roman" w:hAnsi="Times New Roman" w:eastAsia="宋体" w:cs="Times New Roman"/>
                      <w:b/>
                      <w:bCs/>
                      <w:lang w:val="en-US" w:eastAsia="zh-CN" w:bidi="ar"/>
                    </w:rPr>
                    <w:t>/dB(A)</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23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83"/>
                      <w:rFonts w:hint="default" w:ascii="Times New Roman" w:hAnsi="Times New Roman" w:cs="Times New Roman"/>
                      <w:b/>
                      <w:bCs/>
                      <w:lang w:val="en-US" w:eastAsia="zh-CN" w:bidi="ar"/>
                    </w:rPr>
                    <w:t>噪声现状值</w:t>
                  </w:r>
                  <w:r>
                    <w:rPr>
                      <w:rStyle w:val="60"/>
                      <w:rFonts w:ascii="Times New Roman" w:hAnsi="Times New Roman" w:eastAsia="宋体" w:cs="Times New Roman"/>
                      <w:b/>
                      <w:bCs/>
                      <w:lang w:val="en-US" w:eastAsia="zh-CN" w:bidi="ar"/>
                    </w:rPr>
                    <w:t>/dB(A)</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4E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83"/>
                      <w:rFonts w:hint="default" w:ascii="Times New Roman" w:hAnsi="Times New Roman" w:cs="Times New Roman"/>
                      <w:b/>
                      <w:bCs/>
                      <w:lang w:val="en-US" w:eastAsia="zh-CN" w:bidi="ar"/>
                    </w:rPr>
                    <w:t>噪声标准</w:t>
                  </w:r>
                  <w:r>
                    <w:rPr>
                      <w:rStyle w:val="60"/>
                      <w:rFonts w:ascii="Times New Roman" w:hAnsi="Times New Roman" w:eastAsia="宋体" w:cs="Times New Roman"/>
                      <w:b/>
                      <w:bCs/>
                      <w:lang w:val="en-US" w:eastAsia="zh-CN" w:bidi="ar"/>
                    </w:rPr>
                    <w:t>/dB(A)</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0C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83"/>
                      <w:rFonts w:hint="default" w:ascii="Times New Roman" w:hAnsi="Times New Roman" w:cs="Times New Roman"/>
                      <w:b/>
                      <w:bCs/>
                      <w:lang w:val="en-US" w:eastAsia="zh-CN" w:bidi="ar"/>
                    </w:rPr>
                    <w:t>噪声贡献值</w:t>
                  </w:r>
                  <w:r>
                    <w:rPr>
                      <w:rStyle w:val="60"/>
                      <w:rFonts w:ascii="Times New Roman" w:hAnsi="Times New Roman" w:eastAsia="宋体" w:cs="Times New Roman"/>
                      <w:b/>
                      <w:bCs/>
                      <w:lang w:val="en-US" w:eastAsia="zh-CN" w:bidi="ar"/>
                    </w:rPr>
                    <w:t>/dB(A)</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08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83"/>
                      <w:rFonts w:hint="default" w:ascii="Times New Roman" w:hAnsi="Times New Roman" w:cs="Times New Roman"/>
                      <w:b/>
                      <w:bCs/>
                      <w:lang w:val="en-US" w:eastAsia="zh-CN" w:bidi="ar"/>
                    </w:rPr>
                    <w:t>噪声预测值</w:t>
                  </w:r>
                  <w:r>
                    <w:rPr>
                      <w:rStyle w:val="60"/>
                      <w:rFonts w:ascii="Times New Roman" w:hAnsi="Times New Roman" w:eastAsia="宋体" w:cs="Times New Roman"/>
                      <w:b/>
                      <w:bCs/>
                      <w:lang w:val="en-US" w:eastAsia="zh-CN" w:bidi="ar"/>
                    </w:rPr>
                    <w:t>/dB(A)</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2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83"/>
                      <w:rFonts w:hint="default" w:ascii="Times New Roman" w:hAnsi="Times New Roman" w:cs="Times New Roman"/>
                      <w:b/>
                      <w:bCs/>
                      <w:lang w:val="en-US" w:eastAsia="zh-CN" w:bidi="ar"/>
                    </w:rPr>
                    <w:t>较现状增量</w:t>
                  </w:r>
                  <w:r>
                    <w:rPr>
                      <w:rStyle w:val="60"/>
                      <w:rFonts w:ascii="Times New Roman" w:hAnsi="Times New Roman" w:eastAsia="宋体" w:cs="Times New Roman"/>
                      <w:b/>
                      <w:bCs/>
                      <w:lang w:val="en-US" w:eastAsia="zh-CN" w:bidi="ar"/>
                    </w:rPr>
                    <w:t>/dB(A)</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9A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超标和达标情况</w:t>
                  </w:r>
                </w:p>
              </w:tc>
            </w:tr>
            <w:tr w14:paraId="0E65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295"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362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E45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98A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昼间</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78F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昼间</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3A3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昼间</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AFF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昼间</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F7F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昼间</w:t>
                  </w:r>
                </w:p>
              </w:tc>
              <w:tc>
                <w:tcPr>
                  <w:tcW w:w="5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7F0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昼间</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ADD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昼间</w:t>
                  </w:r>
                </w:p>
              </w:tc>
            </w:tr>
            <w:tr w14:paraId="7033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15"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DC7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EC5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厂界</w:t>
                  </w:r>
                  <w:r>
                    <w:rPr>
                      <w:rFonts w:hint="eastAsia" w:cs="Times New Roman"/>
                      <w:i w:val="0"/>
                      <w:iCs w:val="0"/>
                      <w:color w:val="000000"/>
                      <w:kern w:val="0"/>
                      <w:sz w:val="21"/>
                      <w:szCs w:val="21"/>
                      <w:u w:val="none"/>
                      <w:lang w:val="en-US" w:eastAsia="zh-CN" w:bidi="ar"/>
                    </w:rPr>
                    <w:t>北</w:t>
                  </w:r>
                  <w:r>
                    <w:rPr>
                      <w:rFonts w:hint="default" w:ascii="Times New Roman" w:hAnsi="Times New Roman" w:eastAsia="宋体" w:cs="Times New Roman"/>
                      <w:i w:val="0"/>
                      <w:iCs w:val="0"/>
                      <w:color w:val="000000"/>
                      <w:kern w:val="0"/>
                      <w:sz w:val="21"/>
                      <w:szCs w:val="21"/>
                      <w:u w:val="none"/>
                      <w:lang w:val="en-US" w:eastAsia="zh-CN" w:bidi="ar"/>
                    </w:rPr>
                    <w:t>侧居民N5</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230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E27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05C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24C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44.0 </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3C8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54.4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911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0.4 </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9B9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达标</w:t>
                  </w:r>
                </w:p>
              </w:tc>
            </w:tr>
            <w:tr w14:paraId="73F7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15"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4BE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D66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厂界西侧居民N6</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F27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CB2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FF5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51F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47.3 </w:t>
                  </w:r>
                </w:p>
              </w:tc>
              <w:tc>
                <w:tcPr>
                  <w:tcW w:w="12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4C8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54.0 </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1C7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F8E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达标</w:t>
                  </w:r>
                </w:p>
              </w:tc>
            </w:tr>
          </w:tbl>
          <w:p w14:paraId="13D4EA31">
            <w:pPr>
              <w:keepNext w:val="0"/>
              <w:keepLines w:val="0"/>
              <w:widowControl w:val="0"/>
              <w:suppressLineNumbers w:val="0"/>
              <w:spacing w:before="157" w:beforeLines="5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本项目厂界噪声预测结果如下：</w:t>
            </w:r>
          </w:p>
          <w:p w14:paraId="1629FC7B">
            <w:pPr>
              <w:keepNext w:val="0"/>
              <w:keepLines w:val="0"/>
              <w:widowControl w:val="0"/>
              <w:suppressLineNumbers w:val="0"/>
              <w:spacing w:before="0" w:beforeLines="0" w:beforeAutospacing="0" w:after="0" w:afterAutospacing="0" w:line="360" w:lineRule="auto"/>
              <w:ind w:left="0" w:right="0" w:firstLine="0" w:firstLineChars="0"/>
              <w:jc w:val="center"/>
              <w:rPr>
                <w:rFonts w:hint="eastAsia" w:ascii="Times New Roman" w:hAnsi="宋体" w:eastAsia="宋体" w:cs="Times New Roman"/>
                <w:b/>
                <w:bCs/>
                <w:color w:val="auto"/>
                <w:kern w:val="2"/>
                <w:sz w:val="21"/>
                <w:szCs w:val="21"/>
                <w:u w:val="none"/>
                <w:lang w:val="en-US" w:eastAsia="zh-CN" w:bidi="ar-SA"/>
              </w:rPr>
            </w:pPr>
            <w:r>
              <w:rPr>
                <w:rFonts w:hint="eastAsia" w:ascii="Times New Roman" w:hAnsi="宋体" w:eastAsia="宋体" w:cs="Times New Roman"/>
                <w:b/>
                <w:bCs/>
                <w:color w:val="auto"/>
                <w:kern w:val="2"/>
                <w:sz w:val="21"/>
                <w:szCs w:val="21"/>
                <w:u w:val="none"/>
                <w:lang w:val="en-US" w:eastAsia="zh-CN" w:bidi="ar-SA"/>
              </w:rPr>
              <w:t>表4-</w:t>
            </w:r>
            <w:r>
              <w:rPr>
                <w:rFonts w:hint="eastAsia" w:hAnsi="宋体" w:cs="Times New Roman"/>
                <w:b/>
                <w:bCs/>
                <w:color w:val="auto"/>
                <w:kern w:val="2"/>
                <w:sz w:val="21"/>
                <w:szCs w:val="21"/>
                <w:u w:val="none"/>
                <w:lang w:val="en-US" w:eastAsia="zh-CN" w:bidi="ar-SA"/>
              </w:rPr>
              <w:t>12</w:t>
            </w:r>
            <w:r>
              <w:rPr>
                <w:rFonts w:hint="eastAsia" w:ascii="Times New Roman" w:hAnsi="宋体" w:eastAsia="宋体" w:cs="Times New Roman"/>
                <w:b/>
                <w:bCs/>
                <w:color w:val="auto"/>
                <w:kern w:val="2"/>
                <w:sz w:val="21"/>
                <w:szCs w:val="21"/>
                <w:u w:val="none"/>
                <w:lang w:val="en-US" w:eastAsia="zh-CN" w:bidi="ar-SA"/>
              </w:rPr>
              <w:t xml:space="preserve"> 厂界噪声预测结果与达标分析表</w:t>
            </w: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28" w:type="dxa"/>
                <w:left w:w="108" w:type="dxa"/>
                <w:bottom w:w="28" w:type="dxa"/>
                <w:right w:w="108" w:type="dxa"/>
              </w:tblCellMar>
            </w:tblPr>
            <w:tblGrid>
              <w:gridCol w:w="994"/>
              <w:gridCol w:w="995"/>
              <w:gridCol w:w="995"/>
              <w:gridCol w:w="999"/>
              <w:gridCol w:w="995"/>
              <w:gridCol w:w="1484"/>
              <w:gridCol w:w="1187"/>
              <w:gridCol w:w="995"/>
            </w:tblGrid>
            <w:tr w14:paraId="3BEB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F56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预测方位</w:t>
                  </w:r>
                </w:p>
              </w:tc>
              <w:tc>
                <w:tcPr>
                  <w:tcW w:w="17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1F2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最大值点空间相对位置</w:t>
                  </w:r>
                  <w:r>
                    <w:rPr>
                      <w:rStyle w:val="113"/>
                      <w:rFonts w:ascii="Times New Roman" w:hAnsi="Times New Roman" w:eastAsia="宋体" w:cs="Times New Roman"/>
                      <w:b/>
                      <w:bCs/>
                      <w:sz w:val="21"/>
                      <w:szCs w:val="21"/>
                      <w:vertAlign w:val="baseline"/>
                      <w:lang w:val="en-US" w:eastAsia="zh-CN" w:bidi="ar"/>
                    </w:rPr>
                    <w:t>/m</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415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时段</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7E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贡献值（</w:t>
                  </w:r>
                  <w:r>
                    <w:rPr>
                      <w:rStyle w:val="113"/>
                      <w:rFonts w:ascii="Times New Roman" w:hAnsi="Times New Roman" w:eastAsia="宋体" w:cs="Times New Roman"/>
                      <w:b/>
                      <w:bCs/>
                      <w:sz w:val="21"/>
                      <w:szCs w:val="21"/>
                      <w:vertAlign w:val="baseline"/>
                      <w:lang w:val="en-US" w:eastAsia="zh-CN" w:bidi="ar"/>
                    </w:rPr>
                    <w:t>dB(A)</w:t>
                  </w:r>
                  <w:r>
                    <w:rPr>
                      <w:rFonts w:hint="default" w:ascii="Times New Roman" w:hAnsi="Times New Roman" w:eastAsia="宋体" w:cs="Times New Roman"/>
                      <w:b/>
                      <w:bCs/>
                      <w:i w:val="0"/>
                      <w:iCs w:val="0"/>
                      <w:color w:val="000000"/>
                      <w:kern w:val="0"/>
                      <w:sz w:val="21"/>
                      <w:szCs w:val="21"/>
                      <w:u w:val="none"/>
                      <w:vertAlign w:val="baseline"/>
                      <w:lang w:val="en-US" w:eastAsia="zh-CN" w:bidi="ar"/>
                    </w:rPr>
                    <w:t>）</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359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70C0"/>
                      <w:sz w:val="21"/>
                      <w:szCs w:val="21"/>
                      <w:u w:val="none"/>
                      <w:vertAlign w:val="baseline"/>
                    </w:rPr>
                  </w:pPr>
                  <w:r>
                    <w:rPr>
                      <w:rStyle w:val="115"/>
                      <w:rFonts w:ascii="Times New Roman" w:hAnsi="Times New Roman" w:cs="Times New Roman"/>
                      <w:b/>
                      <w:bCs/>
                      <w:vertAlign w:val="baseline"/>
                      <w:lang w:val="en-US" w:eastAsia="zh-CN" w:bidi="ar"/>
                    </w:rPr>
                    <w:t>标准限值（</w:t>
                  </w:r>
                  <w:r>
                    <w:rPr>
                      <w:rStyle w:val="119"/>
                      <w:rFonts w:ascii="Times New Roman" w:hAnsi="Times New Roman" w:eastAsia="宋体" w:cs="Times New Roman"/>
                      <w:b/>
                      <w:bCs/>
                      <w:vertAlign w:val="baseline"/>
                      <w:lang w:val="en-US" w:eastAsia="zh-CN" w:bidi="ar"/>
                    </w:rPr>
                    <w:t>dB(A)</w:t>
                  </w:r>
                  <w:r>
                    <w:rPr>
                      <w:rStyle w:val="115"/>
                      <w:rFonts w:ascii="Times New Roman" w:hAnsi="Times New Roman" w:cs="Times New Roman"/>
                      <w:b/>
                      <w:bCs/>
                      <w:vertAlign w:val="baseline"/>
                      <w:lang w:val="en-US" w:eastAsia="zh-CN" w:bidi="ar"/>
                    </w:rPr>
                    <w:t>）</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43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达标情况</w:t>
                  </w:r>
                </w:p>
              </w:tc>
            </w:tr>
            <w:tr w14:paraId="333E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15"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2E8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759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X</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EE5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Y</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BE2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Z</w:t>
                  </w: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60B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735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8AC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70C0"/>
                      <w:sz w:val="21"/>
                      <w:szCs w:val="21"/>
                      <w:u w:val="none"/>
                      <w:vertAlign w:val="baseli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DFBF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vertAlign w:val="baseline"/>
                    </w:rPr>
                  </w:pPr>
                </w:p>
              </w:tc>
            </w:tr>
            <w:tr w14:paraId="375F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722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东侧</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D56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57</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B8F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-18</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F1A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1.2</w:t>
                  </w:r>
                </w:p>
              </w:tc>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71D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昼间</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B06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47.1 </w:t>
                  </w:r>
                </w:p>
              </w:tc>
              <w:tc>
                <w:tcPr>
                  <w:tcW w:w="6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22B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6</w:t>
                  </w:r>
                  <w:r>
                    <w:rPr>
                      <w:rFonts w:hint="eastAsia" w:cs="Times New Roman"/>
                      <w:i w:val="0"/>
                      <w:iCs w:val="0"/>
                      <w:color w:val="000000" w:themeColor="text1"/>
                      <w:kern w:val="0"/>
                      <w:sz w:val="21"/>
                      <w:szCs w:val="21"/>
                      <w:u w:val="none"/>
                      <w:vertAlign w:val="baseline"/>
                      <w:lang w:val="en-US" w:eastAsia="zh-CN" w:bidi="ar"/>
                      <w14:textFill>
                        <w14:solidFill>
                          <w14:schemeClr w14:val="tx1"/>
                        </w14:solidFill>
                      </w14:textFill>
                    </w:rPr>
                    <w:t>0</w:t>
                  </w:r>
                </w:p>
              </w:tc>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92B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达标</w:t>
                  </w:r>
                </w:p>
              </w:tc>
            </w:tr>
            <w:tr w14:paraId="2C43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A63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南侧</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1E3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-19</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757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68</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992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1.2</w:t>
                  </w:r>
                </w:p>
              </w:tc>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88E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昼间</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F17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32.5 </w:t>
                  </w:r>
                </w:p>
              </w:tc>
              <w:tc>
                <w:tcPr>
                  <w:tcW w:w="6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F98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6</w:t>
                  </w:r>
                  <w:r>
                    <w:rPr>
                      <w:rFonts w:hint="eastAsia" w:cs="Times New Roman"/>
                      <w:i w:val="0"/>
                      <w:iCs w:val="0"/>
                      <w:color w:val="000000" w:themeColor="text1"/>
                      <w:kern w:val="0"/>
                      <w:sz w:val="21"/>
                      <w:szCs w:val="21"/>
                      <w:u w:val="none"/>
                      <w:vertAlign w:val="baseline"/>
                      <w:lang w:val="en-US" w:eastAsia="zh-CN" w:bidi="ar"/>
                      <w14:textFill>
                        <w14:solidFill>
                          <w14:schemeClr w14:val="tx1"/>
                        </w14:solidFill>
                      </w14:textFill>
                    </w:rPr>
                    <w:t>0</w:t>
                  </w:r>
                </w:p>
              </w:tc>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225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达标</w:t>
                  </w:r>
                </w:p>
              </w:tc>
            </w:tr>
            <w:tr w14:paraId="6026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00" w:hRule="atLeast"/>
              </w:trPr>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1C8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西侧</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6C3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-48</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D70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35</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939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1.2</w:t>
                  </w:r>
                </w:p>
              </w:tc>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370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昼间</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DAB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54.6 </w:t>
                  </w:r>
                </w:p>
              </w:tc>
              <w:tc>
                <w:tcPr>
                  <w:tcW w:w="6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D0F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6</w:t>
                  </w:r>
                  <w:r>
                    <w:rPr>
                      <w:rFonts w:hint="eastAsia" w:cs="Times New Roman"/>
                      <w:i w:val="0"/>
                      <w:iCs w:val="0"/>
                      <w:color w:val="000000" w:themeColor="text1"/>
                      <w:kern w:val="0"/>
                      <w:sz w:val="21"/>
                      <w:szCs w:val="21"/>
                      <w:u w:val="none"/>
                      <w:vertAlign w:val="baseline"/>
                      <w:lang w:val="en-US" w:eastAsia="zh-CN" w:bidi="ar"/>
                      <w14:textFill>
                        <w14:solidFill>
                          <w14:schemeClr w14:val="tx1"/>
                        </w14:solidFill>
                      </w14:textFill>
                    </w:rPr>
                    <w:t>0</w:t>
                  </w:r>
                </w:p>
              </w:tc>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51F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达标</w:t>
                  </w:r>
                </w:p>
              </w:tc>
            </w:tr>
            <w:tr w14:paraId="1A6D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108" w:type="dxa"/>
                  <w:bottom w:w="28" w:type="dxa"/>
                  <w:right w:w="108" w:type="dxa"/>
                </w:tblCellMar>
              </w:tblPrEx>
              <w:trPr>
                <w:trHeight w:val="315" w:hRule="atLeast"/>
              </w:trPr>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279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北侧</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755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27</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594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84</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2C6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1.2</w:t>
                  </w:r>
                </w:p>
              </w:tc>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A1D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昼间</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4E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40.6 </w:t>
                  </w:r>
                </w:p>
              </w:tc>
              <w:tc>
                <w:tcPr>
                  <w:tcW w:w="6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9E9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vertAlign w:val="baseline"/>
                      <w:lang w:val="en-US" w:eastAsia="zh-CN" w:bidi="ar"/>
                      <w14:textFill>
                        <w14:solidFill>
                          <w14:schemeClr w14:val="tx1"/>
                        </w14:solidFill>
                      </w14:textFill>
                    </w:rPr>
                    <w:t>6</w:t>
                  </w:r>
                  <w:r>
                    <w:rPr>
                      <w:rFonts w:hint="eastAsia" w:cs="Times New Roman"/>
                      <w:i w:val="0"/>
                      <w:iCs w:val="0"/>
                      <w:color w:val="000000" w:themeColor="text1"/>
                      <w:kern w:val="0"/>
                      <w:sz w:val="21"/>
                      <w:szCs w:val="21"/>
                      <w:u w:val="none"/>
                      <w:vertAlign w:val="baseline"/>
                      <w:lang w:val="en-US" w:eastAsia="zh-CN" w:bidi="ar"/>
                      <w14:textFill>
                        <w14:solidFill>
                          <w14:schemeClr w14:val="tx1"/>
                        </w14:solidFill>
                      </w14:textFill>
                    </w:rPr>
                    <w:t>0</w:t>
                  </w:r>
                </w:p>
              </w:tc>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F0D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达标</w:t>
                  </w:r>
                </w:p>
              </w:tc>
            </w:tr>
          </w:tbl>
          <w:p w14:paraId="7EDB69C2">
            <w:pPr>
              <w:keepNext w:val="0"/>
              <w:keepLines w:val="0"/>
              <w:widowControl w:val="0"/>
              <w:suppressLineNumbers w:val="0"/>
              <w:spacing w:before="157" w:beforeLines="5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从预测结果可以看出，项目固定声源在采取设备基础减振、厂房隔声等综合噪声防治措施后经过预测，本项目附近居民敏感点能够满足《声环境质量标准》（GB3096-2008）2类标准要求，项目厂界能满足《工业企业厂界环境噪声排放标准》（GB12348-2008）</w:t>
            </w:r>
            <w:r>
              <w:rPr>
                <w:rFonts w:hint="eastAsia" w:hAnsi="宋体" w:cs="Times New Roman"/>
                <w:b w:val="0"/>
                <w:bCs w:val="0"/>
                <w:color w:val="auto"/>
                <w:kern w:val="2"/>
                <w:sz w:val="24"/>
                <w:szCs w:val="24"/>
                <w:u w:val="none"/>
                <w:lang w:val="en-US" w:eastAsia="zh-CN" w:bidi="ar-SA"/>
              </w:rPr>
              <w:t>2</w:t>
            </w:r>
            <w:r>
              <w:rPr>
                <w:rFonts w:hint="eastAsia" w:ascii="Times New Roman" w:hAnsi="宋体" w:eastAsia="宋体" w:cs="Times New Roman"/>
                <w:b w:val="0"/>
                <w:bCs w:val="0"/>
                <w:color w:val="auto"/>
                <w:kern w:val="2"/>
                <w:sz w:val="24"/>
                <w:szCs w:val="24"/>
                <w:u w:val="none"/>
                <w:lang w:val="en-US" w:eastAsia="zh-CN" w:bidi="ar-SA"/>
              </w:rPr>
              <w:t>类标准。</w:t>
            </w:r>
          </w:p>
          <w:p w14:paraId="3DA4FE21">
            <w:pPr>
              <w:keepNext w:val="0"/>
              <w:keepLines w:val="0"/>
              <w:widowControl w:val="0"/>
              <w:suppressLineNumbers w:val="0"/>
              <w:spacing w:before="0" w:beforeLines="0" w:beforeAutospacing="0" w:after="0" w:afterAutospacing="0" w:line="360" w:lineRule="auto"/>
              <w:ind w:left="0" w:right="0" w:firstLine="482"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bCs/>
                <w:color w:val="auto"/>
                <w:kern w:val="2"/>
                <w:sz w:val="24"/>
                <w:szCs w:val="24"/>
                <w:u w:val="none"/>
                <w:lang w:val="en-US" w:eastAsia="zh-CN" w:bidi="ar-SA"/>
              </w:rPr>
              <w:t>3.3噪声监测计划</w:t>
            </w:r>
          </w:p>
          <w:p w14:paraId="4FE62E0B">
            <w:pPr>
              <w:keepNext w:val="0"/>
              <w:keepLines w:val="0"/>
              <w:widowControl w:val="0"/>
              <w:suppressLineNumbers w:val="0"/>
              <w:snapToGrid w:val="0"/>
              <w:spacing w:before="0" w:beforeLines="0" w:beforeAutospacing="0" w:after="0" w:afterAutospacing="0" w:line="360" w:lineRule="auto"/>
              <w:ind w:left="0" w:right="0" w:firstLine="480" w:firstLineChars="200"/>
              <w:jc w:val="left"/>
              <w:rPr>
                <w:rFonts w:hint="default" w:ascii="Times New Roman" w:hAnsi="宋体" w:eastAsia="宋体" w:cs="Times New Roman"/>
                <w:b/>
                <w:bCs/>
                <w:color w:val="auto"/>
                <w:kern w:val="2"/>
                <w:sz w:val="21"/>
                <w:szCs w:val="21"/>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根据《排污单位自行监测技术指南 总则》（HJ819-2017），本项目噪声监测计划如下表所示。</w:t>
            </w:r>
          </w:p>
          <w:p w14:paraId="159666BA">
            <w:pPr>
              <w:keepNext w:val="0"/>
              <w:keepLines w:val="0"/>
              <w:widowControl w:val="0"/>
              <w:suppressLineNumbers w:val="0"/>
              <w:snapToGrid w:val="0"/>
              <w:spacing w:before="0" w:beforeLines="0" w:beforeAutospacing="0" w:after="0" w:afterAutospacing="0" w:line="240" w:lineRule="auto"/>
              <w:ind w:left="0" w:right="0" w:firstLine="422" w:firstLineChars="200"/>
              <w:jc w:val="center"/>
              <w:rPr>
                <w:rFonts w:hint="default"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bCs/>
                <w:color w:val="auto"/>
                <w:kern w:val="2"/>
                <w:sz w:val="21"/>
                <w:szCs w:val="21"/>
                <w:u w:val="none"/>
                <w:lang w:val="en-US" w:eastAsia="zh-CN" w:bidi="ar-SA"/>
              </w:rPr>
              <w:t>表4-</w:t>
            </w:r>
            <w:r>
              <w:rPr>
                <w:rFonts w:hint="eastAsia" w:hAnsi="宋体" w:cs="Times New Roman"/>
                <w:b/>
                <w:bCs/>
                <w:color w:val="auto"/>
                <w:kern w:val="2"/>
                <w:sz w:val="21"/>
                <w:szCs w:val="21"/>
                <w:u w:val="none"/>
                <w:lang w:val="en-US" w:eastAsia="zh-CN" w:bidi="ar-SA"/>
              </w:rPr>
              <w:t>13</w:t>
            </w:r>
            <w:r>
              <w:rPr>
                <w:rFonts w:hint="default" w:ascii="Times New Roman" w:hAnsi="宋体" w:eastAsia="宋体" w:cs="Times New Roman"/>
                <w:b/>
                <w:bCs/>
                <w:color w:val="auto"/>
                <w:kern w:val="2"/>
                <w:sz w:val="21"/>
                <w:szCs w:val="21"/>
                <w:u w:val="none"/>
                <w:lang w:val="en-US" w:eastAsia="zh-CN" w:bidi="ar-SA"/>
              </w:rPr>
              <w:t xml:space="preserve"> 噪声监测计划表</w:t>
            </w:r>
          </w:p>
          <w:tbl>
            <w:tblPr>
              <w:tblStyle w:val="24"/>
              <w:tblW w:w="862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677"/>
              <w:gridCol w:w="1783"/>
              <w:gridCol w:w="1867"/>
              <w:gridCol w:w="3302"/>
            </w:tblGrid>
            <w:tr w14:paraId="3786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677" w:type="dxa"/>
                  <w:vAlign w:val="center"/>
                </w:tcPr>
                <w:p w14:paraId="0A20DDEB">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b/>
                      <w:bCs/>
                      <w:color w:val="000000"/>
                      <w:vertAlign w:val="baseline"/>
                      <w:lang w:bidi="ar"/>
                    </w:rPr>
                  </w:pPr>
                  <w:r>
                    <w:rPr>
                      <w:rFonts w:hint="eastAsia" w:ascii="Times New Roman" w:hAnsi="Times New Roman" w:cs="Times New Roman"/>
                      <w:b/>
                      <w:bCs/>
                      <w:color w:val="000000"/>
                      <w:szCs w:val="21"/>
                      <w:u w:val="none"/>
                      <w:vertAlign w:val="baseline"/>
                      <w:lang w:val="en-US" w:eastAsia="zh-CN" w:bidi="ar"/>
                    </w:rPr>
                    <w:t>监测点位</w:t>
                  </w:r>
                </w:p>
              </w:tc>
              <w:tc>
                <w:tcPr>
                  <w:tcW w:w="3650" w:type="dxa"/>
                  <w:gridSpan w:val="2"/>
                  <w:vAlign w:val="center"/>
                </w:tcPr>
                <w:p w14:paraId="69BC724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vertAlign w:val="baseline"/>
                      <w:lang w:bidi="ar"/>
                    </w:rPr>
                  </w:pPr>
                  <w:r>
                    <w:rPr>
                      <w:rFonts w:hint="eastAsia" w:ascii="Times New Roman" w:hAnsi="Times New Roman" w:cs="Times New Roman"/>
                      <w:b/>
                      <w:bCs/>
                      <w:color w:val="000000"/>
                      <w:szCs w:val="21"/>
                      <w:u w:val="none"/>
                      <w:vertAlign w:val="baseline"/>
                      <w:lang w:val="en-US" w:eastAsia="zh-CN" w:bidi="ar"/>
                    </w:rPr>
                    <w:t>监测指标及监测频次</w:t>
                  </w:r>
                </w:p>
              </w:tc>
              <w:tc>
                <w:tcPr>
                  <w:tcW w:w="3302" w:type="dxa"/>
                  <w:vAlign w:val="center"/>
                </w:tcPr>
                <w:p w14:paraId="74E16E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vertAlign w:val="baseline"/>
                      <w:lang w:bidi="ar"/>
                    </w:rPr>
                  </w:pPr>
                  <w:r>
                    <w:rPr>
                      <w:rFonts w:hint="eastAsia" w:ascii="Times New Roman" w:hAnsi="Times New Roman" w:cs="Times New Roman"/>
                      <w:b/>
                      <w:bCs/>
                      <w:color w:val="000000"/>
                      <w:szCs w:val="21"/>
                      <w:u w:val="none"/>
                      <w:vertAlign w:val="baseline"/>
                      <w:lang w:val="en-US" w:eastAsia="zh-CN" w:bidi="ar"/>
                    </w:rPr>
                    <w:t>执行标准</w:t>
                  </w:r>
                </w:p>
              </w:tc>
            </w:tr>
            <w:tr w14:paraId="50C8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677" w:type="dxa"/>
                  <w:vAlign w:val="center"/>
                </w:tcPr>
                <w:p w14:paraId="501B3348">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vertAlign w:val="baseline"/>
                      <w:lang w:bidi="ar"/>
                    </w:rPr>
                  </w:pPr>
                  <w:r>
                    <w:rPr>
                      <w:rFonts w:hint="eastAsia" w:ascii="Times New Roman" w:hAnsi="Times New Roman" w:cs="Times New Roman"/>
                      <w:color w:val="000000"/>
                      <w:szCs w:val="21"/>
                      <w:u w:val="none"/>
                      <w:vertAlign w:val="baseline"/>
                      <w:lang w:val="en-US" w:eastAsia="zh-CN" w:bidi="ar"/>
                    </w:rPr>
                    <w:t>厂界四周</w:t>
                  </w:r>
                </w:p>
              </w:tc>
              <w:tc>
                <w:tcPr>
                  <w:tcW w:w="1783" w:type="dxa"/>
                  <w:vAlign w:val="center"/>
                </w:tcPr>
                <w:p w14:paraId="4E62211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vertAlign w:val="baseline"/>
                      <w:lang w:bidi="ar"/>
                    </w:rPr>
                  </w:pPr>
                  <w:r>
                    <w:rPr>
                      <w:rFonts w:hint="eastAsia" w:ascii="Times New Roman" w:hAnsi="Times New Roman" w:cs="Times New Roman"/>
                      <w:color w:val="000000"/>
                      <w:szCs w:val="21"/>
                      <w:u w:val="none"/>
                      <w:vertAlign w:val="baseline"/>
                      <w:lang w:val="en-US" w:eastAsia="zh-CN" w:bidi="ar"/>
                    </w:rPr>
                    <w:t>等效连续A声级</w:t>
                  </w:r>
                </w:p>
              </w:tc>
              <w:tc>
                <w:tcPr>
                  <w:tcW w:w="1867" w:type="dxa"/>
                  <w:vAlign w:val="center"/>
                </w:tcPr>
                <w:p w14:paraId="3762D4C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vertAlign w:val="baseline"/>
                      <w:lang w:bidi="ar"/>
                    </w:rPr>
                  </w:pPr>
                  <w:r>
                    <w:rPr>
                      <w:rFonts w:hint="eastAsia" w:ascii="Times New Roman" w:hAnsi="Times New Roman" w:cs="Times New Roman"/>
                      <w:color w:val="000000"/>
                      <w:szCs w:val="21"/>
                      <w:u w:val="none"/>
                      <w:vertAlign w:val="baseline"/>
                      <w:lang w:val="en-US" w:eastAsia="zh-CN" w:bidi="ar"/>
                    </w:rPr>
                    <w:t>1次/季度</w:t>
                  </w:r>
                </w:p>
              </w:tc>
              <w:tc>
                <w:tcPr>
                  <w:tcW w:w="3302" w:type="dxa"/>
                  <w:vAlign w:val="center"/>
                </w:tcPr>
                <w:p w14:paraId="38F12BA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vertAlign w:val="baseline"/>
                      <w:lang w:bidi="ar"/>
                    </w:rPr>
                  </w:pPr>
                  <w:r>
                    <w:rPr>
                      <w:rFonts w:hint="eastAsia" w:ascii="Times New Roman" w:hAnsi="Times New Roman" w:cs="Times New Roman"/>
                      <w:color w:val="000000"/>
                      <w:szCs w:val="21"/>
                      <w:u w:val="none"/>
                      <w:vertAlign w:val="baseline"/>
                      <w:lang w:bidi="ar"/>
                    </w:rPr>
                    <w:t>《工业企业厂界环境噪声排放标准》（GB12348-2008）</w:t>
                  </w:r>
                  <w:r>
                    <w:rPr>
                      <w:rFonts w:hint="eastAsia" w:cs="Times New Roman"/>
                      <w:color w:val="000000"/>
                      <w:szCs w:val="21"/>
                      <w:u w:val="none"/>
                      <w:vertAlign w:val="baseline"/>
                      <w:lang w:val="en-US" w:eastAsia="zh-CN" w:bidi="ar"/>
                    </w:rPr>
                    <w:t>2</w:t>
                  </w:r>
                  <w:r>
                    <w:rPr>
                      <w:rFonts w:hint="eastAsia" w:ascii="Times New Roman" w:hAnsi="Times New Roman" w:cs="Times New Roman"/>
                      <w:color w:val="000000"/>
                      <w:szCs w:val="21"/>
                      <w:u w:val="none"/>
                      <w:vertAlign w:val="baseline"/>
                      <w:lang w:eastAsia="zh-CN" w:bidi="ar"/>
                    </w:rPr>
                    <w:t>类</w:t>
                  </w:r>
                  <w:r>
                    <w:rPr>
                      <w:rFonts w:hint="eastAsia" w:ascii="Times New Roman" w:hAnsi="Times New Roman" w:cs="Times New Roman"/>
                      <w:color w:val="000000"/>
                      <w:szCs w:val="21"/>
                      <w:u w:val="none"/>
                      <w:vertAlign w:val="baseline"/>
                      <w:lang w:bidi="ar"/>
                    </w:rPr>
                    <w:t>标准</w:t>
                  </w:r>
                </w:p>
              </w:tc>
            </w:tr>
          </w:tbl>
          <w:p w14:paraId="61896E20">
            <w:pPr>
              <w:pStyle w:val="109"/>
              <w:keepNext w:val="0"/>
              <w:keepLines w:val="0"/>
              <w:suppressLineNumbers w:val="0"/>
              <w:spacing w:before="157" w:beforeLines="50" w:beforeAutospacing="0" w:after="0" w:afterAutospacing="0"/>
              <w:ind w:left="0" w:right="0" w:firstLine="482"/>
              <w:rPr>
                <w:rFonts w:hint="default"/>
                <w:color w:val="auto"/>
                <w:u w:val="none"/>
              </w:rPr>
            </w:pPr>
            <w:r>
              <w:rPr>
                <w:rFonts w:hint="eastAsia"/>
                <w:b/>
                <w:bCs/>
                <w:color w:val="auto"/>
                <w:u w:val="none"/>
                <w:lang w:val="en-US" w:eastAsia="zh-CN"/>
              </w:rPr>
              <w:t>4</w:t>
            </w:r>
            <w:r>
              <w:rPr>
                <w:rFonts w:hint="default"/>
                <w:b/>
                <w:bCs/>
                <w:color w:val="auto"/>
                <w:u w:val="none"/>
              </w:rPr>
              <w:t>、固体废物</w:t>
            </w:r>
          </w:p>
          <w:p w14:paraId="4BB971EC">
            <w:pPr>
              <w:pStyle w:val="109"/>
              <w:keepNext w:val="0"/>
              <w:keepLines w:val="0"/>
              <w:suppressLineNumbers w:val="0"/>
              <w:spacing w:before="0" w:beforeAutospacing="0" w:after="0" w:afterAutospacing="0"/>
              <w:ind w:left="0" w:right="0" w:firstLine="482"/>
              <w:rPr>
                <w:rFonts w:hint="default"/>
                <w:color w:val="auto"/>
                <w:u w:val="none"/>
                <w:lang w:val="en-US" w:eastAsia="zh-CN"/>
              </w:rPr>
            </w:pPr>
            <w:r>
              <w:rPr>
                <w:rFonts w:hint="eastAsia"/>
                <w:color w:val="auto"/>
                <w:u w:val="none"/>
                <w:lang w:val="en-US" w:eastAsia="zh-CN"/>
              </w:rPr>
              <w:t>本项目建成后，固体废物主要为金属废屑和金属边角料、焊渣及废焊条、废包装材料、漆渣、废漆桶、废活性炭、废过滤棉、含油废包装桶、废抹布、废手套和废棉布等废弃物、生活垃圾，固体废物基本情况见下表。</w:t>
            </w:r>
          </w:p>
          <w:p w14:paraId="07662338">
            <w:pPr>
              <w:pStyle w:val="109"/>
              <w:keepNext w:val="0"/>
              <w:keepLines w:val="0"/>
              <w:suppressLineNumbers w:val="0"/>
              <w:spacing w:before="0" w:beforeAutospacing="0" w:after="0" w:afterAutospacing="0"/>
              <w:ind w:left="0" w:right="0" w:firstLine="482"/>
              <w:rPr>
                <w:rFonts w:hint="default"/>
                <w:b/>
                <w:bCs/>
                <w:color w:val="auto"/>
                <w:u w:val="none"/>
              </w:rPr>
            </w:pPr>
            <w:r>
              <w:rPr>
                <w:rFonts w:hint="eastAsia"/>
                <w:b/>
                <w:bCs/>
                <w:color w:val="auto"/>
                <w:u w:val="none"/>
                <w:lang w:val="en-US" w:eastAsia="zh-CN"/>
              </w:rPr>
              <w:t>（1）</w:t>
            </w:r>
            <w:r>
              <w:rPr>
                <w:rFonts w:hint="default"/>
                <w:b/>
                <w:bCs/>
                <w:color w:val="auto"/>
                <w:u w:val="none"/>
              </w:rPr>
              <w:t>固体废物产生排放基本信息</w:t>
            </w:r>
          </w:p>
          <w:p w14:paraId="6E28F964">
            <w:pPr>
              <w:pStyle w:val="35"/>
              <w:keepNext w:val="0"/>
              <w:keepLines w:val="0"/>
              <w:suppressLineNumbers w:val="0"/>
              <w:spacing w:before="0" w:beforeAutospacing="0" w:after="0" w:afterAutospacing="0"/>
              <w:ind w:left="0" w:right="0"/>
              <w:rPr>
                <w:rFonts w:hint="default"/>
                <w:color w:val="auto"/>
                <w:sz w:val="21"/>
                <w:szCs w:val="21"/>
                <w:highlight w:val="yellow"/>
                <w:u w:val="none"/>
              </w:rPr>
            </w:pPr>
            <w:r>
              <w:rPr>
                <w:rFonts w:hint="default"/>
                <w:color w:val="auto"/>
                <w:sz w:val="21"/>
                <w:szCs w:val="21"/>
                <w:highlight w:val="none"/>
                <w:u w:val="none"/>
              </w:rPr>
              <w:t>表4-</w:t>
            </w:r>
            <w:r>
              <w:rPr>
                <w:rFonts w:hint="eastAsia"/>
                <w:color w:val="auto"/>
                <w:sz w:val="21"/>
                <w:szCs w:val="21"/>
                <w:highlight w:val="none"/>
                <w:u w:val="none"/>
                <w:lang w:val="en-US" w:eastAsia="zh-CN"/>
              </w:rPr>
              <w:t xml:space="preserve">14 </w:t>
            </w:r>
            <w:r>
              <w:rPr>
                <w:rFonts w:hint="default"/>
                <w:color w:val="auto"/>
                <w:sz w:val="21"/>
                <w:szCs w:val="21"/>
                <w:highlight w:val="none"/>
                <w:u w:val="none"/>
              </w:rPr>
              <w:t>固体废物产</w:t>
            </w:r>
            <w:r>
              <w:rPr>
                <w:rFonts w:hint="eastAsia"/>
                <w:color w:val="auto"/>
                <w:sz w:val="21"/>
                <w:szCs w:val="21"/>
                <w:highlight w:val="none"/>
                <w:u w:val="none"/>
                <w:lang w:val="en-US" w:eastAsia="zh-CN"/>
              </w:rPr>
              <w:t>排</w:t>
            </w:r>
            <w:r>
              <w:rPr>
                <w:rFonts w:hint="default"/>
                <w:color w:val="auto"/>
                <w:sz w:val="21"/>
                <w:szCs w:val="21"/>
                <w:highlight w:val="none"/>
                <w:u w:val="none"/>
              </w:rPr>
              <w:t>情况一览表</w:t>
            </w:r>
          </w:p>
          <w:tbl>
            <w:tblPr>
              <w:tblStyle w:val="24"/>
              <w:tblW w:w="498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28" w:type="dxa"/>
                <w:left w:w="108" w:type="dxa"/>
                <w:bottom w:w="28" w:type="dxa"/>
                <w:right w:w="108" w:type="dxa"/>
              </w:tblCellMar>
            </w:tblPr>
            <w:tblGrid>
              <w:gridCol w:w="670"/>
              <w:gridCol w:w="1470"/>
              <w:gridCol w:w="1094"/>
              <w:gridCol w:w="1383"/>
              <w:gridCol w:w="815"/>
              <w:gridCol w:w="932"/>
              <w:gridCol w:w="2253"/>
            </w:tblGrid>
            <w:tr w14:paraId="6F92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108" w:type="dxa"/>
                  <w:bottom w:w="28" w:type="dxa"/>
                  <w:right w:w="108" w:type="dxa"/>
                </w:tblCellMar>
              </w:tblPrEx>
              <w:trPr>
                <w:trHeight w:val="113" w:hRule="atLeast"/>
              </w:trPr>
              <w:tc>
                <w:tcPr>
                  <w:tcW w:w="670" w:type="dxa"/>
                  <w:shd w:val="clear" w:color="auto" w:fill="auto"/>
                  <w:vAlign w:val="center"/>
                </w:tcPr>
                <w:p w14:paraId="4F6C4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lang w:val="en-US" w:eastAsia="zh-CN" w:bidi="ar"/>
                    </w:rPr>
                    <w:t>产生环节</w:t>
                  </w:r>
                </w:p>
              </w:tc>
              <w:tc>
                <w:tcPr>
                  <w:tcW w:w="1470" w:type="dxa"/>
                  <w:shd w:val="clear" w:color="auto" w:fill="auto"/>
                  <w:vAlign w:val="center"/>
                </w:tcPr>
                <w:p w14:paraId="73388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lang w:val="en-US" w:eastAsia="zh-CN" w:bidi="ar"/>
                    </w:rPr>
                    <w:t>名称</w:t>
                  </w:r>
                </w:p>
              </w:tc>
              <w:tc>
                <w:tcPr>
                  <w:tcW w:w="1094" w:type="dxa"/>
                  <w:shd w:val="clear" w:color="auto" w:fill="auto"/>
                  <w:vAlign w:val="center"/>
                </w:tcPr>
                <w:p w14:paraId="05C44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lang w:val="en-US" w:eastAsia="zh-CN" w:bidi="ar"/>
                    </w:rPr>
                    <w:t>属性</w:t>
                  </w:r>
                </w:p>
              </w:tc>
              <w:tc>
                <w:tcPr>
                  <w:tcW w:w="1383" w:type="dxa"/>
                  <w:shd w:val="clear" w:color="auto" w:fill="auto"/>
                  <w:vAlign w:val="center"/>
                </w:tcPr>
                <w:p w14:paraId="6FF45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lang w:val="en-US" w:eastAsia="zh-CN" w:bidi="ar"/>
                    </w:rPr>
                    <w:t>代码</w:t>
                  </w:r>
                </w:p>
              </w:tc>
              <w:tc>
                <w:tcPr>
                  <w:tcW w:w="815" w:type="dxa"/>
                  <w:shd w:val="clear" w:color="auto" w:fill="auto"/>
                  <w:vAlign w:val="center"/>
                </w:tcPr>
                <w:p w14:paraId="1FD3D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lang w:val="en-US" w:eastAsia="zh-CN" w:bidi="ar"/>
                    </w:rPr>
                    <w:t>物理性质</w:t>
                  </w:r>
                </w:p>
              </w:tc>
              <w:tc>
                <w:tcPr>
                  <w:tcW w:w="932" w:type="dxa"/>
                  <w:shd w:val="clear" w:color="auto" w:fill="auto"/>
                  <w:vAlign w:val="center"/>
                </w:tcPr>
                <w:p w14:paraId="7450D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lang w:val="en-US" w:eastAsia="zh-CN" w:bidi="ar"/>
                    </w:rPr>
                    <w:t>产生量（</w:t>
                  </w:r>
                  <w:r>
                    <w:rPr>
                      <w:rFonts w:hint="default" w:ascii="Times New Roman" w:hAnsi="Times New Roman" w:eastAsia="宋体" w:cs="Times New Roman"/>
                      <w:b/>
                      <w:bCs/>
                      <w:i w:val="0"/>
                      <w:iCs w:val="0"/>
                      <w:color w:val="000000"/>
                      <w:kern w:val="0"/>
                      <w:sz w:val="21"/>
                      <w:szCs w:val="21"/>
                      <w:u w:val="none"/>
                      <w:lang w:val="en-US" w:eastAsia="zh-CN" w:bidi="ar"/>
                    </w:rPr>
                    <w:t>t/a</w:t>
                  </w:r>
                  <w:r>
                    <w:rPr>
                      <w:rFonts w:hint="eastAsia" w:ascii="宋体" w:hAnsi="宋体" w:eastAsia="宋体" w:cs="宋体"/>
                      <w:b/>
                      <w:bCs/>
                      <w:i w:val="0"/>
                      <w:iCs w:val="0"/>
                      <w:color w:val="000000"/>
                      <w:kern w:val="0"/>
                      <w:sz w:val="21"/>
                      <w:szCs w:val="21"/>
                      <w:u w:val="none"/>
                      <w:lang w:val="en-US" w:eastAsia="zh-CN" w:bidi="ar"/>
                    </w:rPr>
                    <w:t>）</w:t>
                  </w:r>
                </w:p>
              </w:tc>
              <w:tc>
                <w:tcPr>
                  <w:tcW w:w="2253" w:type="dxa"/>
                  <w:shd w:val="clear" w:color="auto" w:fill="auto"/>
                  <w:vAlign w:val="center"/>
                </w:tcPr>
                <w:p w14:paraId="0DE12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宋体" w:hAnsi="宋体" w:eastAsia="宋体" w:cs="宋体"/>
                      <w:b/>
                      <w:bCs/>
                      <w:i w:val="0"/>
                      <w:iCs w:val="0"/>
                      <w:color w:val="000000"/>
                      <w:kern w:val="0"/>
                      <w:sz w:val="21"/>
                      <w:szCs w:val="21"/>
                      <w:u w:val="none"/>
                      <w:lang w:val="en-US" w:eastAsia="zh-CN" w:bidi="ar"/>
                    </w:rPr>
                    <w:t>利用处置方式和去除</w:t>
                  </w:r>
                </w:p>
              </w:tc>
            </w:tr>
            <w:tr w14:paraId="3695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 w:hRule="atLeast"/>
              </w:trPr>
              <w:tc>
                <w:tcPr>
                  <w:tcW w:w="670" w:type="dxa"/>
                  <w:vMerge w:val="restart"/>
                  <w:shd w:val="clear" w:color="auto" w:fill="auto"/>
                  <w:vAlign w:val="center"/>
                </w:tcPr>
                <w:p w14:paraId="3E7E37FB">
                  <w:pPr>
                    <w:keepNext w:val="0"/>
                    <w:keepLines w:val="0"/>
                    <w:widowControl/>
                    <w:suppressLineNumbers w:val="0"/>
                    <w:spacing w:before="0" w:beforeAutospacing="0" w:after="0" w:afterAutospacing="0"/>
                    <w:ind w:left="0" w:right="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生产环节</w:t>
                  </w:r>
                </w:p>
              </w:tc>
              <w:tc>
                <w:tcPr>
                  <w:tcW w:w="1470" w:type="dxa"/>
                  <w:shd w:val="clear" w:color="auto" w:fill="auto"/>
                  <w:vAlign w:val="center"/>
                </w:tcPr>
                <w:p w14:paraId="59A10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金属废屑和金属边角料</w:t>
                  </w:r>
                </w:p>
              </w:tc>
              <w:tc>
                <w:tcPr>
                  <w:tcW w:w="1094" w:type="dxa"/>
                  <w:shd w:val="clear" w:color="auto" w:fill="auto"/>
                  <w:vAlign w:val="center"/>
                </w:tcPr>
                <w:p w14:paraId="202E7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一般固废</w:t>
                  </w:r>
                </w:p>
              </w:tc>
              <w:tc>
                <w:tcPr>
                  <w:tcW w:w="1383" w:type="dxa"/>
                  <w:shd w:val="clear" w:color="auto" w:fill="auto"/>
                  <w:vAlign w:val="center"/>
                </w:tcPr>
                <w:p w14:paraId="401409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900-001-S17</w:t>
                  </w:r>
                </w:p>
              </w:tc>
              <w:tc>
                <w:tcPr>
                  <w:tcW w:w="815" w:type="dxa"/>
                  <w:shd w:val="clear" w:color="auto" w:fill="auto"/>
                  <w:vAlign w:val="center"/>
                </w:tcPr>
                <w:p w14:paraId="56AD6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65B421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 xml:space="preserve">1.88 </w:t>
                  </w:r>
                </w:p>
              </w:tc>
              <w:tc>
                <w:tcPr>
                  <w:tcW w:w="2253" w:type="dxa"/>
                  <w:shd w:val="clear" w:color="auto" w:fill="auto"/>
                  <w:vAlign w:val="center"/>
                </w:tcPr>
                <w:p w14:paraId="7C6A6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暂存于固废暂存间定期外售回收利用</w:t>
                  </w:r>
                </w:p>
              </w:tc>
            </w:tr>
            <w:tr w14:paraId="4B28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 w:hRule="atLeast"/>
              </w:trPr>
              <w:tc>
                <w:tcPr>
                  <w:tcW w:w="670" w:type="dxa"/>
                  <w:vMerge w:val="continue"/>
                  <w:shd w:val="clear" w:color="auto" w:fill="auto"/>
                  <w:vAlign w:val="center"/>
                </w:tcPr>
                <w:p w14:paraId="47F9F1DD">
                  <w:pPr>
                    <w:keepNext w:val="0"/>
                    <w:keepLines w:val="0"/>
                    <w:suppressLineNumbers w:val="0"/>
                    <w:spacing w:before="0" w:beforeAutospacing="0" w:after="0" w:afterAutospacing="0"/>
                    <w:ind w:left="0" w:right="0"/>
                    <w:jc w:val="center"/>
                    <w:rPr>
                      <w:rFonts w:hint="eastAsia"/>
                      <w:sz w:val="21"/>
                      <w:szCs w:val="21"/>
                      <w:lang w:val="en-US" w:eastAsia="zh-CN"/>
                    </w:rPr>
                  </w:pPr>
                </w:p>
              </w:tc>
              <w:tc>
                <w:tcPr>
                  <w:tcW w:w="1470" w:type="dxa"/>
                  <w:shd w:val="clear" w:color="auto" w:fill="auto"/>
                  <w:vAlign w:val="center"/>
                </w:tcPr>
                <w:p w14:paraId="71B82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焊渣及废焊条</w:t>
                  </w:r>
                </w:p>
              </w:tc>
              <w:tc>
                <w:tcPr>
                  <w:tcW w:w="1094" w:type="dxa"/>
                  <w:shd w:val="clear" w:color="auto" w:fill="auto"/>
                  <w:vAlign w:val="center"/>
                </w:tcPr>
                <w:p w14:paraId="27EAF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一般固废</w:t>
                  </w:r>
                </w:p>
              </w:tc>
              <w:tc>
                <w:tcPr>
                  <w:tcW w:w="1383" w:type="dxa"/>
                  <w:shd w:val="clear" w:color="auto" w:fill="auto"/>
                  <w:vAlign w:val="center"/>
                </w:tcPr>
                <w:p w14:paraId="20957B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900-002-S17</w:t>
                  </w:r>
                </w:p>
              </w:tc>
              <w:tc>
                <w:tcPr>
                  <w:tcW w:w="815" w:type="dxa"/>
                  <w:shd w:val="clear" w:color="auto" w:fill="auto"/>
                  <w:vAlign w:val="center"/>
                </w:tcPr>
                <w:p w14:paraId="0EC1F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7BFC9F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2253" w:type="dxa"/>
                  <w:shd w:val="clear" w:color="auto" w:fill="auto"/>
                  <w:vAlign w:val="center"/>
                </w:tcPr>
                <w:p w14:paraId="67568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暂存于固废暂存间定期外售回收利用</w:t>
                  </w:r>
                </w:p>
              </w:tc>
            </w:tr>
            <w:tr w14:paraId="15CF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 w:hRule="atLeast"/>
              </w:trPr>
              <w:tc>
                <w:tcPr>
                  <w:tcW w:w="670" w:type="dxa"/>
                  <w:vMerge w:val="continue"/>
                  <w:shd w:val="clear" w:color="auto" w:fill="auto"/>
                  <w:vAlign w:val="center"/>
                </w:tcPr>
                <w:p w14:paraId="4DE6A1C3">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70" w:type="dxa"/>
                  <w:shd w:val="clear" w:color="auto" w:fill="auto"/>
                  <w:vAlign w:val="center"/>
                </w:tcPr>
                <w:p w14:paraId="77506F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000000"/>
                      <w:sz w:val="21"/>
                      <w:szCs w:val="21"/>
                      <w:u w:val="none"/>
                      <w:vertAlign w:val="baseline"/>
                      <w:lang w:val="en-US"/>
                    </w:rPr>
                  </w:pPr>
                  <w:r>
                    <w:rPr>
                      <w:rFonts w:hint="eastAsia" w:ascii="宋体" w:hAnsi="宋体" w:eastAsia="宋体" w:cs="宋体"/>
                      <w:i w:val="0"/>
                      <w:iCs w:val="0"/>
                      <w:color w:val="000000"/>
                      <w:kern w:val="0"/>
                      <w:sz w:val="21"/>
                      <w:szCs w:val="21"/>
                      <w:u w:val="none"/>
                      <w:lang w:val="en-US" w:eastAsia="zh-CN" w:bidi="ar"/>
                    </w:rPr>
                    <w:t>废包装材料</w:t>
                  </w:r>
                </w:p>
              </w:tc>
              <w:tc>
                <w:tcPr>
                  <w:tcW w:w="1094" w:type="dxa"/>
                  <w:shd w:val="clear" w:color="auto" w:fill="auto"/>
                  <w:vAlign w:val="center"/>
                </w:tcPr>
                <w:p w14:paraId="51BF5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一般固废</w:t>
                  </w:r>
                </w:p>
              </w:tc>
              <w:tc>
                <w:tcPr>
                  <w:tcW w:w="1383" w:type="dxa"/>
                  <w:shd w:val="clear" w:color="auto" w:fill="auto"/>
                  <w:vAlign w:val="center"/>
                </w:tcPr>
                <w:p w14:paraId="353BB4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900-099-S59</w:t>
                  </w:r>
                </w:p>
              </w:tc>
              <w:tc>
                <w:tcPr>
                  <w:tcW w:w="815" w:type="dxa"/>
                  <w:shd w:val="clear" w:color="auto" w:fill="auto"/>
                  <w:vAlign w:val="center"/>
                </w:tcPr>
                <w:p w14:paraId="67F0A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05DAD7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2253" w:type="dxa"/>
                  <w:shd w:val="clear" w:color="auto" w:fill="auto"/>
                  <w:vAlign w:val="center"/>
                </w:tcPr>
                <w:p w14:paraId="3B26F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暂存于固废暂存间定期外售回收利用</w:t>
                  </w:r>
                </w:p>
              </w:tc>
            </w:tr>
            <w:tr w14:paraId="4B9D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108" w:type="dxa"/>
                  <w:bottom w:w="28" w:type="dxa"/>
                  <w:right w:w="108" w:type="dxa"/>
                </w:tblCellMar>
              </w:tblPrEx>
              <w:trPr>
                <w:trHeight w:val="113" w:hRule="atLeast"/>
              </w:trPr>
              <w:tc>
                <w:tcPr>
                  <w:tcW w:w="670" w:type="dxa"/>
                  <w:vMerge w:val="continue"/>
                  <w:shd w:val="clear" w:color="auto" w:fill="auto"/>
                  <w:vAlign w:val="center"/>
                </w:tcPr>
                <w:p w14:paraId="3486128D">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70" w:type="dxa"/>
                  <w:shd w:val="clear" w:color="auto" w:fill="auto"/>
                  <w:vAlign w:val="center"/>
                </w:tcPr>
                <w:p w14:paraId="1724B5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漆渣</w:t>
                  </w:r>
                </w:p>
              </w:tc>
              <w:tc>
                <w:tcPr>
                  <w:tcW w:w="1094" w:type="dxa"/>
                  <w:shd w:val="clear" w:color="auto" w:fill="auto"/>
                  <w:vAlign w:val="center"/>
                </w:tcPr>
                <w:p w14:paraId="383DA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危险废物</w:t>
                  </w:r>
                </w:p>
              </w:tc>
              <w:tc>
                <w:tcPr>
                  <w:tcW w:w="1383" w:type="dxa"/>
                  <w:shd w:val="clear" w:color="auto" w:fill="auto"/>
                  <w:vAlign w:val="center"/>
                </w:tcPr>
                <w:p w14:paraId="02343B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HW12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900-252-12</w:t>
                  </w:r>
                </w:p>
              </w:tc>
              <w:tc>
                <w:tcPr>
                  <w:tcW w:w="815" w:type="dxa"/>
                  <w:shd w:val="clear" w:color="auto" w:fill="auto"/>
                  <w:vAlign w:val="center"/>
                </w:tcPr>
                <w:p w14:paraId="71D67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210ED9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0.0248 </w:t>
                  </w:r>
                </w:p>
              </w:tc>
              <w:tc>
                <w:tcPr>
                  <w:tcW w:w="2253" w:type="dxa"/>
                  <w:shd w:val="clear" w:color="auto" w:fill="auto"/>
                  <w:vAlign w:val="center"/>
                </w:tcPr>
                <w:p w14:paraId="6EE94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r>
            <w:tr w14:paraId="3E7C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108" w:type="dxa"/>
                  <w:bottom w:w="28" w:type="dxa"/>
                  <w:right w:w="108" w:type="dxa"/>
                </w:tblCellMar>
              </w:tblPrEx>
              <w:trPr>
                <w:trHeight w:val="113" w:hRule="atLeast"/>
              </w:trPr>
              <w:tc>
                <w:tcPr>
                  <w:tcW w:w="670" w:type="dxa"/>
                  <w:vMerge w:val="continue"/>
                  <w:shd w:val="clear" w:color="auto" w:fill="auto"/>
                  <w:vAlign w:val="center"/>
                </w:tcPr>
                <w:p w14:paraId="52732E6E">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70" w:type="dxa"/>
                  <w:shd w:val="clear" w:color="auto" w:fill="auto"/>
                  <w:vAlign w:val="center"/>
                </w:tcPr>
                <w:p w14:paraId="5FF78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废漆桶</w:t>
                  </w:r>
                </w:p>
              </w:tc>
              <w:tc>
                <w:tcPr>
                  <w:tcW w:w="1094" w:type="dxa"/>
                  <w:shd w:val="clear" w:color="auto" w:fill="auto"/>
                  <w:vAlign w:val="center"/>
                </w:tcPr>
                <w:p w14:paraId="5CE18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危险废物</w:t>
                  </w:r>
                </w:p>
              </w:tc>
              <w:tc>
                <w:tcPr>
                  <w:tcW w:w="1383" w:type="dxa"/>
                  <w:shd w:val="clear" w:color="auto" w:fill="auto"/>
                  <w:vAlign w:val="center"/>
                </w:tcPr>
                <w:p w14:paraId="645FFA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815" w:type="dxa"/>
                  <w:shd w:val="clear" w:color="auto" w:fill="auto"/>
                  <w:vAlign w:val="center"/>
                </w:tcPr>
                <w:p w14:paraId="25580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6811A6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2253" w:type="dxa"/>
                  <w:shd w:val="clear" w:color="auto" w:fill="auto"/>
                  <w:vAlign w:val="center"/>
                </w:tcPr>
                <w:p w14:paraId="4B211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r>
            <w:tr w14:paraId="324C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108" w:type="dxa"/>
                  <w:bottom w:w="28" w:type="dxa"/>
                  <w:right w:w="108" w:type="dxa"/>
                </w:tblCellMar>
              </w:tblPrEx>
              <w:trPr>
                <w:trHeight w:val="113" w:hRule="atLeast"/>
              </w:trPr>
              <w:tc>
                <w:tcPr>
                  <w:tcW w:w="670" w:type="dxa"/>
                  <w:vMerge w:val="continue"/>
                  <w:shd w:val="clear" w:color="auto" w:fill="auto"/>
                  <w:vAlign w:val="center"/>
                </w:tcPr>
                <w:p w14:paraId="206006C1">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70" w:type="dxa"/>
                  <w:shd w:val="clear" w:color="auto" w:fill="auto"/>
                  <w:vAlign w:val="center"/>
                </w:tcPr>
                <w:p w14:paraId="65E3B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废活性炭</w:t>
                  </w:r>
                </w:p>
              </w:tc>
              <w:tc>
                <w:tcPr>
                  <w:tcW w:w="1094" w:type="dxa"/>
                  <w:shd w:val="clear" w:color="auto" w:fill="auto"/>
                  <w:vAlign w:val="center"/>
                </w:tcPr>
                <w:p w14:paraId="3EDE0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危险废物</w:t>
                  </w:r>
                </w:p>
              </w:tc>
              <w:tc>
                <w:tcPr>
                  <w:tcW w:w="1383" w:type="dxa"/>
                  <w:shd w:val="clear" w:color="auto" w:fill="auto"/>
                  <w:vAlign w:val="center"/>
                </w:tcPr>
                <w:p w14:paraId="53E302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900-039-49</w:t>
                  </w:r>
                </w:p>
              </w:tc>
              <w:tc>
                <w:tcPr>
                  <w:tcW w:w="815" w:type="dxa"/>
                  <w:shd w:val="clear" w:color="auto" w:fill="auto"/>
                  <w:vAlign w:val="center"/>
                </w:tcPr>
                <w:p w14:paraId="34595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69E56C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lang w:val="en-US"/>
                    </w:rPr>
                  </w:pPr>
                  <w:r>
                    <w:rPr>
                      <w:rFonts w:hint="eastAsia" w:cs="Times New Roman"/>
                      <w:i w:val="0"/>
                      <w:iCs w:val="0"/>
                      <w:color w:val="000000"/>
                      <w:kern w:val="0"/>
                      <w:sz w:val="21"/>
                      <w:szCs w:val="21"/>
                      <w:u w:val="none"/>
                      <w:lang w:val="en-US" w:eastAsia="zh-CN" w:bidi="ar"/>
                    </w:rPr>
                    <w:t>0.5</w:t>
                  </w:r>
                </w:p>
              </w:tc>
              <w:tc>
                <w:tcPr>
                  <w:tcW w:w="2253" w:type="dxa"/>
                  <w:shd w:val="clear" w:color="auto" w:fill="auto"/>
                  <w:vAlign w:val="center"/>
                </w:tcPr>
                <w:p w14:paraId="46403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r>
            <w:tr w14:paraId="13A3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 w:hRule="atLeast"/>
              </w:trPr>
              <w:tc>
                <w:tcPr>
                  <w:tcW w:w="670" w:type="dxa"/>
                  <w:vMerge w:val="continue"/>
                  <w:shd w:val="clear" w:color="auto" w:fill="auto"/>
                  <w:vAlign w:val="center"/>
                </w:tcPr>
                <w:p w14:paraId="35A5D3FC">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70" w:type="dxa"/>
                  <w:shd w:val="clear" w:color="auto" w:fill="auto"/>
                  <w:vAlign w:val="center"/>
                </w:tcPr>
                <w:p w14:paraId="1F402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废过滤棉</w:t>
                  </w:r>
                </w:p>
              </w:tc>
              <w:tc>
                <w:tcPr>
                  <w:tcW w:w="1094" w:type="dxa"/>
                  <w:shd w:val="clear" w:color="auto" w:fill="auto"/>
                  <w:vAlign w:val="center"/>
                </w:tcPr>
                <w:p w14:paraId="0348A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危险废物</w:t>
                  </w:r>
                </w:p>
              </w:tc>
              <w:tc>
                <w:tcPr>
                  <w:tcW w:w="1383" w:type="dxa"/>
                  <w:shd w:val="clear" w:color="auto" w:fill="auto"/>
                  <w:vAlign w:val="center"/>
                </w:tcPr>
                <w:p w14:paraId="53BE4A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900-039-49</w:t>
                  </w:r>
                </w:p>
              </w:tc>
              <w:tc>
                <w:tcPr>
                  <w:tcW w:w="815" w:type="dxa"/>
                  <w:shd w:val="clear" w:color="auto" w:fill="auto"/>
                  <w:vAlign w:val="center"/>
                </w:tcPr>
                <w:p w14:paraId="2F992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32DADE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0.36</w:t>
                  </w:r>
                </w:p>
              </w:tc>
              <w:tc>
                <w:tcPr>
                  <w:tcW w:w="2253" w:type="dxa"/>
                  <w:shd w:val="clear" w:color="auto" w:fill="auto"/>
                  <w:vAlign w:val="center"/>
                </w:tcPr>
                <w:p w14:paraId="4AFDE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r>
            <w:tr w14:paraId="02FB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 w:hRule="atLeast"/>
              </w:trPr>
              <w:tc>
                <w:tcPr>
                  <w:tcW w:w="670" w:type="dxa"/>
                  <w:vMerge w:val="continue"/>
                  <w:shd w:val="clear" w:color="auto" w:fill="auto"/>
                  <w:vAlign w:val="center"/>
                </w:tcPr>
                <w:p w14:paraId="6FE5CE2C">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70" w:type="dxa"/>
                  <w:shd w:val="clear" w:color="auto" w:fill="auto"/>
                  <w:vAlign w:val="center"/>
                </w:tcPr>
                <w:p w14:paraId="20DB9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含油废包装桶</w:t>
                  </w:r>
                </w:p>
              </w:tc>
              <w:tc>
                <w:tcPr>
                  <w:tcW w:w="1094" w:type="dxa"/>
                  <w:shd w:val="clear" w:color="auto" w:fill="auto"/>
                  <w:vAlign w:val="center"/>
                </w:tcPr>
                <w:p w14:paraId="21A65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危险废物</w:t>
                  </w:r>
                </w:p>
              </w:tc>
              <w:tc>
                <w:tcPr>
                  <w:tcW w:w="1383" w:type="dxa"/>
                  <w:shd w:val="clear" w:color="auto" w:fill="auto"/>
                  <w:vAlign w:val="center"/>
                </w:tcPr>
                <w:p w14:paraId="68039F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815" w:type="dxa"/>
                  <w:shd w:val="clear" w:color="auto" w:fill="auto"/>
                  <w:vAlign w:val="center"/>
                </w:tcPr>
                <w:p w14:paraId="5C007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2D22C1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2253" w:type="dxa"/>
                  <w:shd w:val="clear" w:color="auto" w:fill="auto"/>
                  <w:vAlign w:val="center"/>
                </w:tcPr>
                <w:p w14:paraId="660AD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r>
            <w:tr w14:paraId="3528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 w:hRule="atLeast"/>
              </w:trPr>
              <w:tc>
                <w:tcPr>
                  <w:tcW w:w="670" w:type="dxa"/>
                  <w:vMerge w:val="continue"/>
                  <w:shd w:val="clear" w:color="auto" w:fill="auto"/>
                  <w:vAlign w:val="center"/>
                </w:tcPr>
                <w:p w14:paraId="7E65E1AB">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470" w:type="dxa"/>
                  <w:shd w:val="clear" w:color="auto" w:fill="auto"/>
                  <w:vAlign w:val="center"/>
                </w:tcPr>
                <w:p w14:paraId="17044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废抹布、废手套和废棉布等废弃物</w:t>
                  </w:r>
                </w:p>
              </w:tc>
              <w:tc>
                <w:tcPr>
                  <w:tcW w:w="1094" w:type="dxa"/>
                  <w:shd w:val="clear" w:color="auto" w:fill="auto"/>
                  <w:vAlign w:val="center"/>
                </w:tcPr>
                <w:p w14:paraId="37FE2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危险废物</w:t>
                  </w:r>
                </w:p>
              </w:tc>
              <w:tc>
                <w:tcPr>
                  <w:tcW w:w="1383" w:type="dxa"/>
                  <w:shd w:val="clear" w:color="auto" w:fill="auto"/>
                  <w:vAlign w:val="center"/>
                </w:tcPr>
                <w:p w14:paraId="44C069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815" w:type="dxa"/>
                  <w:shd w:val="clear" w:color="auto" w:fill="auto"/>
                  <w:vAlign w:val="center"/>
                </w:tcPr>
                <w:p w14:paraId="51153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684926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2253" w:type="dxa"/>
                  <w:shd w:val="clear" w:color="auto" w:fill="auto"/>
                  <w:vAlign w:val="center"/>
                </w:tcPr>
                <w:p w14:paraId="4CF82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暂存于危废间委托有资质单位进行回收</w:t>
                  </w:r>
                </w:p>
              </w:tc>
            </w:tr>
            <w:tr w14:paraId="6F86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108" w:type="dxa"/>
                  <w:bottom w:w="28" w:type="dxa"/>
                  <w:right w:w="108" w:type="dxa"/>
                </w:tblCellMar>
              </w:tblPrEx>
              <w:trPr>
                <w:trHeight w:val="113" w:hRule="atLeast"/>
              </w:trPr>
              <w:tc>
                <w:tcPr>
                  <w:tcW w:w="670" w:type="dxa"/>
                  <w:shd w:val="clear" w:color="auto" w:fill="auto"/>
                  <w:vAlign w:val="center"/>
                </w:tcPr>
                <w:p w14:paraId="18DF8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生活办公</w:t>
                  </w:r>
                </w:p>
              </w:tc>
              <w:tc>
                <w:tcPr>
                  <w:tcW w:w="1470" w:type="dxa"/>
                  <w:shd w:val="clear" w:color="auto" w:fill="auto"/>
                  <w:vAlign w:val="center"/>
                </w:tcPr>
                <w:p w14:paraId="5DDA1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生活垃圾</w:t>
                  </w:r>
                </w:p>
              </w:tc>
              <w:tc>
                <w:tcPr>
                  <w:tcW w:w="1094" w:type="dxa"/>
                  <w:shd w:val="clear" w:color="auto" w:fill="auto"/>
                  <w:vAlign w:val="center"/>
                </w:tcPr>
                <w:p w14:paraId="08455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生活垃圾</w:t>
                  </w:r>
                </w:p>
              </w:tc>
              <w:tc>
                <w:tcPr>
                  <w:tcW w:w="1383" w:type="dxa"/>
                  <w:shd w:val="clear" w:color="auto" w:fill="auto"/>
                  <w:vAlign w:val="center"/>
                </w:tcPr>
                <w:p w14:paraId="3F1601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15" w:type="dxa"/>
                  <w:shd w:val="clear" w:color="auto" w:fill="auto"/>
                  <w:vAlign w:val="center"/>
                </w:tcPr>
                <w:p w14:paraId="198DC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固</w:t>
                  </w:r>
                </w:p>
              </w:tc>
              <w:tc>
                <w:tcPr>
                  <w:tcW w:w="932" w:type="dxa"/>
                  <w:shd w:val="clear" w:color="auto" w:fill="auto"/>
                  <w:vAlign w:val="center"/>
                </w:tcPr>
                <w:p w14:paraId="4AA79D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5.25</w:t>
                  </w:r>
                </w:p>
              </w:tc>
              <w:tc>
                <w:tcPr>
                  <w:tcW w:w="2253" w:type="dxa"/>
                  <w:shd w:val="clear" w:color="auto" w:fill="auto"/>
                  <w:vAlign w:val="center"/>
                </w:tcPr>
                <w:p w14:paraId="6E85E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环卫部门清运</w:t>
                  </w:r>
                </w:p>
              </w:tc>
            </w:tr>
          </w:tbl>
          <w:p w14:paraId="4CA41446">
            <w:pPr>
              <w:pStyle w:val="109"/>
              <w:keepNext w:val="0"/>
              <w:keepLines w:val="0"/>
              <w:suppressLineNumbers w:val="0"/>
              <w:spacing w:before="157" w:beforeLines="50" w:beforeAutospacing="0" w:after="0" w:afterAutospacing="0"/>
              <w:ind w:left="0" w:right="0" w:firstLine="482"/>
              <w:rPr>
                <w:rFonts w:hint="default" w:ascii="Times New Roman" w:hAnsi="宋体" w:eastAsia="宋体" w:cs="Times New Roman"/>
                <w:b/>
                <w:bCs/>
                <w:color w:val="auto"/>
                <w:kern w:val="2"/>
                <w:sz w:val="24"/>
                <w:szCs w:val="24"/>
                <w:u w:val="none"/>
                <w:lang w:val="en-US" w:eastAsia="zh-CN" w:bidi="ar-SA"/>
              </w:rPr>
            </w:pPr>
            <w:r>
              <w:rPr>
                <w:rFonts w:hint="eastAsia"/>
                <w:b/>
                <w:bCs/>
                <w:color w:val="auto"/>
                <w:u w:val="none"/>
                <w:lang w:val="en-US" w:eastAsia="zh-CN"/>
              </w:rPr>
              <w:t>（2）固体废物产生情况</w:t>
            </w:r>
          </w:p>
          <w:p w14:paraId="2F0F4E91">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宋体" w:eastAsia="宋体" w:cs="Times New Roman"/>
                <w:color w:val="auto"/>
                <w:kern w:val="2"/>
                <w:sz w:val="24"/>
                <w:szCs w:val="24"/>
                <w:u w:val="none"/>
                <w:lang w:val="en-US" w:eastAsia="zh-CN" w:bidi="ar-SA"/>
              </w:rPr>
            </w:pPr>
            <w:r>
              <w:rPr>
                <w:rFonts w:hint="eastAsia" w:hAnsi="宋体" w:cs="Times New Roman"/>
                <w:b/>
                <w:bCs/>
                <w:color w:val="auto"/>
                <w:kern w:val="2"/>
                <w:sz w:val="24"/>
                <w:szCs w:val="24"/>
                <w:u w:val="none"/>
                <w:lang w:val="en-US" w:eastAsia="zh-CN" w:bidi="ar-SA"/>
              </w:rPr>
              <w:t>A.</w:t>
            </w:r>
            <w:r>
              <w:rPr>
                <w:rFonts w:hint="eastAsia" w:ascii="Times New Roman" w:hAnsi="宋体" w:eastAsia="宋体" w:cs="Times New Roman"/>
                <w:b/>
                <w:bCs/>
                <w:color w:val="auto"/>
                <w:kern w:val="2"/>
                <w:sz w:val="24"/>
                <w:szCs w:val="24"/>
                <w:u w:val="none"/>
                <w:lang w:val="en-US" w:eastAsia="zh-CN" w:bidi="ar-SA"/>
              </w:rPr>
              <w:t>一般固废</w:t>
            </w:r>
          </w:p>
          <w:p w14:paraId="3BCE479B">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①</w:t>
            </w:r>
            <w:r>
              <w:rPr>
                <w:rFonts w:hint="eastAsia" w:ascii="Times New Roman" w:hAnsi="宋体" w:eastAsia="宋体" w:cs="Times New Roman"/>
                <w:color w:val="auto"/>
                <w:kern w:val="2"/>
                <w:sz w:val="24"/>
                <w:szCs w:val="24"/>
                <w:u w:val="none"/>
                <w:lang w:val="en-US" w:eastAsia="zh-CN" w:bidi="ar-SA"/>
              </w:rPr>
              <w:t>金属废屑和金属边角料</w:t>
            </w:r>
          </w:p>
          <w:p w14:paraId="6084D94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eastAsia="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项目在金属加工过程中，会产生少量金属废屑和金属边角料，产生量约为钢板用量的0.5%，本项目钢板年用量为377t/a，因此金属废屑和金属边角料产量为1.88t/a，统一收集后，暂存于固废暂存间定期外售回收利用。根据《固体废物分类与代码目录》（2024 版），金属废屑和金属边角料属于SW17可再生类废物，代码为900-001-S17。</w:t>
            </w:r>
          </w:p>
          <w:p w14:paraId="0607B64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② 焊渣及废焊条</w:t>
            </w:r>
          </w:p>
          <w:p w14:paraId="497B1194">
            <w:pPr>
              <w:keepNext w:val="0"/>
              <w:keepLines w:val="0"/>
              <w:widowControl w:val="0"/>
              <w:suppressLineNumbers w:val="0"/>
              <w:spacing w:before="0" w:beforeAutospacing="0" w:after="0" w:afterAutospacing="0" w:line="360" w:lineRule="auto"/>
              <w:ind w:left="0" w:right="0"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工件焊接过程中会产生少量焊渣、废焊条，产生量约0.005t/a，暂存于固废暂存间内，定期外售利用。根据《固体废物分类与代码目录》（2024 版），焊渣、废焊条属于SW17可再生类废物，代码为900-002-S17。</w:t>
            </w:r>
          </w:p>
          <w:p w14:paraId="645DDAD6">
            <w:pPr>
              <w:keepNext w:val="0"/>
              <w:keepLines w:val="0"/>
              <w:widowControl w:val="0"/>
              <w:suppressLineNumbers w:val="0"/>
              <w:spacing w:before="0" w:beforeAutospacing="0" w:after="0" w:afterAutospacing="0" w:line="360" w:lineRule="auto"/>
              <w:ind w:left="0" w:right="0"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④废包装材料</w:t>
            </w:r>
          </w:p>
          <w:p w14:paraId="660BC745">
            <w:pPr>
              <w:keepNext w:val="0"/>
              <w:keepLines w:val="0"/>
              <w:widowControl w:val="0"/>
              <w:suppressLineNumbers w:val="0"/>
              <w:spacing w:before="0" w:beforeAutospacing="0" w:after="0" w:afterAutospacing="0" w:line="360" w:lineRule="auto"/>
              <w:ind w:left="0" w:right="0" w:firstLine="480" w:firstLineChars="200"/>
              <w:jc w:val="both"/>
              <w:rPr>
                <w:rFonts w:hint="default"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 xml:space="preserve">本项目钢板、零配件等原辅材料的废包装材料，年产量约0.1t/a，统一收集后，暂存于固废暂存间定期外售回收利用。根据《固体废物分类与代码目录》（2024 版），废包装材料属于SW17可再生类废物，代码为900-099-S17。 </w:t>
            </w:r>
          </w:p>
          <w:p w14:paraId="53BBCA32">
            <w:pPr>
              <w:pStyle w:val="109"/>
              <w:keepNext w:val="0"/>
              <w:keepLines w:val="0"/>
              <w:suppressLineNumbers w:val="0"/>
              <w:spacing w:before="0" w:beforeAutospacing="0" w:after="0" w:afterAutospacing="0"/>
              <w:ind w:left="0" w:right="0" w:firstLine="482"/>
              <w:rPr>
                <w:rFonts w:hint="eastAsia"/>
                <w:b/>
                <w:bCs/>
                <w:color w:val="auto"/>
                <w:u w:val="none"/>
                <w:lang w:val="en-US" w:eastAsia="zh-CN"/>
              </w:rPr>
            </w:pPr>
            <w:r>
              <w:rPr>
                <w:rFonts w:hint="eastAsia"/>
                <w:b/>
                <w:bCs/>
                <w:color w:val="auto"/>
                <w:u w:val="none"/>
                <w:lang w:val="en-US" w:eastAsia="zh-CN"/>
              </w:rPr>
              <w:t>B.危险废物</w:t>
            </w:r>
          </w:p>
          <w:p w14:paraId="68734573">
            <w:pPr>
              <w:pStyle w:val="109"/>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①漆渣</w:t>
            </w:r>
          </w:p>
          <w:p w14:paraId="3353ED40">
            <w:pPr>
              <w:pStyle w:val="109"/>
              <w:keepNext w:val="0"/>
              <w:keepLines w:val="0"/>
              <w:suppressLineNumbers w:val="0"/>
              <w:spacing w:before="0" w:beforeAutospacing="0" w:after="0" w:afterAutospacing="0"/>
              <w:ind w:left="0" w:right="0" w:firstLine="482"/>
              <w:rPr>
                <w:rFonts w:hint="default"/>
                <w:b w:val="0"/>
                <w:bCs w:val="0"/>
                <w:color w:val="auto"/>
                <w:u w:val="none"/>
                <w:lang w:val="en-US" w:eastAsia="zh-CN"/>
              </w:rPr>
            </w:pPr>
            <w:r>
              <w:rPr>
                <w:rFonts w:hint="eastAsia"/>
                <w:b w:val="0"/>
                <w:bCs w:val="0"/>
                <w:color w:val="auto"/>
                <w:u w:val="none"/>
                <w:lang w:val="en-US" w:eastAsia="zh-CN"/>
              </w:rPr>
              <w:t>本项目补漆工序会产生漆渣，产生量约为0.0248t/a。根据《国家危险废物名录》（2025年版），属于危险废物，类别为HW12染料、涂料废物，危废代码900-252-12，经企业收集后委托有资质的单位处理。</w:t>
            </w:r>
          </w:p>
          <w:p w14:paraId="42E23EDE">
            <w:pPr>
              <w:pStyle w:val="109"/>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②废漆桶</w:t>
            </w:r>
          </w:p>
          <w:p w14:paraId="1E2A3ED9">
            <w:pPr>
              <w:pStyle w:val="109"/>
              <w:keepNext w:val="0"/>
              <w:keepLines w:val="0"/>
              <w:suppressLineNumbers w:val="0"/>
              <w:spacing w:before="0" w:beforeAutospacing="0" w:after="0" w:afterAutospacing="0"/>
              <w:ind w:left="0" w:right="0" w:firstLine="482"/>
              <w:rPr>
                <w:rFonts w:hint="default"/>
                <w:b w:val="0"/>
                <w:bCs w:val="0"/>
                <w:color w:val="auto"/>
                <w:u w:val="none"/>
                <w:lang w:val="en-US" w:eastAsia="zh-CN"/>
              </w:rPr>
            </w:pPr>
            <w:r>
              <w:rPr>
                <w:rFonts w:hint="default"/>
                <w:b w:val="0"/>
                <w:bCs w:val="0"/>
                <w:color w:val="auto"/>
                <w:u w:val="none"/>
                <w:lang w:val="en-US" w:eastAsia="zh-CN"/>
              </w:rPr>
              <w:t>本项目</w:t>
            </w:r>
            <w:r>
              <w:rPr>
                <w:rFonts w:hint="eastAsia"/>
                <w:b w:val="0"/>
                <w:bCs w:val="0"/>
                <w:color w:val="auto"/>
                <w:u w:val="none"/>
                <w:lang w:val="en-US" w:eastAsia="zh-CN"/>
              </w:rPr>
              <w:t>树脂漆年用量</w:t>
            </w:r>
            <w:r>
              <w:rPr>
                <w:rFonts w:hint="default"/>
                <w:b w:val="0"/>
                <w:bCs w:val="0"/>
                <w:color w:val="auto"/>
                <w:u w:val="none"/>
                <w:lang w:val="en-US" w:eastAsia="zh-CN"/>
              </w:rPr>
              <w:t>约为0.3t/a，包装规格为15kg/桶，空桶重量约为1kg，因此本项目</w:t>
            </w:r>
            <w:r>
              <w:rPr>
                <w:rFonts w:hint="eastAsia"/>
                <w:b w:val="0"/>
                <w:bCs w:val="0"/>
                <w:color w:val="auto"/>
                <w:u w:val="none"/>
                <w:lang w:val="en-US" w:eastAsia="zh-CN"/>
              </w:rPr>
              <w:t>废漆桶</w:t>
            </w:r>
            <w:r>
              <w:rPr>
                <w:rFonts w:hint="default"/>
                <w:b w:val="0"/>
                <w:bCs w:val="0"/>
                <w:color w:val="auto"/>
                <w:u w:val="none"/>
                <w:lang w:val="en-US" w:eastAsia="zh-CN"/>
              </w:rPr>
              <w:t>年产量为</w:t>
            </w:r>
            <w:r>
              <w:rPr>
                <w:rFonts w:hint="eastAsia"/>
                <w:b w:val="0"/>
                <w:bCs w:val="0"/>
                <w:color w:val="auto"/>
                <w:u w:val="none"/>
                <w:lang w:val="en-US" w:eastAsia="zh-CN"/>
              </w:rPr>
              <w:t>0.02</w:t>
            </w:r>
            <w:r>
              <w:rPr>
                <w:rFonts w:hint="default"/>
                <w:b w:val="0"/>
                <w:bCs w:val="0"/>
                <w:color w:val="auto"/>
                <w:u w:val="none"/>
                <w:lang w:val="en-US" w:eastAsia="zh-CN"/>
              </w:rPr>
              <w:t>t/a。根据《国家危险废物名录》（2025年版），</w:t>
            </w:r>
            <w:r>
              <w:rPr>
                <w:rFonts w:hint="eastAsia"/>
                <w:b w:val="0"/>
                <w:bCs w:val="0"/>
                <w:color w:val="auto"/>
                <w:u w:val="none"/>
                <w:lang w:val="en-US" w:eastAsia="zh-CN"/>
              </w:rPr>
              <w:t>废漆桶</w:t>
            </w:r>
            <w:r>
              <w:rPr>
                <w:rFonts w:hint="default"/>
                <w:b w:val="0"/>
                <w:bCs w:val="0"/>
                <w:color w:val="auto"/>
                <w:u w:val="none"/>
                <w:lang w:val="en-US" w:eastAsia="zh-CN"/>
              </w:rPr>
              <w:t>属于危险废物（编号为HW49其他废物，900-041-49含有或沾染毒性、感染性危险废物的废弃包装物、容器、过滤吸附介质）</w:t>
            </w:r>
            <w:r>
              <w:rPr>
                <w:rFonts w:hint="eastAsia"/>
                <w:b w:val="0"/>
                <w:bCs w:val="0"/>
                <w:color w:val="auto"/>
                <w:u w:val="none"/>
                <w:lang w:val="en-US" w:eastAsia="zh-CN"/>
              </w:rPr>
              <w:t>，</w:t>
            </w:r>
            <w:r>
              <w:rPr>
                <w:rFonts w:hint="default"/>
                <w:b w:val="0"/>
                <w:bCs w:val="0"/>
                <w:color w:val="auto"/>
                <w:u w:val="none"/>
                <w:lang w:val="en-US" w:eastAsia="zh-CN"/>
              </w:rPr>
              <w:t>经企业收集后委托有资质的单位处理。</w:t>
            </w:r>
          </w:p>
          <w:p w14:paraId="7FC8A9E1">
            <w:pPr>
              <w:pStyle w:val="109"/>
              <w:keepNext w:val="0"/>
              <w:keepLines w:val="0"/>
              <w:suppressLineNumbers w:val="0"/>
              <w:spacing w:before="0" w:beforeAutospacing="0" w:after="0" w:afterAutospacing="0"/>
              <w:ind w:left="0" w:right="0" w:firstLine="482"/>
              <w:rPr>
                <w:rFonts w:hint="eastAsia"/>
                <w:b w:val="0"/>
                <w:bCs w:val="0"/>
                <w:color w:val="auto"/>
                <w:highlight w:val="yellow"/>
                <w:u w:val="none"/>
                <w:lang w:val="en-US" w:eastAsia="zh-CN"/>
              </w:rPr>
            </w:pPr>
            <w:r>
              <w:rPr>
                <w:rFonts w:hint="eastAsia"/>
                <w:b w:val="0"/>
                <w:bCs w:val="0"/>
                <w:color w:val="auto"/>
                <w:highlight w:val="none"/>
                <w:u w:val="none"/>
                <w:lang w:val="en-US" w:eastAsia="zh-CN"/>
              </w:rPr>
              <w:t>③废活性炭</w:t>
            </w:r>
          </w:p>
          <w:p w14:paraId="514800D0">
            <w:pPr>
              <w:pStyle w:val="109"/>
              <w:keepNext w:val="0"/>
              <w:keepLines w:val="0"/>
              <w:suppressLineNumbers w:val="0"/>
              <w:spacing w:before="0" w:beforeAutospacing="0" w:after="0" w:afterAutospacing="0"/>
              <w:ind w:left="0" w:right="0" w:firstLine="482"/>
              <w:rPr>
                <w:rFonts w:hint="default"/>
                <w:b w:val="0"/>
                <w:bCs w:val="0"/>
                <w:color w:val="auto"/>
                <w:u w:val="none"/>
                <w:lang w:val="en-US" w:eastAsia="zh-CN"/>
              </w:rPr>
            </w:pPr>
            <w:r>
              <w:rPr>
                <w:rFonts w:hint="eastAsia"/>
                <w:b w:val="0"/>
                <w:bCs w:val="0"/>
                <w:color w:val="auto"/>
                <w:u w:val="none"/>
                <w:lang w:val="en-US" w:eastAsia="zh-CN"/>
              </w:rPr>
              <w:t>补漆工序</w:t>
            </w:r>
            <w:r>
              <w:rPr>
                <w:rFonts w:hint="default"/>
                <w:b w:val="0"/>
                <w:bCs w:val="0"/>
                <w:color w:val="auto"/>
                <w:u w:val="none"/>
                <w:lang w:val="en-US" w:eastAsia="zh-CN"/>
              </w:rPr>
              <w:t>拟采用活性炭吸附装置吸收处理，活性炭吸附的有机废气总量为</w:t>
            </w:r>
            <w:r>
              <w:rPr>
                <w:rFonts w:hint="eastAsia"/>
                <w:b w:val="0"/>
                <w:bCs w:val="0"/>
                <w:color w:val="auto"/>
                <w:u w:val="none"/>
                <w:lang w:val="en-US" w:eastAsia="zh-CN"/>
              </w:rPr>
              <w:t>0.029</w:t>
            </w:r>
            <w:r>
              <w:rPr>
                <w:rFonts w:hint="default"/>
                <w:b w:val="0"/>
                <w:bCs w:val="0"/>
                <w:color w:val="auto"/>
                <w:u w:val="none"/>
                <w:lang w:val="en-US" w:eastAsia="zh-CN"/>
              </w:rPr>
              <w:t>t/a，活性炭一旦不能满足吸附要求即进行更换。活性炭有效吸附量约为0.24kgVOC/kg活性炭，经计算本项目活性炭最少使用量为</w:t>
            </w:r>
            <w:r>
              <w:rPr>
                <w:rFonts w:hint="eastAsia"/>
                <w:b w:val="0"/>
                <w:bCs w:val="0"/>
                <w:color w:val="auto"/>
                <w:u w:val="none"/>
                <w:lang w:val="en-US" w:eastAsia="zh-CN"/>
              </w:rPr>
              <w:t>0.15</w:t>
            </w:r>
            <w:r>
              <w:rPr>
                <w:rFonts w:hint="default"/>
                <w:b w:val="0"/>
                <w:bCs w:val="0"/>
                <w:color w:val="auto"/>
                <w:u w:val="none"/>
                <w:lang w:val="en-US" w:eastAsia="zh-CN"/>
              </w:rPr>
              <w:t>t/a，</w:t>
            </w:r>
            <w:r>
              <w:rPr>
                <w:rFonts w:hint="eastAsia"/>
                <w:b w:val="0"/>
                <w:bCs w:val="0"/>
                <w:color w:val="auto"/>
                <w:u w:val="none"/>
                <w:lang w:val="en-US" w:eastAsia="zh-CN"/>
              </w:rPr>
              <w:t>本项目建议企业使用活性炭填充量为500kg的二级活性炭箱，活性炭更换频率为1年更换1次，</w:t>
            </w:r>
            <w:r>
              <w:rPr>
                <w:rFonts w:hint="default"/>
                <w:b w:val="0"/>
                <w:bCs w:val="0"/>
                <w:color w:val="auto"/>
                <w:u w:val="none"/>
                <w:lang w:val="en-US" w:eastAsia="zh-CN"/>
              </w:rPr>
              <w:t>因此废活性炭产生量</w:t>
            </w:r>
            <w:r>
              <w:rPr>
                <w:rFonts w:hint="eastAsia"/>
                <w:b w:val="0"/>
                <w:bCs w:val="0"/>
                <w:color w:val="auto"/>
                <w:u w:val="none"/>
                <w:lang w:val="en-US" w:eastAsia="zh-CN"/>
              </w:rPr>
              <w:t>约</w:t>
            </w:r>
            <w:r>
              <w:rPr>
                <w:rFonts w:hint="default"/>
                <w:b w:val="0"/>
                <w:bCs w:val="0"/>
                <w:color w:val="auto"/>
                <w:u w:val="none"/>
                <w:lang w:val="en-US" w:eastAsia="zh-CN"/>
              </w:rPr>
              <w:t>为</w:t>
            </w:r>
            <w:r>
              <w:rPr>
                <w:rFonts w:hint="eastAsia"/>
                <w:b w:val="0"/>
                <w:bCs w:val="0"/>
                <w:color w:val="auto"/>
                <w:u w:val="none"/>
                <w:lang w:val="en-US" w:eastAsia="zh-CN"/>
              </w:rPr>
              <w:t>0.5</w:t>
            </w:r>
            <w:r>
              <w:rPr>
                <w:rFonts w:hint="default"/>
                <w:b w:val="0"/>
                <w:bCs w:val="0"/>
                <w:color w:val="auto"/>
                <w:u w:val="none"/>
                <w:lang w:val="en-US" w:eastAsia="zh-CN"/>
              </w:rPr>
              <w:t>t/a。根据</w:t>
            </w:r>
            <w:r>
              <w:rPr>
                <w:rFonts w:hint="eastAsia"/>
                <w:b w:val="0"/>
                <w:bCs w:val="0"/>
                <w:color w:val="auto"/>
                <w:u w:val="none"/>
                <w:lang w:val="en-US" w:eastAsia="zh-CN"/>
              </w:rPr>
              <w:t>《国家危险废物名录》（2025年版）</w:t>
            </w:r>
            <w:r>
              <w:rPr>
                <w:rFonts w:hint="default"/>
                <w:b w:val="0"/>
                <w:bCs w:val="0"/>
                <w:color w:val="auto"/>
                <w:u w:val="none"/>
                <w:lang w:val="en-US" w:eastAsia="zh-CN"/>
              </w:rPr>
              <w:t>，属于危险废物，类别为HW49其他废物中非特定行业，危废代码900-039-49，经企业收集后委托有资质的单位处理。</w:t>
            </w:r>
          </w:p>
          <w:p w14:paraId="2B476055">
            <w:pPr>
              <w:pStyle w:val="109"/>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④废过滤棉</w:t>
            </w:r>
          </w:p>
          <w:p w14:paraId="488B711A">
            <w:pPr>
              <w:pStyle w:val="109"/>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本项目喷漆序拟采用过滤棉+二活性炭吸附装置吸收处理，根据估算，过滤棉需2个月更换一次，每次更换产生废过滤棉0.06t，则废过滤棉产生量为0.36t/a。根据《国家危险废物名录》（2025年版），废过滤棉属于危险废物，类别为HW49其他废物中非特定行业，危废代码900-041-49，经企业收集后委托有资质的单位处理。</w:t>
            </w:r>
          </w:p>
          <w:p w14:paraId="41D2B34A">
            <w:pPr>
              <w:pStyle w:val="109"/>
              <w:keepNext w:val="0"/>
              <w:keepLines w:val="0"/>
              <w:suppressLineNumbers w:val="0"/>
              <w:spacing w:before="0" w:beforeAutospacing="0" w:after="0" w:afterAutospacing="0"/>
              <w:ind w:left="0" w:right="0" w:firstLine="482"/>
              <w:rPr>
                <w:rFonts w:hint="default"/>
                <w:b w:val="0"/>
                <w:bCs w:val="0"/>
                <w:color w:val="auto"/>
                <w:u w:val="none"/>
                <w:lang w:val="en-US" w:eastAsia="zh-CN"/>
              </w:rPr>
            </w:pPr>
            <w:r>
              <w:rPr>
                <w:rFonts w:hint="eastAsia"/>
                <w:b w:val="0"/>
                <w:bCs w:val="0"/>
                <w:color w:val="auto"/>
                <w:u w:val="none"/>
                <w:lang w:val="en-US" w:eastAsia="zh-CN"/>
              </w:rPr>
              <w:t>⑤含油废包装桶</w:t>
            </w:r>
          </w:p>
          <w:p w14:paraId="35D535A0">
            <w:pPr>
              <w:pStyle w:val="109"/>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本项目润滑油用量约为0.045t/a，黄油用量约为0.03t/a，包装规格为15kg/桶，空桶重量约为1kg，因此本项目废包装油桶年产量为0.005t/a。根据《国家危险废物名录》（2025年版），废原料桶属于危险废物（编号为HW49其他废物，900-041-49含有或沾染毒性、感染性危险废物的废弃包装物、容器、过滤吸附介质）。经企业收集后委托有资质的单位处理。</w:t>
            </w:r>
          </w:p>
          <w:p w14:paraId="7780BDBD">
            <w:pPr>
              <w:pStyle w:val="109"/>
              <w:keepNext w:val="0"/>
              <w:keepLines w:val="0"/>
              <w:suppressLineNumbers w:val="0"/>
              <w:spacing w:before="0" w:beforeAutospacing="0" w:after="0" w:afterAutospacing="0"/>
              <w:ind w:left="0" w:right="0" w:firstLine="482"/>
              <w:rPr>
                <w:rFonts w:hint="eastAsia"/>
                <w:b w:val="0"/>
                <w:bCs w:val="0"/>
                <w:color w:val="auto"/>
                <w:u w:val="none"/>
                <w:lang w:val="en-US" w:eastAsia="zh-CN"/>
              </w:rPr>
            </w:pPr>
            <w:r>
              <w:rPr>
                <w:rFonts w:hint="eastAsia"/>
                <w:b w:val="0"/>
                <w:bCs w:val="0"/>
                <w:color w:val="auto"/>
                <w:u w:val="none"/>
                <w:lang w:val="en-US" w:eastAsia="zh-CN"/>
              </w:rPr>
              <w:t>⑥废抹布、废手套和废棉布等废弃物</w:t>
            </w:r>
          </w:p>
          <w:p w14:paraId="36CC2587">
            <w:pPr>
              <w:pStyle w:val="109"/>
              <w:keepNext w:val="0"/>
              <w:keepLines w:val="0"/>
              <w:suppressLineNumbers w:val="0"/>
              <w:spacing w:before="0" w:beforeAutospacing="0" w:after="0" w:afterAutospacing="0"/>
              <w:ind w:left="0" w:right="0" w:firstLine="482"/>
              <w:rPr>
                <w:rFonts w:hint="default"/>
                <w:b w:val="0"/>
                <w:bCs w:val="0"/>
                <w:color w:val="auto"/>
                <w:u w:val="none"/>
                <w:lang w:val="en-US" w:eastAsia="zh-CN"/>
              </w:rPr>
            </w:pPr>
            <w:r>
              <w:rPr>
                <w:rFonts w:hint="default"/>
                <w:b w:val="0"/>
                <w:bCs w:val="0"/>
                <w:color w:val="auto"/>
                <w:u w:val="none"/>
                <w:lang w:val="en-US" w:eastAsia="zh-CN"/>
              </w:rPr>
              <w:t>本项目</w:t>
            </w:r>
            <w:r>
              <w:rPr>
                <w:rFonts w:hint="eastAsia"/>
                <w:b w:val="0"/>
                <w:bCs w:val="0"/>
                <w:color w:val="auto"/>
                <w:u w:val="none"/>
                <w:lang w:val="en-US" w:eastAsia="zh-CN"/>
              </w:rPr>
              <w:t>生产过程中，会产生少量废抹布、废手套和废棉布等废弃物</w:t>
            </w:r>
            <w:r>
              <w:rPr>
                <w:rFonts w:hint="default"/>
                <w:b w:val="0"/>
                <w:bCs w:val="0"/>
                <w:color w:val="auto"/>
                <w:u w:val="none"/>
                <w:lang w:val="en-US" w:eastAsia="zh-CN"/>
              </w:rPr>
              <w:t>。根据</w:t>
            </w:r>
            <w:r>
              <w:rPr>
                <w:rFonts w:hint="eastAsia"/>
                <w:b w:val="0"/>
                <w:bCs w:val="0"/>
                <w:color w:val="auto"/>
                <w:u w:val="none"/>
                <w:lang w:val="en-US" w:eastAsia="zh-CN"/>
              </w:rPr>
              <w:t>《国家危险废物名录》（2025年版）</w:t>
            </w:r>
            <w:r>
              <w:rPr>
                <w:rFonts w:hint="default"/>
                <w:b w:val="0"/>
                <w:bCs w:val="0"/>
                <w:color w:val="auto"/>
                <w:u w:val="none"/>
                <w:lang w:val="en-US" w:eastAsia="zh-CN"/>
              </w:rPr>
              <w:t>，废抹布、废手套和废棉布等废弃物属于危险废物（编号为 HW49 其他废物，900-041-49 含有或沾染毒性、感染性危险废物的废弃包装物、容器、过滤吸附介质）收集后应送至有危废处置资质的单位集中处置，废抹布、废手套和废棉布等废弃物产生量约为0.05t/a。</w:t>
            </w:r>
          </w:p>
          <w:p w14:paraId="4271C304">
            <w:pPr>
              <w:pStyle w:val="109"/>
              <w:keepNext w:val="0"/>
              <w:keepLines w:val="0"/>
              <w:suppressLineNumbers w:val="0"/>
              <w:spacing w:before="0" w:beforeAutospacing="0" w:after="0" w:afterAutospacing="0"/>
              <w:ind w:left="0" w:right="0" w:firstLine="482"/>
              <w:rPr>
                <w:rFonts w:hint="eastAsia"/>
                <w:b/>
                <w:bCs/>
                <w:color w:val="auto"/>
                <w:u w:val="none"/>
                <w:lang w:val="en-US" w:eastAsia="zh-CN"/>
              </w:rPr>
            </w:pPr>
            <w:r>
              <w:rPr>
                <w:rFonts w:hint="eastAsia"/>
                <w:b/>
                <w:bCs/>
                <w:color w:val="auto"/>
                <w:u w:val="none"/>
                <w:lang w:val="en-US" w:eastAsia="zh-CN"/>
              </w:rPr>
              <w:t>C.生活垃圾</w:t>
            </w:r>
          </w:p>
          <w:p w14:paraId="71813F7A">
            <w:pPr>
              <w:pStyle w:val="109"/>
              <w:keepNext w:val="0"/>
              <w:keepLines w:val="0"/>
              <w:suppressLineNumbers w:val="0"/>
              <w:spacing w:before="0" w:beforeAutospacing="0" w:after="0" w:afterAutospacing="0"/>
              <w:ind w:left="0" w:right="0" w:firstLine="482"/>
              <w:rPr>
                <w:rFonts w:hint="eastAsia"/>
                <w:color w:val="auto"/>
                <w:u w:val="none"/>
                <w:lang w:val="en-US" w:eastAsia="zh-CN"/>
              </w:rPr>
            </w:pPr>
            <w:r>
              <w:rPr>
                <w:rFonts w:hint="eastAsia"/>
                <w:color w:val="auto"/>
                <w:u w:val="none"/>
                <w:lang w:val="en-US" w:eastAsia="zh-CN"/>
              </w:rPr>
              <w:t>项目</w:t>
            </w:r>
            <w:r>
              <w:rPr>
                <w:rFonts w:hint="eastAsia"/>
                <w:color w:val="auto"/>
                <w:highlight w:val="none"/>
                <w:u w:val="none"/>
                <w:lang w:val="en-US" w:eastAsia="zh-CN"/>
              </w:rPr>
              <w:t>劳动定员35人</w:t>
            </w:r>
            <w:r>
              <w:rPr>
                <w:rFonts w:hint="eastAsia"/>
                <w:color w:val="auto"/>
                <w:u w:val="none"/>
                <w:lang w:val="en-US" w:eastAsia="zh-CN"/>
              </w:rPr>
              <w:t>，年工作时间300天，生活垃圾产生系数按0.5kg/d·人计，则生活垃圾产生量约为5.25t/a。生活垃圾集中收集后由当地环卫部门统一清运处置。</w:t>
            </w:r>
          </w:p>
          <w:p w14:paraId="2572E12C">
            <w:pPr>
              <w:pStyle w:val="109"/>
              <w:keepNext w:val="0"/>
              <w:keepLines w:val="0"/>
              <w:suppressLineNumbers w:val="0"/>
              <w:spacing w:before="0" w:beforeAutospacing="0" w:after="0" w:afterAutospacing="0"/>
              <w:ind w:left="0" w:right="0" w:firstLine="482"/>
              <w:rPr>
                <w:rFonts w:hint="eastAsia"/>
                <w:b/>
                <w:bCs/>
                <w:color w:val="auto"/>
                <w:highlight w:val="none"/>
                <w:u w:val="none"/>
              </w:rPr>
            </w:pPr>
            <w:r>
              <w:rPr>
                <w:rFonts w:hint="eastAsia"/>
                <w:b/>
                <w:bCs/>
                <w:color w:val="auto"/>
                <w:highlight w:val="none"/>
                <w:u w:val="none"/>
                <w:lang w:val="en-US" w:eastAsia="zh-CN"/>
              </w:rPr>
              <w:t>（3）</w:t>
            </w:r>
            <w:r>
              <w:rPr>
                <w:rFonts w:hint="default"/>
                <w:b/>
                <w:bCs/>
                <w:color w:val="auto"/>
                <w:highlight w:val="none"/>
                <w:u w:val="none"/>
              </w:rPr>
              <w:t>固体废物环境管理要求</w:t>
            </w:r>
          </w:p>
          <w:p w14:paraId="5F282C7B">
            <w:pPr>
              <w:pStyle w:val="88"/>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lang w:val="en-US" w:eastAsia="zh-CN"/>
              </w:rPr>
              <w:t>1</w:t>
            </w:r>
            <w:r>
              <w:rPr>
                <w:rFonts w:hint="eastAsia"/>
                <w:color w:val="auto"/>
                <w:u w:val="none"/>
                <w:lang w:eastAsia="zh-CN"/>
              </w:rPr>
              <w:t>）</w:t>
            </w:r>
            <w:r>
              <w:rPr>
                <w:rFonts w:hint="default"/>
                <w:color w:val="auto"/>
                <w:u w:val="none"/>
              </w:rPr>
              <w:t>一般固废暂存管理</w:t>
            </w:r>
          </w:p>
          <w:p w14:paraId="7D356D27">
            <w:pPr>
              <w:pStyle w:val="88"/>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lang w:val="en-US" w:eastAsia="zh-CN"/>
              </w:rPr>
              <w:t>本环评要求在厂区内设置一般固废暂存间，</w:t>
            </w:r>
            <w:r>
              <w:rPr>
                <w:rFonts w:hint="eastAsia"/>
                <w:color w:val="auto"/>
                <w:u w:val="none"/>
              </w:rPr>
              <w:t>一般工业固体废弃物（</w:t>
            </w:r>
            <w:r>
              <w:rPr>
                <w:rFonts w:hint="eastAsia"/>
                <w:color w:val="auto"/>
                <w:u w:val="none"/>
                <w:lang w:val="en-US" w:eastAsia="zh-CN"/>
              </w:rPr>
              <w:t>包装废弃物</w:t>
            </w:r>
            <w:r>
              <w:rPr>
                <w:rFonts w:hint="eastAsia"/>
                <w:color w:val="auto"/>
                <w:u w:val="none"/>
              </w:rPr>
              <w:t>）的临时收集点的设置应满足《一般工业固体废物贮存和填埋污染控制标准》(GB18599-2020)的相关要求，定期转移，严格控制暂存时间。</w:t>
            </w:r>
          </w:p>
          <w:p w14:paraId="1F05A7CA">
            <w:pPr>
              <w:pStyle w:val="88"/>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lang w:val="en-US" w:eastAsia="zh-CN"/>
              </w:rPr>
              <w:t>2</w:t>
            </w:r>
            <w:r>
              <w:rPr>
                <w:rFonts w:hint="eastAsia"/>
                <w:color w:val="auto"/>
                <w:u w:val="none"/>
                <w:lang w:eastAsia="zh-CN"/>
              </w:rPr>
              <w:t>）</w:t>
            </w:r>
            <w:r>
              <w:rPr>
                <w:rFonts w:hint="default"/>
                <w:color w:val="auto"/>
                <w:u w:val="none"/>
              </w:rPr>
              <w:t>危险废物暂存管理</w:t>
            </w:r>
          </w:p>
          <w:p w14:paraId="2081C7E0">
            <w:pPr>
              <w:pStyle w:val="88"/>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lang w:val="en-US" w:eastAsia="zh-CN"/>
              </w:rPr>
              <w:t>本环评要求</w:t>
            </w:r>
            <w:r>
              <w:rPr>
                <w:rFonts w:hint="eastAsia"/>
                <w:color w:val="auto"/>
                <w:u w:val="none"/>
              </w:rPr>
              <w:t>在厂区内设置危险废物暂存间</w:t>
            </w:r>
            <w:r>
              <w:rPr>
                <w:rFonts w:hint="eastAsia"/>
                <w:color w:val="auto"/>
                <w:u w:val="none"/>
                <w:lang w:eastAsia="zh-CN"/>
              </w:rPr>
              <w:t>。</w:t>
            </w:r>
            <w:r>
              <w:rPr>
                <w:rFonts w:hint="eastAsia"/>
                <w:color w:val="auto"/>
                <w:u w:val="none"/>
              </w:rPr>
              <w:t>根据《危险废物贮存污染控制标准》（</w:t>
            </w:r>
            <w:r>
              <w:rPr>
                <w:rFonts w:hint="eastAsia"/>
                <w:color w:val="auto"/>
                <w:u w:val="none"/>
                <w:lang w:eastAsia="zh-CN"/>
              </w:rPr>
              <w:t>GB18597-2023</w:t>
            </w:r>
            <w:r>
              <w:rPr>
                <w:rFonts w:hint="eastAsia"/>
                <w:color w:val="auto"/>
                <w:u w:val="none"/>
              </w:rPr>
              <w:t>）和《危险废物收集贮存运输技术规范》（HJ2025-2012）的要求，本项目危废贮存场所应按以下要求设置：</w:t>
            </w:r>
          </w:p>
          <w:p w14:paraId="240E67B0">
            <w:pPr>
              <w:pStyle w:val="88"/>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①产生危废的车间，必须使用专用储存设施，并将危险废物装入专用容器中，无法装入常用容器的危险废物可用防漏胶袋等盛装，盛装危险废物的容器和胶带必须贴符合《危险废物贮存污染控制标准》（</w:t>
            </w:r>
            <w:r>
              <w:rPr>
                <w:rFonts w:hint="eastAsia"/>
                <w:color w:val="auto"/>
                <w:u w:val="none"/>
                <w:lang w:eastAsia="zh-CN"/>
              </w:rPr>
              <w:t>GB18597-2023</w:t>
            </w:r>
            <w:r>
              <w:rPr>
                <w:rFonts w:hint="eastAsia"/>
                <w:color w:val="auto"/>
                <w:u w:val="none"/>
              </w:rPr>
              <w:t>）附录A所示的标签等，防止造成二次污染。危险废物暂存时需设有专用暂存区，不得混存，且须做好防淋防渗措施，以避免固废中的挥发物质对环境造成污染。</w:t>
            </w:r>
          </w:p>
          <w:p w14:paraId="12CAC6E7">
            <w:pPr>
              <w:pStyle w:val="88"/>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②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14:paraId="2F072593">
            <w:pPr>
              <w:pStyle w:val="88"/>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③危险废物的收集和转运过程中，应采取相应的安全防护和污染防治措施，包括防爆、防火、防中毒、防感染、防泄漏、防飞扬、防雨或其它防止污染环境的措施。</w:t>
            </w:r>
          </w:p>
          <w:p w14:paraId="73157DBD">
            <w:pPr>
              <w:pStyle w:val="88"/>
              <w:keepNext w:val="0"/>
              <w:keepLines w:val="0"/>
              <w:widowControl/>
              <w:suppressLineNumbers w:val="0"/>
              <w:spacing w:before="0" w:beforeAutospacing="0" w:after="0" w:afterAutospacing="0"/>
              <w:ind w:left="0" w:right="0" w:firstLine="480"/>
              <w:rPr>
                <w:rFonts w:hint="eastAsia"/>
                <w:color w:val="auto"/>
                <w:u w:val="none"/>
              </w:rPr>
            </w:pPr>
            <w:r>
              <w:rPr>
                <w:rFonts w:hint="eastAsia"/>
                <w:color w:val="auto"/>
                <w:u w:val="none"/>
              </w:rPr>
              <w:t>④危险废物贮存设施要符合国家危险固废贮存场所的建设要求，要防风、防晒、防雨、防漏、防渗、防腐，危险固废贮存设施要建有堵截泄漏的裙脚，地面与裙脚用坚固的防渗材料建造，并建有隔离设施和防风、防晒、防雨设施，基础防渗层用2mm的高密度聚乙烯材料组成，表面用耐腐蚀材料硬化。储存间内清理出来的泄漏物也属于危险废物，必须按照危险废物处理原则处理。</w:t>
            </w:r>
          </w:p>
          <w:p w14:paraId="2FC9211F">
            <w:pPr>
              <w:pStyle w:val="88"/>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⑤地面与墙角要用坚固、防渗、防腐的材料建造；危险废物存放间场地防渗处理后，渗透系统要小于1×10</w:t>
            </w:r>
            <w:r>
              <w:rPr>
                <w:rFonts w:hint="eastAsia"/>
                <w:color w:val="auto"/>
                <w:u w:val="none"/>
                <w:vertAlign w:val="superscript"/>
              </w:rPr>
              <w:t>-10</w:t>
            </w:r>
            <w:r>
              <w:rPr>
                <w:rFonts w:hint="eastAsia"/>
                <w:color w:val="auto"/>
                <w:u w:val="none"/>
              </w:rPr>
              <w:t>cm/s。</w:t>
            </w:r>
          </w:p>
          <w:p w14:paraId="72D9A4FA">
            <w:pPr>
              <w:pStyle w:val="88"/>
              <w:keepNext w:val="0"/>
              <w:keepLines w:val="0"/>
              <w:widowControl/>
              <w:suppressLineNumbers w:val="0"/>
              <w:spacing w:before="0" w:beforeAutospacing="0" w:after="0" w:afterAutospacing="0"/>
              <w:ind w:left="0" w:right="0" w:firstLine="480"/>
              <w:rPr>
                <w:rFonts w:hint="default"/>
                <w:color w:val="auto"/>
                <w:u w:val="none"/>
              </w:rPr>
            </w:pPr>
            <w:r>
              <w:rPr>
                <w:rFonts w:hint="eastAsia"/>
                <w:color w:val="auto"/>
                <w:u w:val="none"/>
              </w:rPr>
              <w:t>⑥危险废物暂存间要有专人定期管理，贴上警示标签，禁止无关人员进入。</w:t>
            </w:r>
          </w:p>
          <w:p w14:paraId="196E9CC7">
            <w:pPr>
              <w:pStyle w:val="88"/>
              <w:keepNext w:val="0"/>
              <w:keepLines w:val="0"/>
              <w:widowControl/>
              <w:suppressLineNumbers w:val="0"/>
              <w:spacing w:before="0" w:beforeAutospacing="0" w:after="0" w:afterAutospacing="0"/>
              <w:ind w:left="0" w:right="0" w:firstLine="480"/>
              <w:rPr>
                <w:rFonts w:hint="eastAsia"/>
                <w:color w:val="auto"/>
                <w:u w:val="none"/>
              </w:rPr>
            </w:pPr>
            <w:r>
              <w:rPr>
                <w:rFonts w:hint="eastAsia"/>
                <w:color w:val="auto"/>
                <w:u w:val="none"/>
              </w:rPr>
              <w:t>⑦按月统计危险废物种类、产生量、暂存时间、交由处置时间等，除此之外，危险废物存放间还要记录危险废物的名称、来源、数量、特性和包装容器的类别、入库日期、存放库位、出库日期及接受单位名称。</w:t>
            </w:r>
          </w:p>
          <w:p w14:paraId="06557555">
            <w:pPr>
              <w:pStyle w:val="88"/>
              <w:keepNext w:val="0"/>
              <w:keepLines w:val="0"/>
              <w:widowControl/>
              <w:suppressLineNumbers w:val="0"/>
              <w:spacing w:before="0" w:beforeAutospacing="0" w:after="0" w:afterAutospacing="0"/>
              <w:ind w:left="0" w:right="0" w:firstLine="480"/>
              <w:rPr>
                <w:rFonts w:hint="eastAsia"/>
                <w:color w:val="auto"/>
                <w:u w:val="none"/>
              </w:rPr>
            </w:pPr>
            <w:r>
              <w:rPr>
                <w:rFonts w:hint="eastAsia"/>
                <w:color w:val="auto"/>
                <w:u w:val="none"/>
              </w:rPr>
              <w:t>在建设单位认真落实上述建议措施，切实做到定点收集、分类管理、定期转移、杜绝胡乱堆放、不恶化周围环境卫生的前提下，项目运营期产生的固体废弃物对周围环境影响不大。</w:t>
            </w:r>
          </w:p>
          <w:p w14:paraId="70BC3CFA">
            <w:pPr>
              <w:pStyle w:val="88"/>
              <w:keepNext w:val="0"/>
              <w:keepLines w:val="0"/>
              <w:widowControl/>
              <w:suppressLineNumbers w:val="0"/>
              <w:spacing w:before="0" w:beforeAutospacing="0" w:after="0" w:afterAutospacing="0"/>
              <w:ind w:left="0" w:right="0" w:firstLine="0" w:firstLineChars="0"/>
              <w:jc w:val="center"/>
              <w:rPr>
                <w:rFonts w:hint="eastAsia"/>
                <w:color w:val="auto"/>
                <w:u w:val="none"/>
                <w:lang w:val="en-US" w:eastAsia="zh-CN"/>
              </w:rPr>
            </w:pPr>
            <w:r>
              <w:rPr>
                <w:rFonts w:hint="eastAsia"/>
                <w:b/>
                <w:bCs/>
                <w:color w:val="auto"/>
                <w:sz w:val="21"/>
                <w:szCs w:val="21"/>
                <w:u w:val="none"/>
              </w:rPr>
              <w:t>表</w:t>
            </w:r>
            <w:r>
              <w:rPr>
                <w:rFonts w:hint="eastAsia"/>
                <w:b/>
                <w:bCs/>
                <w:color w:val="auto"/>
                <w:sz w:val="21"/>
                <w:szCs w:val="21"/>
                <w:u w:val="none"/>
                <w:lang w:val="en-US" w:eastAsia="zh-CN"/>
              </w:rPr>
              <w:t>4-15</w:t>
            </w:r>
            <w:r>
              <w:rPr>
                <w:rFonts w:hint="eastAsia"/>
                <w:b/>
                <w:bCs/>
                <w:color w:val="auto"/>
                <w:sz w:val="21"/>
                <w:szCs w:val="21"/>
                <w:u w:val="none"/>
              </w:rPr>
              <w:t xml:space="preserve"> 建设项目危险废物贮存场所基本情况</w:t>
            </w:r>
            <w:r>
              <w:rPr>
                <w:rFonts w:hint="eastAsia"/>
                <w:b/>
                <w:bCs/>
                <w:color w:val="auto"/>
                <w:sz w:val="21"/>
                <w:szCs w:val="21"/>
                <w:u w:val="none"/>
                <w:lang w:val="en-US" w:eastAsia="zh-CN"/>
              </w:rPr>
              <w:t>表</w:t>
            </w:r>
          </w:p>
          <w:tbl>
            <w:tblPr>
              <w:tblStyle w:val="25"/>
              <w:tblW w:w="863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15"/>
              <w:gridCol w:w="1453"/>
              <w:gridCol w:w="745"/>
              <w:gridCol w:w="1317"/>
              <w:gridCol w:w="529"/>
              <w:gridCol w:w="863"/>
              <w:gridCol w:w="863"/>
              <w:gridCol w:w="863"/>
              <w:gridCol w:w="864"/>
            </w:tblGrid>
            <w:tr w14:paraId="00AC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79116E5">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序号</w:t>
                  </w:r>
                </w:p>
              </w:tc>
              <w:tc>
                <w:tcPr>
                  <w:tcW w:w="716" w:type="dxa"/>
                  <w:vAlign w:val="center"/>
                </w:tcPr>
                <w:p w14:paraId="1FBF3E43">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贮存场所名称</w:t>
                  </w:r>
                </w:p>
              </w:tc>
              <w:tc>
                <w:tcPr>
                  <w:tcW w:w="1453" w:type="dxa"/>
                  <w:vAlign w:val="center"/>
                </w:tcPr>
                <w:p w14:paraId="6D1E5BDA">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危险废物名称</w:t>
                  </w:r>
                </w:p>
              </w:tc>
              <w:tc>
                <w:tcPr>
                  <w:tcW w:w="745" w:type="dxa"/>
                  <w:vAlign w:val="center"/>
                </w:tcPr>
                <w:p w14:paraId="0CAF2A81">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危险废物类别</w:t>
                  </w:r>
                </w:p>
              </w:tc>
              <w:tc>
                <w:tcPr>
                  <w:tcW w:w="1317" w:type="dxa"/>
                  <w:vAlign w:val="center"/>
                </w:tcPr>
                <w:p w14:paraId="56E543C6">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危险废物代码</w:t>
                  </w:r>
                </w:p>
              </w:tc>
              <w:tc>
                <w:tcPr>
                  <w:tcW w:w="529" w:type="dxa"/>
                  <w:vAlign w:val="center"/>
                </w:tcPr>
                <w:p w14:paraId="34CF149E">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位置</w:t>
                  </w:r>
                </w:p>
              </w:tc>
              <w:tc>
                <w:tcPr>
                  <w:tcW w:w="863" w:type="dxa"/>
                  <w:vAlign w:val="center"/>
                </w:tcPr>
                <w:p w14:paraId="6F1633F4">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占地面积</w:t>
                  </w:r>
                </w:p>
              </w:tc>
              <w:tc>
                <w:tcPr>
                  <w:tcW w:w="863" w:type="dxa"/>
                  <w:vAlign w:val="center"/>
                </w:tcPr>
                <w:p w14:paraId="391337EE">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贮存方式</w:t>
                  </w:r>
                </w:p>
              </w:tc>
              <w:tc>
                <w:tcPr>
                  <w:tcW w:w="863" w:type="dxa"/>
                  <w:vAlign w:val="center"/>
                </w:tcPr>
                <w:p w14:paraId="10CD5553">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贮存能力</w:t>
                  </w:r>
                </w:p>
              </w:tc>
              <w:tc>
                <w:tcPr>
                  <w:tcW w:w="864" w:type="dxa"/>
                  <w:vAlign w:val="center"/>
                </w:tcPr>
                <w:p w14:paraId="344180FE">
                  <w:pPr>
                    <w:pStyle w:val="8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贮存周期</w:t>
                  </w:r>
                </w:p>
              </w:tc>
            </w:tr>
            <w:tr w14:paraId="2BAD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E9C26B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16" w:type="dxa"/>
                  <w:vMerge w:val="restart"/>
                  <w:vAlign w:val="center"/>
                </w:tcPr>
                <w:p w14:paraId="3D03FEB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危废暂存间</w:t>
                  </w:r>
                </w:p>
              </w:tc>
              <w:tc>
                <w:tcPr>
                  <w:tcW w:w="1453" w:type="dxa"/>
                  <w:vAlign w:val="center"/>
                </w:tcPr>
                <w:p w14:paraId="55F26C8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漆渣</w:t>
                  </w:r>
                </w:p>
              </w:tc>
              <w:tc>
                <w:tcPr>
                  <w:tcW w:w="745" w:type="dxa"/>
                  <w:vAlign w:val="center"/>
                </w:tcPr>
                <w:p w14:paraId="61E27E7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固</w:t>
                  </w:r>
                </w:p>
              </w:tc>
              <w:tc>
                <w:tcPr>
                  <w:tcW w:w="1317" w:type="dxa"/>
                  <w:vAlign w:val="center"/>
                </w:tcPr>
                <w:p w14:paraId="4A80F5F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HW12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900-252-12</w:t>
                  </w:r>
                </w:p>
              </w:tc>
              <w:tc>
                <w:tcPr>
                  <w:tcW w:w="529" w:type="dxa"/>
                  <w:vMerge w:val="restart"/>
                  <w:vAlign w:val="center"/>
                </w:tcPr>
                <w:p w14:paraId="234EC44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危废暂存间</w:t>
                  </w:r>
                </w:p>
              </w:tc>
              <w:tc>
                <w:tcPr>
                  <w:tcW w:w="863" w:type="dxa"/>
                  <w:vMerge w:val="restart"/>
                  <w:vAlign w:val="center"/>
                </w:tcPr>
                <w:p w14:paraId="35E6E06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10m</w:t>
                  </w:r>
                  <w:r>
                    <w:rPr>
                      <w:rFonts w:hint="eastAsia" w:ascii="宋体" w:hAnsi="宋体" w:eastAsia="宋体" w:cs="宋体"/>
                      <w:i w:val="0"/>
                      <w:iCs w:val="0"/>
                      <w:color w:val="000000"/>
                      <w:kern w:val="0"/>
                      <w:sz w:val="21"/>
                      <w:szCs w:val="21"/>
                      <w:u w:val="none"/>
                      <w:lang w:val="en-US" w:eastAsia="zh-CN" w:bidi="ar"/>
                    </w:rPr>
                    <w:t>³</w:t>
                  </w:r>
                </w:p>
              </w:tc>
              <w:tc>
                <w:tcPr>
                  <w:tcW w:w="863" w:type="dxa"/>
                  <w:vAlign w:val="center"/>
                </w:tcPr>
                <w:p w14:paraId="40892CF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桶装</w:t>
                  </w:r>
                </w:p>
              </w:tc>
              <w:tc>
                <w:tcPr>
                  <w:tcW w:w="863" w:type="dxa"/>
                  <w:vMerge w:val="restart"/>
                  <w:vAlign w:val="center"/>
                </w:tcPr>
                <w:p w14:paraId="36A840E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2t</w:t>
                  </w:r>
                </w:p>
              </w:tc>
              <w:tc>
                <w:tcPr>
                  <w:tcW w:w="864" w:type="dxa"/>
                  <w:vMerge w:val="restart"/>
                  <w:vAlign w:val="center"/>
                </w:tcPr>
                <w:p w14:paraId="4EBF115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每年转运一次</w:t>
                  </w:r>
                </w:p>
              </w:tc>
            </w:tr>
            <w:tr w14:paraId="7A9D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E924E5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16" w:type="dxa"/>
                  <w:vMerge w:val="continue"/>
                  <w:vAlign w:val="center"/>
                </w:tcPr>
                <w:p w14:paraId="6701188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1453" w:type="dxa"/>
                  <w:vAlign w:val="center"/>
                </w:tcPr>
                <w:p w14:paraId="13CCACB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废漆桶</w:t>
                  </w:r>
                </w:p>
              </w:tc>
              <w:tc>
                <w:tcPr>
                  <w:tcW w:w="745" w:type="dxa"/>
                  <w:vAlign w:val="center"/>
                </w:tcPr>
                <w:p w14:paraId="1700DD3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固</w:t>
                  </w:r>
                </w:p>
              </w:tc>
              <w:tc>
                <w:tcPr>
                  <w:tcW w:w="1317" w:type="dxa"/>
                  <w:vAlign w:val="center"/>
                </w:tcPr>
                <w:p w14:paraId="6F6135B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529" w:type="dxa"/>
                  <w:vMerge w:val="continue"/>
                  <w:vAlign w:val="center"/>
                </w:tcPr>
                <w:p w14:paraId="145A097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Merge w:val="continue"/>
                  <w:vAlign w:val="center"/>
                </w:tcPr>
                <w:p w14:paraId="418896E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Align w:val="center"/>
                </w:tcPr>
                <w:p w14:paraId="0EE1075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桶装</w:t>
                  </w:r>
                </w:p>
              </w:tc>
              <w:tc>
                <w:tcPr>
                  <w:tcW w:w="863" w:type="dxa"/>
                  <w:vMerge w:val="continue"/>
                  <w:vAlign w:val="center"/>
                </w:tcPr>
                <w:p w14:paraId="1FBBF14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4727B10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r>
            <w:tr w14:paraId="268D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95598E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16" w:type="dxa"/>
                  <w:vMerge w:val="continue"/>
                  <w:vAlign w:val="center"/>
                </w:tcPr>
                <w:p w14:paraId="09936AB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1453" w:type="dxa"/>
                  <w:vAlign w:val="center"/>
                </w:tcPr>
                <w:p w14:paraId="2992FC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废活性炭</w:t>
                  </w:r>
                </w:p>
              </w:tc>
              <w:tc>
                <w:tcPr>
                  <w:tcW w:w="745" w:type="dxa"/>
                  <w:vAlign w:val="center"/>
                </w:tcPr>
                <w:p w14:paraId="6FAD0C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固</w:t>
                  </w:r>
                </w:p>
              </w:tc>
              <w:tc>
                <w:tcPr>
                  <w:tcW w:w="1317" w:type="dxa"/>
                  <w:vAlign w:val="center"/>
                </w:tcPr>
                <w:p w14:paraId="6337BFA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900-039-49</w:t>
                  </w:r>
                </w:p>
              </w:tc>
              <w:tc>
                <w:tcPr>
                  <w:tcW w:w="529" w:type="dxa"/>
                  <w:vMerge w:val="continue"/>
                  <w:vAlign w:val="center"/>
                </w:tcPr>
                <w:p w14:paraId="3465A85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Merge w:val="continue"/>
                  <w:vAlign w:val="center"/>
                </w:tcPr>
                <w:p w14:paraId="1E32831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Align w:val="center"/>
                </w:tcPr>
                <w:p w14:paraId="43D3473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桶装</w:t>
                  </w:r>
                </w:p>
              </w:tc>
              <w:tc>
                <w:tcPr>
                  <w:tcW w:w="863" w:type="dxa"/>
                  <w:vMerge w:val="continue"/>
                  <w:vAlign w:val="center"/>
                </w:tcPr>
                <w:p w14:paraId="06EB121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5639BB4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r>
            <w:tr w14:paraId="7ADD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33C2E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16" w:type="dxa"/>
                  <w:vMerge w:val="continue"/>
                  <w:vAlign w:val="center"/>
                </w:tcPr>
                <w:p w14:paraId="3D705FE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1453" w:type="dxa"/>
                  <w:vAlign w:val="center"/>
                </w:tcPr>
                <w:p w14:paraId="739E9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废过滤棉</w:t>
                  </w:r>
                </w:p>
              </w:tc>
              <w:tc>
                <w:tcPr>
                  <w:tcW w:w="745" w:type="dxa"/>
                  <w:vAlign w:val="center"/>
                </w:tcPr>
                <w:p w14:paraId="0DAE8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w:t>
                  </w:r>
                </w:p>
              </w:tc>
              <w:tc>
                <w:tcPr>
                  <w:tcW w:w="1317" w:type="dxa"/>
                  <w:vAlign w:val="center"/>
                </w:tcPr>
                <w:p w14:paraId="02EB34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900-039-49</w:t>
                  </w:r>
                </w:p>
              </w:tc>
              <w:tc>
                <w:tcPr>
                  <w:tcW w:w="529" w:type="dxa"/>
                  <w:vMerge w:val="continue"/>
                  <w:vAlign w:val="center"/>
                </w:tcPr>
                <w:p w14:paraId="1D5E54A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Merge w:val="continue"/>
                  <w:vAlign w:val="center"/>
                </w:tcPr>
                <w:p w14:paraId="570B88D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Align w:val="center"/>
                </w:tcPr>
                <w:p w14:paraId="3A75B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桶装</w:t>
                  </w:r>
                </w:p>
              </w:tc>
              <w:tc>
                <w:tcPr>
                  <w:tcW w:w="863" w:type="dxa"/>
                  <w:vMerge w:val="continue"/>
                  <w:vAlign w:val="center"/>
                </w:tcPr>
                <w:p w14:paraId="4EF39F4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3FBBB8E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r>
            <w:tr w14:paraId="0841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FD195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16" w:type="dxa"/>
                  <w:vMerge w:val="continue"/>
                  <w:vAlign w:val="center"/>
                </w:tcPr>
                <w:p w14:paraId="61274A4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1453" w:type="dxa"/>
                  <w:vAlign w:val="center"/>
                </w:tcPr>
                <w:p w14:paraId="1EEBE8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含油废包装桶</w:t>
                  </w:r>
                </w:p>
              </w:tc>
              <w:tc>
                <w:tcPr>
                  <w:tcW w:w="745" w:type="dxa"/>
                  <w:vAlign w:val="center"/>
                </w:tcPr>
                <w:p w14:paraId="11423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w:t>
                  </w:r>
                </w:p>
              </w:tc>
              <w:tc>
                <w:tcPr>
                  <w:tcW w:w="1317" w:type="dxa"/>
                  <w:vAlign w:val="center"/>
                </w:tcPr>
                <w:p w14:paraId="48A2BD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529" w:type="dxa"/>
                  <w:vMerge w:val="continue"/>
                  <w:vAlign w:val="center"/>
                </w:tcPr>
                <w:p w14:paraId="653192B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Merge w:val="continue"/>
                  <w:vAlign w:val="center"/>
                </w:tcPr>
                <w:p w14:paraId="57A838F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Align w:val="center"/>
                </w:tcPr>
                <w:p w14:paraId="05CE2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桶装</w:t>
                  </w:r>
                </w:p>
              </w:tc>
              <w:tc>
                <w:tcPr>
                  <w:tcW w:w="863" w:type="dxa"/>
                  <w:vMerge w:val="continue"/>
                  <w:vAlign w:val="center"/>
                </w:tcPr>
                <w:p w14:paraId="42E761C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3F89D0F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r>
            <w:tr w14:paraId="129D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EBA9E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716" w:type="dxa"/>
                  <w:vMerge w:val="continue"/>
                  <w:vAlign w:val="center"/>
                </w:tcPr>
                <w:p w14:paraId="27B033F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1453" w:type="dxa"/>
                  <w:vAlign w:val="center"/>
                </w:tcPr>
                <w:p w14:paraId="28745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废抹布、废手套和废棉布等废弃物</w:t>
                  </w:r>
                </w:p>
              </w:tc>
              <w:tc>
                <w:tcPr>
                  <w:tcW w:w="745" w:type="dxa"/>
                  <w:vAlign w:val="center"/>
                </w:tcPr>
                <w:p w14:paraId="62DB3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w:t>
                  </w:r>
                </w:p>
              </w:tc>
              <w:tc>
                <w:tcPr>
                  <w:tcW w:w="1317" w:type="dxa"/>
                  <w:vAlign w:val="center"/>
                </w:tcPr>
                <w:p w14:paraId="524D11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HW49</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900-041-49</w:t>
                  </w:r>
                </w:p>
              </w:tc>
              <w:tc>
                <w:tcPr>
                  <w:tcW w:w="529" w:type="dxa"/>
                  <w:vMerge w:val="continue"/>
                  <w:vAlign w:val="center"/>
                </w:tcPr>
                <w:p w14:paraId="0CBD60D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Merge w:val="continue"/>
                  <w:vAlign w:val="center"/>
                </w:tcPr>
                <w:p w14:paraId="3FD6EBB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3" w:type="dxa"/>
                  <w:vAlign w:val="center"/>
                </w:tcPr>
                <w:p w14:paraId="3AB27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桶装</w:t>
                  </w:r>
                </w:p>
              </w:tc>
              <w:tc>
                <w:tcPr>
                  <w:tcW w:w="863" w:type="dxa"/>
                  <w:vMerge w:val="continue"/>
                  <w:vAlign w:val="center"/>
                </w:tcPr>
                <w:p w14:paraId="476048A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c>
                <w:tcPr>
                  <w:tcW w:w="864" w:type="dxa"/>
                  <w:vMerge w:val="continue"/>
                  <w:vAlign w:val="center"/>
                </w:tcPr>
                <w:p w14:paraId="4ACE77D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eastAsia="zh-CN"/>
                    </w:rPr>
                  </w:pPr>
                </w:p>
              </w:tc>
            </w:tr>
          </w:tbl>
          <w:p w14:paraId="4C57B441">
            <w:pPr>
              <w:pStyle w:val="109"/>
              <w:keepNext w:val="0"/>
              <w:keepLines w:val="0"/>
              <w:suppressLineNumbers w:val="0"/>
              <w:spacing w:before="157" w:beforeLines="50" w:beforeAutospacing="0" w:after="0" w:afterAutospacing="0"/>
              <w:ind w:left="0" w:right="0" w:firstLine="482"/>
              <w:rPr>
                <w:rFonts w:hint="default"/>
                <w:b/>
                <w:bCs/>
                <w:color w:val="auto"/>
                <w:u w:val="none"/>
              </w:rPr>
            </w:pPr>
            <w:r>
              <w:rPr>
                <w:rFonts w:hint="default"/>
                <w:b/>
                <w:bCs/>
                <w:color w:val="auto"/>
                <w:u w:val="none"/>
                <w:lang w:val="en-US"/>
              </w:rPr>
              <w:t>5</w:t>
            </w:r>
            <w:r>
              <w:rPr>
                <w:rFonts w:hint="default"/>
                <w:b/>
                <w:bCs/>
                <w:color w:val="auto"/>
                <w:u w:val="none"/>
              </w:rPr>
              <w:t>、地下水、土壤</w:t>
            </w:r>
          </w:p>
          <w:p w14:paraId="3F63986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u w:val="none"/>
                <w:lang w:eastAsia="zh-CN"/>
              </w:rPr>
            </w:pPr>
            <w:r>
              <w:rPr>
                <w:rFonts w:hint="eastAsia" w:ascii="Times New Roman" w:hAnsi="Times New Roman" w:eastAsia="宋体" w:cs="Times New Roman"/>
                <w:color w:val="auto"/>
                <w:sz w:val="24"/>
                <w:u w:val="none"/>
                <w:lang w:eastAsia="zh-CN"/>
              </w:rPr>
              <w:t>项目方应对生活污水处理设施、液体原辅材料存放区、危废暂存区、一般固废暂存区等构筑物落实防渗、防腐措施，降低项目对地下水环境的影响。为防止项目运营期间产生的污染物以及含污介质的下渗对厂区地下水造成污染，应从原料产品的储存、装卸、运输、生产、污染处理措施等各个环节和过程进行有效控制，避免污染物泄/渗漏，同时对可能会泄露到地表的区域采取一定的防渗措施。从而从源头到末端全方位采取有效控制措施。</w:t>
            </w:r>
          </w:p>
          <w:p w14:paraId="6E60B07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z w:val="24"/>
                <w:u w:val="none"/>
                <w:lang w:val="en-US" w:eastAsia="zh-CN"/>
              </w:rPr>
            </w:pPr>
            <w:r>
              <w:rPr>
                <w:rFonts w:hint="eastAsia" w:ascii="Times New Roman" w:hAnsi="Times New Roman" w:eastAsia="宋体" w:cs="Times New Roman"/>
                <w:sz w:val="24"/>
                <w:u w:val="none"/>
                <w:lang w:val="en-US" w:eastAsia="zh-CN"/>
              </w:rPr>
              <w:t>根据本项目特点，防渗区域划分及防渗要求见下表。</w:t>
            </w:r>
          </w:p>
          <w:p w14:paraId="4C6AABD6">
            <w:pPr>
              <w:keepNext w:val="0"/>
              <w:keepLines w:val="0"/>
              <w:widowControl/>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z w:val="24"/>
                <w:u w:val="none"/>
                <w:lang w:val="en-US" w:eastAsia="zh-CN"/>
              </w:rPr>
            </w:pPr>
            <w:r>
              <w:rPr>
                <w:rFonts w:hint="default" w:ascii="Times New Roman" w:hAnsi="Times New Roman" w:eastAsia="宋体" w:cs="Times New Roman"/>
                <w:b/>
                <w:bCs/>
                <w:color w:val="auto"/>
                <w:sz w:val="21"/>
                <w:szCs w:val="21"/>
                <w:u w:val="none"/>
              </w:rPr>
              <w:t>表4-</w:t>
            </w:r>
            <w:r>
              <w:rPr>
                <w:rFonts w:hint="eastAsia" w:ascii="Times New Roman" w:hAnsi="Times New Roman" w:eastAsia="宋体" w:cs="Times New Roman"/>
                <w:b/>
                <w:bCs/>
                <w:color w:val="auto"/>
                <w:sz w:val="21"/>
                <w:szCs w:val="21"/>
                <w:u w:val="none"/>
                <w:lang w:val="en-US" w:eastAsia="zh-CN"/>
              </w:rPr>
              <w:t>16</w:t>
            </w:r>
            <w:r>
              <w:rPr>
                <w:rFonts w:hint="default" w:ascii="Times New Roman" w:hAnsi="Times New Roman" w:eastAsia="宋体" w:cs="Times New Roman"/>
                <w:b/>
                <w:bCs/>
                <w:color w:val="auto"/>
                <w:sz w:val="21"/>
                <w:szCs w:val="21"/>
                <w:u w:val="none"/>
              </w:rPr>
              <w:t xml:space="preserve">  </w:t>
            </w:r>
            <w:r>
              <w:rPr>
                <w:rFonts w:hint="eastAsia" w:ascii="Times New Roman" w:hAnsi="Times New Roman" w:eastAsia="宋体" w:cs="Times New Roman"/>
                <w:b/>
                <w:bCs/>
                <w:color w:val="auto"/>
                <w:sz w:val="21"/>
                <w:szCs w:val="21"/>
                <w:u w:val="none"/>
                <w:lang w:val="en-US" w:eastAsia="zh-CN"/>
              </w:rPr>
              <w:t>污染防渗区划汇总表</w:t>
            </w:r>
          </w:p>
          <w:tbl>
            <w:tblPr>
              <w:tblStyle w:val="25"/>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2544"/>
              <w:gridCol w:w="872"/>
              <w:gridCol w:w="3775"/>
            </w:tblGrid>
            <w:tr w14:paraId="3688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Borders>
                    <w:tl2br w:val="nil"/>
                    <w:tr2bl w:val="nil"/>
                  </w:tcBorders>
                  <w:noWrap w:val="0"/>
                  <w:vAlign w:val="center"/>
                </w:tcPr>
                <w:p w14:paraId="2702853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color w:val="auto"/>
                      <w:kern w:val="2"/>
                      <w:sz w:val="21"/>
                      <w:szCs w:val="21"/>
                      <w:u w:val="none"/>
                      <w:lang w:val="en-US" w:eastAsia="zh-CN" w:bidi="ar-SA"/>
                    </w:rPr>
                  </w:pPr>
                  <w:r>
                    <w:rPr>
                      <w:rFonts w:hint="eastAsia" w:ascii="Times New Roman" w:hAnsi="Times New Roman" w:eastAsia="宋体" w:cs="宋体"/>
                      <w:b/>
                      <w:color w:val="auto"/>
                      <w:kern w:val="2"/>
                      <w:sz w:val="21"/>
                      <w:szCs w:val="21"/>
                      <w:u w:val="none"/>
                      <w:lang w:val="en-US" w:eastAsia="zh-CN" w:bidi="ar-SA"/>
                    </w:rPr>
                    <w:t>分区类别</w:t>
                  </w:r>
                </w:p>
              </w:tc>
              <w:tc>
                <w:tcPr>
                  <w:tcW w:w="2544" w:type="dxa"/>
                  <w:tcBorders>
                    <w:tl2br w:val="nil"/>
                    <w:tr2bl w:val="nil"/>
                  </w:tcBorders>
                  <w:noWrap w:val="0"/>
                  <w:vAlign w:val="center"/>
                </w:tcPr>
                <w:p w14:paraId="3BE769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color w:val="auto"/>
                      <w:kern w:val="2"/>
                      <w:sz w:val="21"/>
                      <w:szCs w:val="21"/>
                      <w:u w:val="none"/>
                      <w:lang w:val="en-US" w:eastAsia="zh-CN" w:bidi="ar-SA"/>
                    </w:rPr>
                  </w:pPr>
                  <w:r>
                    <w:rPr>
                      <w:rFonts w:hint="eastAsia" w:ascii="Times New Roman" w:hAnsi="Times New Roman" w:eastAsia="宋体" w:cs="宋体"/>
                      <w:b/>
                      <w:color w:val="auto"/>
                      <w:kern w:val="2"/>
                      <w:sz w:val="21"/>
                      <w:szCs w:val="21"/>
                      <w:u w:val="none"/>
                      <w:lang w:val="en-US" w:eastAsia="zh-CN" w:bidi="ar-SA"/>
                    </w:rPr>
                    <w:t>分区举例</w:t>
                  </w:r>
                </w:p>
              </w:tc>
              <w:tc>
                <w:tcPr>
                  <w:tcW w:w="872" w:type="dxa"/>
                  <w:tcBorders>
                    <w:tl2br w:val="nil"/>
                    <w:tr2bl w:val="nil"/>
                  </w:tcBorders>
                  <w:noWrap w:val="0"/>
                  <w:vAlign w:val="center"/>
                </w:tcPr>
                <w:p w14:paraId="726D20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color w:val="auto"/>
                      <w:kern w:val="2"/>
                      <w:sz w:val="21"/>
                      <w:szCs w:val="21"/>
                      <w:u w:val="none"/>
                      <w:lang w:val="en-US" w:eastAsia="zh-CN" w:bidi="ar-SA"/>
                    </w:rPr>
                  </w:pPr>
                  <w:r>
                    <w:rPr>
                      <w:rFonts w:hint="eastAsia" w:ascii="Times New Roman" w:hAnsi="Times New Roman" w:eastAsia="宋体" w:cs="宋体"/>
                      <w:b/>
                      <w:color w:val="auto"/>
                      <w:kern w:val="2"/>
                      <w:sz w:val="21"/>
                      <w:szCs w:val="21"/>
                      <w:u w:val="none"/>
                      <w:lang w:val="en-US" w:eastAsia="zh-CN" w:bidi="ar-SA"/>
                    </w:rPr>
                    <w:t>防渗区域</w:t>
                  </w:r>
                </w:p>
              </w:tc>
              <w:tc>
                <w:tcPr>
                  <w:tcW w:w="3775" w:type="dxa"/>
                  <w:tcBorders>
                    <w:tl2br w:val="nil"/>
                    <w:tr2bl w:val="nil"/>
                  </w:tcBorders>
                  <w:noWrap w:val="0"/>
                  <w:vAlign w:val="center"/>
                </w:tcPr>
                <w:p w14:paraId="4055FD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color w:val="auto"/>
                      <w:kern w:val="2"/>
                      <w:sz w:val="21"/>
                      <w:szCs w:val="21"/>
                      <w:u w:val="none"/>
                      <w:lang w:val="en-US" w:eastAsia="zh-CN" w:bidi="ar-SA"/>
                    </w:rPr>
                  </w:pPr>
                  <w:r>
                    <w:rPr>
                      <w:rFonts w:hint="eastAsia" w:ascii="Times New Roman" w:hAnsi="Times New Roman" w:eastAsia="宋体" w:cs="宋体"/>
                      <w:b/>
                      <w:color w:val="auto"/>
                      <w:kern w:val="2"/>
                      <w:sz w:val="21"/>
                      <w:szCs w:val="21"/>
                      <w:u w:val="none"/>
                      <w:lang w:val="en-US" w:eastAsia="zh-CN" w:bidi="ar-SA"/>
                    </w:rPr>
                    <w:t>防渗要求</w:t>
                  </w:r>
                </w:p>
              </w:tc>
            </w:tr>
            <w:tr w14:paraId="2009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Borders>
                    <w:tl2br w:val="nil"/>
                    <w:tr2bl w:val="nil"/>
                  </w:tcBorders>
                  <w:noWrap w:val="0"/>
                  <w:vAlign w:val="center"/>
                </w:tcPr>
                <w:p w14:paraId="1A0DF40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简单防渗区</w:t>
                  </w:r>
                </w:p>
              </w:tc>
              <w:tc>
                <w:tcPr>
                  <w:tcW w:w="2544" w:type="dxa"/>
                  <w:tcBorders>
                    <w:tl2br w:val="nil"/>
                    <w:tr2bl w:val="nil"/>
                  </w:tcBorders>
                  <w:noWrap w:val="0"/>
                  <w:vAlign w:val="center"/>
                </w:tcPr>
                <w:p w14:paraId="314E00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厂前道路、生活区</w:t>
                  </w:r>
                </w:p>
              </w:tc>
              <w:tc>
                <w:tcPr>
                  <w:tcW w:w="872" w:type="dxa"/>
                  <w:tcBorders>
                    <w:tl2br w:val="nil"/>
                    <w:tr2bl w:val="nil"/>
                  </w:tcBorders>
                  <w:noWrap w:val="0"/>
                  <w:vAlign w:val="center"/>
                </w:tcPr>
                <w:p w14:paraId="7EFA8B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地面</w:t>
                  </w:r>
                </w:p>
              </w:tc>
              <w:tc>
                <w:tcPr>
                  <w:tcW w:w="3775" w:type="dxa"/>
                  <w:tcBorders>
                    <w:tl2br w:val="nil"/>
                    <w:tr2bl w:val="nil"/>
                  </w:tcBorders>
                  <w:noWrap w:val="0"/>
                  <w:vAlign w:val="center"/>
                </w:tcPr>
                <w:p w14:paraId="008A86B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一般地面硬化</w:t>
                  </w:r>
                </w:p>
              </w:tc>
            </w:tr>
            <w:tr w14:paraId="25DA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Borders>
                    <w:tl2br w:val="nil"/>
                    <w:tr2bl w:val="nil"/>
                  </w:tcBorders>
                  <w:noWrap w:val="0"/>
                  <w:vAlign w:val="center"/>
                </w:tcPr>
                <w:p w14:paraId="49D004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一般防渗区</w:t>
                  </w:r>
                </w:p>
              </w:tc>
              <w:tc>
                <w:tcPr>
                  <w:tcW w:w="2544" w:type="dxa"/>
                  <w:tcBorders>
                    <w:tl2br w:val="nil"/>
                    <w:tr2bl w:val="nil"/>
                  </w:tcBorders>
                  <w:noWrap w:val="0"/>
                  <w:vAlign w:val="center"/>
                </w:tcPr>
                <w:p w14:paraId="2760334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rightChars="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生产车间、一般固废间</w:t>
                  </w:r>
                </w:p>
              </w:tc>
              <w:tc>
                <w:tcPr>
                  <w:tcW w:w="872" w:type="dxa"/>
                  <w:tcBorders>
                    <w:tl2br w:val="nil"/>
                    <w:tr2bl w:val="nil"/>
                  </w:tcBorders>
                  <w:noWrap w:val="0"/>
                  <w:vAlign w:val="center"/>
                </w:tcPr>
                <w:p w14:paraId="59CFE9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rightChars="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管网</w:t>
                  </w:r>
                </w:p>
              </w:tc>
              <w:tc>
                <w:tcPr>
                  <w:tcW w:w="3775" w:type="dxa"/>
                  <w:tcBorders>
                    <w:tl2br w:val="nil"/>
                    <w:tr2bl w:val="nil"/>
                  </w:tcBorders>
                  <w:noWrap w:val="0"/>
                  <w:vAlign w:val="center"/>
                </w:tcPr>
                <w:p w14:paraId="4EAAD6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等效粘土防渗层Mb≥1.5m，渗透系数K≤10</w:t>
                  </w:r>
                  <w:r>
                    <w:rPr>
                      <w:rFonts w:hint="eastAsia" w:ascii="Times New Roman" w:hAnsi="Times New Roman" w:eastAsia="宋体" w:cs="宋体"/>
                      <w:b w:val="0"/>
                      <w:bCs/>
                      <w:color w:val="auto"/>
                      <w:kern w:val="2"/>
                      <w:sz w:val="21"/>
                      <w:szCs w:val="21"/>
                      <w:u w:val="none"/>
                      <w:vertAlign w:val="superscript"/>
                      <w:lang w:val="en-US" w:eastAsia="zh-CN" w:bidi="ar-SA"/>
                    </w:rPr>
                    <w:t>-7</w:t>
                  </w:r>
                  <w:r>
                    <w:rPr>
                      <w:rFonts w:hint="eastAsia" w:ascii="Times New Roman" w:hAnsi="Times New Roman" w:eastAsia="宋体" w:cs="宋体"/>
                      <w:b w:val="0"/>
                      <w:bCs/>
                      <w:color w:val="auto"/>
                      <w:kern w:val="2"/>
                      <w:sz w:val="21"/>
                      <w:szCs w:val="21"/>
                      <w:u w:val="none"/>
                      <w:lang w:val="en-US" w:eastAsia="zh-CN" w:bidi="ar-SA"/>
                    </w:rPr>
                    <w:t>cm/s，或参照 GB16889-2008 执行</w:t>
                  </w:r>
                </w:p>
              </w:tc>
            </w:tr>
            <w:tr w14:paraId="2456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restart"/>
                  <w:tcBorders>
                    <w:tl2br w:val="nil"/>
                    <w:tr2bl w:val="nil"/>
                  </w:tcBorders>
                  <w:noWrap w:val="0"/>
                  <w:vAlign w:val="center"/>
                </w:tcPr>
                <w:p w14:paraId="0A74AF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重点防渗区</w:t>
                  </w:r>
                </w:p>
              </w:tc>
              <w:tc>
                <w:tcPr>
                  <w:tcW w:w="2544" w:type="dxa"/>
                  <w:tcBorders>
                    <w:tl2br w:val="nil"/>
                    <w:tr2bl w:val="nil"/>
                  </w:tcBorders>
                  <w:noWrap w:val="0"/>
                  <w:vAlign w:val="center"/>
                </w:tcPr>
                <w:p w14:paraId="1017609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cs="宋体"/>
                      <w:b w:val="0"/>
                      <w:bCs/>
                      <w:color w:val="auto"/>
                      <w:kern w:val="2"/>
                      <w:sz w:val="21"/>
                      <w:szCs w:val="21"/>
                      <w:u w:val="none"/>
                      <w:lang w:val="en-US" w:eastAsia="zh-CN" w:bidi="ar-SA"/>
                    </w:rPr>
                    <w:t>四格净化池</w:t>
                  </w:r>
                  <w:r>
                    <w:rPr>
                      <w:rFonts w:hint="eastAsia" w:ascii="Times New Roman" w:hAnsi="Times New Roman" w:eastAsia="宋体" w:cs="宋体"/>
                      <w:b w:val="0"/>
                      <w:bCs/>
                      <w:color w:val="auto"/>
                      <w:kern w:val="2"/>
                      <w:sz w:val="21"/>
                      <w:szCs w:val="21"/>
                      <w:u w:val="none"/>
                      <w:lang w:val="en-US" w:eastAsia="zh-CN" w:bidi="ar-SA"/>
                    </w:rPr>
                    <w:t>体及管网</w:t>
                  </w:r>
                </w:p>
              </w:tc>
              <w:tc>
                <w:tcPr>
                  <w:tcW w:w="872" w:type="dxa"/>
                  <w:vMerge w:val="restart"/>
                  <w:tcBorders>
                    <w:tl2br w:val="nil"/>
                    <w:tr2bl w:val="nil"/>
                  </w:tcBorders>
                  <w:noWrap w:val="0"/>
                  <w:vAlign w:val="center"/>
                </w:tcPr>
                <w:p w14:paraId="7CE2A6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地面</w:t>
                  </w:r>
                </w:p>
              </w:tc>
              <w:tc>
                <w:tcPr>
                  <w:tcW w:w="3775" w:type="dxa"/>
                  <w:vMerge w:val="restart"/>
                  <w:tcBorders>
                    <w:tl2br w:val="nil"/>
                    <w:tr2bl w:val="nil"/>
                  </w:tcBorders>
                  <w:noWrap w:val="0"/>
                  <w:vAlign w:val="center"/>
                </w:tcPr>
                <w:p w14:paraId="2E5171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等效粘土防渗层Mb≥6.0m，渗透系数K≤10</w:t>
                  </w:r>
                  <w:r>
                    <w:rPr>
                      <w:rFonts w:hint="eastAsia" w:ascii="Times New Roman" w:hAnsi="Times New Roman" w:eastAsia="宋体" w:cs="宋体"/>
                      <w:b w:val="0"/>
                      <w:bCs/>
                      <w:color w:val="auto"/>
                      <w:kern w:val="2"/>
                      <w:sz w:val="21"/>
                      <w:szCs w:val="21"/>
                      <w:u w:val="none"/>
                      <w:vertAlign w:val="superscript"/>
                      <w:lang w:val="en-US" w:eastAsia="zh-CN" w:bidi="ar-SA"/>
                    </w:rPr>
                    <w:t>-7</w:t>
                  </w:r>
                  <w:r>
                    <w:rPr>
                      <w:rFonts w:hint="eastAsia" w:ascii="Times New Roman" w:hAnsi="Times New Roman" w:eastAsia="宋体" w:cs="宋体"/>
                      <w:b w:val="0"/>
                      <w:bCs/>
                      <w:color w:val="auto"/>
                      <w:kern w:val="2"/>
                      <w:sz w:val="21"/>
                      <w:szCs w:val="21"/>
                      <w:u w:val="none"/>
                      <w:lang w:val="en-US" w:eastAsia="zh-CN" w:bidi="ar-SA"/>
                    </w:rPr>
                    <w:t>cm/s，或参照 GB18598-2023 执行</w:t>
                  </w:r>
                </w:p>
              </w:tc>
            </w:tr>
            <w:tr w14:paraId="72D2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l2br w:val="nil"/>
                    <w:tr2bl w:val="nil"/>
                  </w:tcBorders>
                  <w:noWrap w:val="0"/>
                  <w:vAlign w:val="center"/>
                </w:tcPr>
                <w:p w14:paraId="7333C5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p>
              </w:tc>
              <w:tc>
                <w:tcPr>
                  <w:tcW w:w="2544" w:type="dxa"/>
                  <w:tcBorders>
                    <w:tl2br w:val="nil"/>
                    <w:tr2bl w:val="nil"/>
                  </w:tcBorders>
                  <w:noWrap w:val="0"/>
                  <w:vAlign w:val="center"/>
                </w:tcPr>
                <w:p w14:paraId="083BE7D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r>
                    <w:rPr>
                      <w:rFonts w:hint="eastAsia" w:ascii="Times New Roman" w:hAnsi="Times New Roman" w:eastAsia="宋体" w:cs="宋体"/>
                      <w:b w:val="0"/>
                      <w:bCs/>
                      <w:color w:val="auto"/>
                      <w:kern w:val="2"/>
                      <w:sz w:val="21"/>
                      <w:szCs w:val="21"/>
                      <w:u w:val="none"/>
                      <w:lang w:val="en-US" w:eastAsia="zh-CN" w:bidi="ar-SA"/>
                    </w:rPr>
                    <w:t>危废暂存间、树脂漆、油类物质储存仓库</w:t>
                  </w:r>
                </w:p>
              </w:tc>
              <w:tc>
                <w:tcPr>
                  <w:tcW w:w="872" w:type="dxa"/>
                  <w:vMerge w:val="continue"/>
                  <w:tcBorders>
                    <w:tl2br w:val="nil"/>
                    <w:tr2bl w:val="nil"/>
                  </w:tcBorders>
                  <w:noWrap w:val="0"/>
                  <w:vAlign w:val="center"/>
                </w:tcPr>
                <w:p w14:paraId="0562EC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p>
              </w:tc>
              <w:tc>
                <w:tcPr>
                  <w:tcW w:w="3775" w:type="dxa"/>
                  <w:vMerge w:val="continue"/>
                  <w:tcBorders>
                    <w:tl2br w:val="nil"/>
                    <w:tr2bl w:val="nil"/>
                  </w:tcBorders>
                  <w:noWrap w:val="0"/>
                  <w:vAlign w:val="center"/>
                </w:tcPr>
                <w:p w14:paraId="6166D7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60" w:lineRule="auto"/>
                    <w:ind w:left="0" w:right="0"/>
                    <w:jc w:val="center"/>
                    <w:textAlignment w:val="auto"/>
                    <w:rPr>
                      <w:rFonts w:hint="default" w:ascii="Times New Roman" w:hAnsi="Times New Roman" w:eastAsia="宋体" w:cs="宋体"/>
                      <w:b w:val="0"/>
                      <w:bCs/>
                      <w:color w:val="auto"/>
                      <w:kern w:val="2"/>
                      <w:sz w:val="21"/>
                      <w:szCs w:val="21"/>
                      <w:u w:val="none"/>
                      <w:lang w:val="en-US" w:eastAsia="zh-CN" w:bidi="ar-SA"/>
                    </w:rPr>
                  </w:pPr>
                </w:p>
              </w:tc>
            </w:tr>
          </w:tbl>
          <w:p w14:paraId="18F36B6B">
            <w:pPr>
              <w:pStyle w:val="109"/>
              <w:keepNext w:val="0"/>
              <w:keepLines w:val="0"/>
              <w:suppressLineNumbers w:val="0"/>
              <w:adjustRightInd/>
              <w:snapToGrid/>
              <w:spacing w:before="0" w:beforeLines="0" w:beforeAutospacing="0" w:after="0" w:afterAutospacing="0"/>
              <w:ind w:left="0" w:right="0" w:firstLine="482"/>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经采取上述措施后，项目生产运行对地下水、土壤不会造成大的影响。</w:t>
            </w:r>
          </w:p>
          <w:p w14:paraId="23FF9370">
            <w:pPr>
              <w:pStyle w:val="109"/>
              <w:keepNext w:val="0"/>
              <w:keepLines w:val="0"/>
              <w:suppressLineNumbers w:val="0"/>
              <w:adjustRightInd/>
              <w:snapToGrid/>
              <w:spacing w:before="0" w:beforeLines="0" w:beforeAutospacing="0" w:after="0" w:afterAutospacing="0"/>
              <w:ind w:left="0" w:right="0" w:firstLine="482"/>
              <w:rPr>
                <w:rFonts w:hint="default"/>
                <w:b/>
                <w:bCs/>
                <w:color w:val="auto"/>
                <w:u w:val="none"/>
              </w:rPr>
            </w:pPr>
            <w:r>
              <w:rPr>
                <w:rFonts w:hint="default"/>
                <w:b/>
                <w:bCs/>
                <w:color w:val="auto"/>
                <w:u w:val="none"/>
                <w:lang w:val="en-US"/>
              </w:rPr>
              <w:t>6</w:t>
            </w:r>
            <w:r>
              <w:rPr>
                <w:rFonts w:hint="default"/>
                <w:b/>
                <w:bCs/>
                <w:color w:val="auto"/>
                <w:u w:val="none"/>
              </w:rPr>
              <w:t>、生态</w:t>
            </w:r>
          </w:p>
          <w:p w14:paraId="25E531FA">
            <w:pPr>
              <w:pStyle w:val="109"/>
              <w:keepNext w:val="0"/>
              <w:keepLines w:val="0"/>
              <w:suppressLineNumbers w:val="0"/>
              <w:spacing w:before="0" w:beforeAutospacing="0" w:after="0" w:afterAutospacing="0"/>
              <w:ind w:left="0" w:right="0" w:firstLine="480"/>
              <w:rPr>
                <w:rFonts w:hint="default"/>
                <w:color w:val="auto"/>
                <w:u w:val="none"/>
              </w:rPr>
            </w:pPr>
            <w:r>
              <w:rPr>
                <w:rFonts w:hint="eastAsia"/>
                <w:color w:val="auto"/>
                <w:u w:val="none"/>
              </w:rPr>
              <w:t>项目位于株洲市</w:t>
            </w:r>
            <w:r>
              <w:rPr>
                <w:rFonts w:hint="eastAsia"/>
                <w:color w:val="auto"/>
                <w:u w:val="none"/>
                <w:lang w:eastAsia="zh-CN"/>
              </w:rPr>
              <w:t>浦口镇浦口村</w:t>
            </w:r>
            <w:r>
              <w:rPr>
                <w:rFonts w:hint="eastAsia"/>
                <w:color w:val="auto"/>
                <w:u w:val="none"/>
              </w:rPr>
              <w:t>，属于工业用地，项目选址</w:t>
            </w:r>
            <w:r>
              <w:rPr>
                <w:rFonts w:hint="eastAsia"/>
                <w:color w:val="auto"/>
                <w:u w:val="none"/>
                <w:lang w:val="en-US" w:eastAsia="zh-CN"/>
              </w:rPr>
              <w:t>现状已建设空厂房</w:t>
            </w:r>
            <w:r>
              <w:rPr>
                <w:rFonts w:hint="eastAsia"/>
                <w:color w:val="auto"/>
                <w:u w:val="none"/>
              </w:rPr>
              <w:t>，本项目影响区城内未发现珍稀动、植物，无森林和自然保护区、饮用水源保护区。综上，本项目的建设不会对周边生态环境产生不良影响。</w:t>
            </w:r>
          </w:p>
          <w:p w14:paraId="2C7E901F">
            <w:pPr>
              <w:pStyle w:val="88"/>
              <w:keepNext w:val="0"/>
              <w:keepLines w:val="0"/>
              <w:widowControl/>
              <w:suppressLineNumbers w:val="0"/>
              <w:spacing w:before="0" w:beforeAutospacing="0" w:after="0" w:afterAutospacing="0"/>
              <w:ind w:left="0" w:right="0" w:firstLine="482"/>
              <w:rPr>
                <w:rFonts w:hint="default"/>
                <w:b/>
                <w:bCs/>
                <w:color w:val="auto"/>
                <w:u w:val="none"/>
              </w:rPr>
            </w:pPr>
            <w:r>
              <w:rPr>
                <w:rFonts w:hint="default"/>
                <w:b/>
                <w:bCs/>
                <w:color w:val="auto"/>
                <w:u w:val="none"/>
                <w:lang w:val="en-US"/>
              </w:rPr>
              <w:t>7</w:t>
            </w:r>
            <w:r>
              <w:rPr>
                <w:rFonts w:hint="default"/>
                <w:b/>
                <w:bCs/>
                <w:color w:val="auto"/>
                <w:u w:val="none"/>
              </w:rPr>
              <w:t>、环境风险分析</w:t>
            </w:r>
          </w:p>
          <w:p w14:paraId="55D085D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u w:val="none"/>
              </w:rPr>
            </w:pPr>
            <w:r>
              <w:rPr>
                <w:rFonts w:hint="eastAsia" w:ascii="Times New Roman" w:hAnsi="Times New Roman" w:eastAsia="宋体" w:cs="Times New Roman"/>
                <w:sz w:val="24"/>
                <w:u w:val="none"/>
              </w:rPr>
              <w:t>根据《建设项目环境风险评价技术导则》（HJ</w:t>
            </w:r>
            <w:r>
              <w:rPr>
                <w:rFonts w:hint="eastAsia" w:cs="Times New Roman"/>
                <w:sz w:val="24"/>
                <w:u w:val="none"/>
                <w:lang w:val="en-US" w:eastAsia="zh-CN"/>
              </w:rPr>
              <w:t xml:space="preserve"> </w:t>
            </w:r>
            <w:r>
              <w:rPr>
                <w:rFonts w:hint="eastAsia" w:ascii="Times New Roman" w:hAnsi="Times New Roman" w:eastAsia="宋体" w:cs="Times New Roman"/>
                <w:sz w:val="24"/>
                <w:u w:val="none"/>
              </w:rPr>
              <w:t>169-2018）附录B中表B.1和表B.2中的环境风险物质，本项目列入附录B.1的物质为</w:t>
            </w:r>
            <w:r>
              <w:rPr>
                <w:rFonts w:hint="eastAsia" w:cs="Times New Roman"/>
                <w:sz w:val="24"/>
                <w:u w:val="none"/>
                <w:lang w:val="en-US" w:eastAsia="zh-CN"/>
              </w:rPr>
              <w:t>润滑油、黄油</w:t>
            </w:r>
            <w:r>
              <w:rPr>
                <w:rFonts w:hint="eastAsia" w:ascii="Times New Roman" w:hAnsi="Times New Roman" w:eastAsia="宋体" w:cs="Times New Roman"/>
                <w:sz w:val="24"/>
                <w:u w:val="none"/>
              </w:rPr>
              <w:t>。</w:t>
            </w:r>
          </w:p>
          <w:p w14:paraId="1ACCFBF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计算所涉及的每种危险物质在厂界内的最大存在量与其在《建设项目环境风险评价技术导则》（</w:t>
            </w:r>
            <w:r>
              <w:rPr>
                <w:rFonts w:hint="default" w:ascii="Times New Roman" w:hAnsi="Times New Roman" w:eastAsia="宋体" w:cs="Times New Roman"/>
                <w:sz w:val="24"/>
                <w:u w:val="none"/>
              </w:rPr>
              <w:t>HJ169-2018</w:t>
            </w:r>
            <w:r>
              <w:rPr>
                <w:rFonts w:hint="default" w:ascii="宋体" w:hAnsi="宋体" w:eastAsia="宋体" w:cs="Times New Roman"/>
                <w:sz w:val="24"/>
                <w:u w:val="none"/>
              </w:rPr>
              <w:t>）附录</w:t>
            </w:r>
            <w:r>
              <w:rPr>
                <w:rFonts w:hint="default" w:ascii="Times New Roman" w:hAnsi="Times New Roman" w:eastAsia="宋体" w:cs="Times New Roman"/>
                <w:sz w:val="24"/>
                <w:u w:val="none"/>
              </w:rPr>
              <w:t>B</w:t>
            </w:r>
            <w:r>
              <w:rPr>
                <w:rFonts w:hint="default" w:ascii="宋体" w:hAnsi="宋体" w:eastAsia="宋体" w:cs="Times New Roman"/>
                <w:sz w:val="24"/>
                <w:u w:val="none"/>
              </w:rPr>
              <w:t>中对应临界量的比值</w:t>
            </w:r>
            <w:r>
              <w:rPr>
                <w:rFonts w:hint="default" w:ascii="Times New Roman" w:hAnsi="Times New Roman" w:eastAsia="宋体" w:cs="Times New Roman"/>
                <w:sz w:val="24"/>
                <w:u w:val="none"/>
              </w:rPr>
              <w:t>Q</w:t>
            </w:r>
            <w:r>
              <w:rPr>
                <w:rFonts w:hint="default" w:ascii="宋体" w:hAnsi="宋体" w:eastAsia="宋体" w:cs="Times New Roman"/>
                <w:sz w:val="24"/>
                <w:u w:val="none"/>
              </w:rPr>
              <w:t>。</w:t>
            </w:r>
          </w:p>
          <w:p w14:paraId="7B6F7FB3">
            <w:pPr>
              <w:keepNext/>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当只涉及一种危险物质时，计算该物质的总量与其临界量比值，即为</w:t>
            </w:r>
            <w:r>
              <w:rPr>
                <w:rFonts w:hint="default" w:ascii="Times New Roman" w:hAnsi="Times New Roman" w:eastAsia="宋体" w:cs="Times New Roman"/>
                <w:sz w:val="24"/>
                <w:u w:val="none"/>
              </w:rPr>
              <w:t>Q</w:t>
            </w:r>
            <w:r>
              <w:rPr>
                <w:rFonts w:hint="default" w:ascii="宋体" w:hAnsi="宋体" w:eastAsia="宋体" w:cs="Times New Roman"/>
                <w:sz w:val="24"/>
                <w:u w:val="none"/>
              </w:rPr>
              <w:t>；</w:t>
            </w:r>
          </w:p>
          <w:p w14:paraId="6E374CDA">
            <w:pPr>
              <w:keepNext/>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当存在的多种危险物质时，则按下</w:t>
            </w:r>
            <w:r>
              <w:rPr>
                <w:rFonts w:hint="default" w:ascii="Times New Roman" w:hAnsi="Times New Roman" w:eastAsia="宋体" w:cs="Times New Roman"/>
                <w:sz w:val="24"/>
                <w:u w:val="none"/>
              </w:rPr>
              <w:t>式计算物质总量与其临界量比值Q；</w:t>
            </w:r>
          </w:p>
          <w:p w14:paraId="35F31C5C">
            <w:pPr>
              <w:keepNext/>
              <w:keepLines w:val="0"/>
              <w:suppressLineNumbers w:val="0"/>
              <w:adjustRightInd/>
              <w:snapToGrid w:val="0"/>
              <w:spacing w:before="0" w:beforeLines="-2147483648" w:beforeAutospacing="0" w:after="0" w:afterAutospacing="0" w:line="360" w:lineRule="auto"/>
              <w:ind w:left="0" w:right="0" w:firstLine="480" w:firstLineChars="200"/>
              <w:jc w:val="center"/>
              <w:rPr>
                <w:rFonts w:hint="default" w:ascii="Times New Roman" w:hAnsi="Times New Roman" w:cs="Times New Roman"/>
                <w:sz w:val="24"/>
                <w:u w:val="none"/>
              </w:rPr>
            </w:pPr>
            <w:r>
              <w:rPr>
                <w:rFonts w:hint="default" w:ascii="Times New Roman" w:hAnsi="Times New Roman" w:cs="Times New Roman"/>
                <w:sz w:val="24"/>
                <w:u w:val="none"/>
              </w:rPr>
              <w:t>Q=q</w:t>
            </w:r>
            <w:r>
              <w:rPr>
                <w:rFonts w:hint="default" w:ascii="Times New Roman" w:hAnsi="Times New Roman" w:cs="Times New Roman"/>
                <w:sz w:val="24"/>
                <w:u w:val="none"/>
                <w:vertAlign w:val="baseline"/>
              </w:rPr>
              <w:t>1</w:t>
            </w:r>
            <w:r>
              <w:rPr>
                <w:rFonts w:hint="default" w:ascii="Times New Roman" w:hAnsi="Times New Roman" w:cs="Times New Roman"/>
                <w:sz w:val="24"/>
                <w:u w:val="none"/>
              </w:rPr>
              <w:t>/Q</w:t>
            </w:r>
            <w:r>
              <w:rPr>
                <w:rFonts w:hint="default" w:ascii="Times New Roman" w:hAnsi="Times New Roman" w:cs="Times New Roman"/>
                <w:sz w:val="24"/>
                <w:u w:val="none"/>
                <w:vertAlign w:val="baseline"/>
              </w:rPr>
              <w:t>1</w:t>
            </w:r>
            <w:r>
              <w:rPr>
                <w:rFonts w:hint="default" w:ascii="Times New Roman" w:hAnsi="Times New Roman" w:cs="Times New Roman"/>
                <w:sz w:val="24"/>
                <w:u w:val="none"/>
              </w:rPr>
              <w:t>+q</w:t>
            </w:r>
            <w:r>
              <w:rPr>
                <w:rFonts w:hint="default" w:ascii="Times New Roman" w:hAnsi="Times New Roman" w:cs="Times New Roman"/>
                <w:sz w:val="24"/>
                <w:u w:val="none"/>
                <w:vertAlign w:val="baseline"/>
              </w:rPr>
              <w:t>2</w:t>
            </w:r>
            <w:r>
              <w:rPr>
                <w:rFonts w:hint="default" w:ascii="Times New Roman" w:hAnsi="Times New Roman" w:cs="Times New Roman"/>
                <w:sz w:val="24"/>
                <w:u w:val="none"/>
              </w:rPr>
              <w:t>/Q</w:t>
            </w:r>
            <w:r>
              <w:rPr>
                <w:rFonts w:hint="default" w:ascii="Times New Roman" w:hAnsi="Times New Roman" w:cs="Times New Roman"/>
                <w:sz w:val="24"/>
                <w:u w:val="none"/>
                <w:vertAlign w:val="baseline"/>
              </w:rPr>
              <w:t>2</w:t>
            </w:r>
            <w:r>
              <w:rPr>
                <w:rFonts w:hint="default" w:ascii="Times New Roman" w:hAnsi="Times New Roman" w:cs="Times New Roman"/>
                <w:sz w:val="24"/>
                <w:u w:val="none"/>
              </w:rPr>
              <w:t>......+q</w:t>
            </w:r>
            <w:r>
              <w:rPr>
                <w:rFonts w:hint="default" w:ascii="Times New Roman" w:hAnsi="Times New Roman" w:cs="Times New Roman"/>
                <w:sz w:val="24"/>
                <w:u w:val="none"/>
                <w:vertAlign w:val="baseline"/>
              </w:rPr>
              <w:t>n</w:t>
            </w:r>
            <w:r>
              <w:rPr>
                <w:rFonts w:hint="default" w:ascii="Times New Roman" w:hAnsi="Times New Roman" w:cs="Times New Roman"/>
                <w:sz w:val="24"/>
                <w:u w:val="none"/>
              </w:rPr>
              <w:t>/Q</w:t>
            </w:r>
            <w:r>
              <w:rPr>
                <w:rFonts w:hint="default" w:ascii="Times New Roman" w:hAnsi="Times New Roman" w:eastAsia="宋体" w:cs="Times New Roman"/>
                <w:sz w:val="24"/>
                <w:u w:val="none"/>
                <w:vertAlign w:val="baseline"/>
                <w:lang w:val="en-US" w:eastAsia="zh-CN"/>
              </w:rPr>
              <w:t>n</w:t>
            </w:r>
            <w:r>
              <w:rPr>
                <w:rFonts w:hint="default" w:ascii="Times New Roman" w:hAnsi="Times New Roman" w:cs="Times New Roman"/>
                <w:sz w:val="24"/>
                <w:u w:val="none"/>
              </w:rPr>
              <w:t>≥1</w:t>
            </w:r>
          </w:p>
          <w:p w14:paraId="705E1026">
            <w:pPr>
              <w:keepNext/>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Times New Roman" w:hAnsi="Times New Roman" w:eastAsia="宋体" w:cs="Times New Roman"/>
                <w:sz w:val="24"/>
                <w:u w:val="none"/>
              </w:rPr>
              <w:t>式中：q</w:t>
            </w:r>
            <w:r>
              <w:rPr>
                <w:rFonts w:hint="default" w:ascii="Times New Roman" w:hAnsi="Times New Roman" w:eastAsia="宋体" w:cs="Times New Roman"/>
                <w:sz w:val="24"/>
                <w:u w:val="none"/>
                <w:vertAlign w:val="subscript"/>
              </w:rPr>
              <w:t>1</w:t>
            </w: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2</w:t>
            </w: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n</w:t>
            </w:r>
            <w:r>
              <w:rPr>
                <w:rFonts w:hint="default" w:ascii="Times New Roman" w:hAnsi="Times New Roman" w:eastAsia="宋体" w:cs="Times New Roman"/>
                <w:sz w:val="24"/>
                <w:u w:val="none"/>
              </w:rPr>
              <w:t xml:space="preserve"> ——每种危险物质最大存在量，t；</w:t>
            </w:r>
          </w:p>
          <w:p w14:paraId="1ABF9B61">
            <w:pPr>
              <w:keepNext/>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1</w:t>
            </w: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2</w:t>
            </w:r>
            <w:r>
              <w:rPr>
                <w:rFonts w:hint="default" w:ascii="Times New Roman" w:hAnsi="Times New Roman" w:eastAsia="宋体" w:cs="Times New Roman"/>
                <w:sz w:val="24"/>
                <w:u w:val="none"/>
              </w:rPr>
              <w:t>……Q</w:t>
            </w:r>
            <w:r>
              <w:rPr>
                <w:rFonts w:hint="default" w:ascii="Times New Roman" w:hAnsi="Times New Roman" w:eastAsia="宋体" w:cs="Times New Roman"/>
                <w:sz w:val="24"/>
                <w:u w:val="none"/>
                <w:vertAlign w:val="subscript"/>
              </w:rPr>
              <w:t>n</w:t>
            </w:r>
            <w:r>
              <w:rPr>
                <w:rFonts w:hint="default" w:ascii="Times New Roman" w:hAnsi="Times New Roman" w:eastAsia="宋体" w:cs="Times New Roman"/>
                <w:sz w:val="24"/>
                <w:u w:val="none"/>
              </w:rPr>
              <w:t xml:space="preserve"> ——每种危险物的临</w:t>
            </w:r>
            <w:r>
              <w:rPr>
                <w:rFonts w:hint="default" w:ascii="宋体" w:hAnsi="宋体" w:eastAsia="宋体" w:cs="Times New Roman"/>
                <w:sz w:val="24"/>
                <w:u w:val="none"/>
              </w:rPr>
              <w:t>界量，</w:t>
            </w:r>
            <w:r>
              <w:rPr>
                <w:rFonts w:hint="default" w:ascii="Times New Roman" w:hAnsi="Times New Roman" w:eastAsia="宋体" w:cs="Times New Roman"/>
                <w:sz w:val="24"/>
                <w:u w:val="none"/>
              </w:rPr>
              <w:t>t</w:t>
            </w:r>
            <w:r>
              <w:rPr>
                <w:rFonts w:hint="default" w:ascii="宋体" w:hAnsi="宋体" w:eastAsia="宋体" w:cs="Times New Roman"/>
                <w:sz w:val="24"/>
                <w:u w:val="none"/>
              </w:rPr>
              <w:t>。</w:t>
            </w:r>
          </w:p>
          <w:p w14:paraId="313E5C67">
            <w:pPr>
              <w:keepNext/>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当</w:t>
            </w:r>
            <w:r>
              <w:rPr>
                <w:rFonts w:hint="default" w:ascii="Times New Roman" w:hAnsi="Times New Roman" w:eastAsia="宋体" w:cs="Times New Roman"/>
                <w:sz w:val="24"/>
                <w:u w:val="none"/>
              </w:rPr>
              <w:t>Q</w:t>
            </w:r>
            <w:r>
              <w:rPr>
                <w:rFonts w:hint="default" w:ascii="宋体" w:hAnsi="宋体" w:eastAsia="宋体" w:cs="Times New Roman"/>
                <w:sz w:val="24"/>
                <w:u w:val="none"/>
              </w:rPr>
              <w:t>＜</w:t>
            </w:r>
            <w:r>
              <w:rPr>
                <w:rFonts w:hint="default" w:ascii="Times New Roman" w:hAnsi="Times New Roman" w:eastAsia="宋体" w:cs="Times New Roman"/>
                <w:sz w:val="24"/>
                <w:u w:val="none"/>
              </w:rPr>
              <w:t>1</w:t>
            </w:r>
            <w:r>
              <w:rPr>
                <w:rFonts w:hint="default" w:ascii="宋体" w:hAnsi="宋体" w:eastAsia="宋体" w:cs="Times New Roman"/>
                <w:sz w:val="24"/>
                <w:u w:val="none"/>
              </w:rPr>
              <w:t>时，该项目环境风险潜势为</w:t>
            </w:r>
            <w:r>
              <w:rPr>
                <w:rFonts w:hint="eastAsia" w:ascii="宋体" w:hAnsi="宋体" w:eastAsia="宋体" w:cs="宋体"/>
                <w:sz w:val="24"/>
                <w:u w:val="none"/>
              </w:rPr>
              <w:t>Ⅰ</w:t>
            </w:r>
            <w:r>
              <w:rPr>
                <w:rFonts w:hint="default" w:ascii="宋体" w:hAnsi="宋体" w:eastAsia="宋体" w:cs="Times New Roman"/>
                <w:sz w:val="24"/>
                <w:u w:val="none"/>
              </w:rPr>
              <w:t>。</w:t>
            </w:r>
          </w:p>
          <w:p w14:paraId="1A600B32">
            <w:pPr>
              <w:keepNext/>
              <w:keepLines/>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当</w:t>
            </w:r>
            <w:r>
              <w:rPr>
                <w:rFonts w:hint="default" w:ascii="Times New Roman" w:hAnsi="Times New Roman" w:eastAsia="宋体" w:cs="Times New Roman"/>
                <w:sz w:val="24"/>
                <w:u w:val="none"/>
              </w:rPr>
              <w:t>Q≥1</w:t>
            </w:r>
            <w:r>
              <w:rPr>
                <w:rFonts w:hint="default" w:ascii="宋体" w:hAnsi="宋体" w:eastAsia="宋体" w:cs="Times New Roman"/>
                <w:sz w:val="24"/>
                <w:u w:val="none"/>
              </w:rPr>
              <w:t>时，将</w:t>
            </w:r>
            <w:r>
              <w:rPr>
                <w:rFonts w:hint="default" w:ascii="Times New Roman" w:hAnsi="Times New Roman" w:eastAsia="宋体" w:cs="Times New Roman"/>
                <w:sz w:val="24"/>
                <w:u w:val="none"/>
              </w:rPr>
              <w:t>Q</w:t>
            </w:r>
            <w:r>
              <w:rPr>
                <w:rFonts w:hint="default" w:ascii="宋体" w:hAnsi="宋体" w:eastAsia="宋体" w:cs="Times New Roman"/>
                <w:sz w:val="24"/>
                <w:u w:val="none"/>
              </w:rPr>
              <w:t>值划分为（</w:t>
            </w:r>
            <w:r>
              <w:rPr>
                <w:rFonts w:hint="default" w:ascii="Times New Roman" w:hAnsi="Times New Roman" w:eastAsia="宋体" w:cs="Times New Roman"/>
                <w:sz w:val="24"/>
                <w:u w:val="none"/>
              </w:rPr>
              <w:t>1</w:t>
            </w:r>
            <w:r>
              <w:rPr>
                <w:rFonts w:hint="default" w:ascii="宋体" w:hAnsi="宋体" w:eastAsia="宋体" w:cs="Times New Roman"/>
                <w:sz w:val="24"/>
                <w:u w:val="none"/>
              </w:rPr>
              <w:t>）</w:t>
            </w:r>
            <w:r>
              <w:rPr>
                <w:rFonts w:hint="default" w:ascii="Times New Roman" w:hAnsi="Times New Roman" w:eastAsia="宋体" w:cs="Times New Roman"/>
                <w:sz w:val="24"/>
                <w:u w:val="none"/>
              </w:rPr>
              <w:t>1≤Q</w:t>
            </w:r>
            <w:r>
              <w:rPr>
                <w:rFonts w:hint="default" w:ascii="宋体" w:hAnsi="宋体" w:eastAsia="宋体" w:cs="Times New Roman"/>
                <w:sz w:val="24"/>
                <w:u w:val="none"/>
              </w:rPr>
              <w:t>＜</w:t>
            </w:r>
            <w:r>
              <w:rPr>
                <w:rFonts w:hint="default" w:ascii="Times New Roman" w:hAnsi="Times New Roman" w:eastAsia="宋体" w:cs="Times New Roman"/>
                <w:sz w:val="24"/>
                <w:u w:val="none"/>
              </w:rPr>
              <w:t>10</w:t>
            </w:r>
            <w:r>
              <w:rPr>
                <w:rFonts w:hint="default" w:ascii="宋体" w:hAnsi="宋体" w:eastAsia="宋体" w:cs="Times New Roman"/>
                <w:sz w:val="24"/>
                <w:u w:val="none"/>
              </w:rPr>
              <w:t>；（</w:t>
            </w:r>
            <w:r>
              <w:rPr>
                <w:rFonts w:hint="default" w:ascii="Times New Roman" w:hAnsi="Times New Roman" w:eastAsia="宋体" w:cs="Times New Roman"/>
                <w:sz w:val="24"/>
                <w:u w:val="none"/>
              </w:rPr>
              <w:t>2</w:t>
            </w:r>
            <w:r>
              <w:rPr>
                <w:rFonts w:hint="default" w:ascii="宋体" w:hAnsi="宋体" w:eastAsia="宋体" w:cs="Times New Roman"/>
                <w:sz w:val="24"/>
                <w:u w:val="none"/>
              </w:rPr>
              <w:t>）</w:t>
            </w:r>
            <w:r>
              <w:rPr>
                <w:rFonts w:hint="default" w:ascii="Times New Roman" w:hAnsi="Times New Roman" w:eastAsia="宋体" w:cs="Times New Roman"/>
                <w:sz w:val="24"/>
                <w:u w:val="none"/>
              </w:rPr>
              <w:t>10≤Q</w:t>
            </w:r>
            <w:r>
              <w:rPr>
                <w:rFonts w:hint="default" w:ascii="宋体" w:hAnsi="宋体" w:eastAsia="宋体" w:cs="Times New Roman"/>
                <w:sz w:val="24"/>
                <w:u w:val="none"/>
              </w:rPr>
              <w:t>＜</w:t>
            </w:r>
            <w:r>
              <w:rPr>
                <w:rFonts w:hint="default" w:ascii="Times New Roman" w:hAnsi="Times New Roman" w:eastAsia="宋体" w:cs="Times New Roman"/>
                <w:sz w:val="24"/>
                <w:u w:val="none"/>
              </w:rPr>
              <w:t>100</w:t>
            </w:r>
            <w:r>
              <w:rPr>
                <w:rFonts w:hint="default" w:ascii="宋体" w:hAnsi="宋体" w:eastAsia="宋体" w:cs="Times New Roman"/>
                <w:sz w:val="24"/>
                <w:u w:val="none"/>
              </w:rPr>
              <w:t>；（</w:t>
            </w:r>
            <w:r>
              <w:rPr>
                <w:rFonts w:hint="default" w:ascii="Times New Roman" w:hAnsi="Times New Roman" w:eastAsia="宋体" w:cs="Times New Roman"/>
                <w:sz w:val="24"/>
                <w:u w:val="none"/>
              </w:rPr>
              <w:t>3</w:t>
            </w:r>
            <w:r>
              <w:rPr>
                <w:rFonts w:hint="default" w:ascii="宋体" w:hAnsi="宋体" w:eastAsia="宋体" w:cs="Times New Roman"/>
                <w:sz w:val="24"/>
                <w:u w:val="none"/>
              </w:rPr>
              <w:t>）</w:t>
            </w:r>
            <w:r>
              <w:rPr>
                <w:rFonts w:hint="default" w:ascii="Times New Roman" w:hAnsi="Times New Roman" w:eastAsia="宋体" w:cs="Times New Roman"/>
                <w:sz w:val="24"/>
                <w:u w:val="none"/>
              </w:rPr>
              <w:t>Q≥100</w:t>
            </w:r>
          </w:p>
          <w:p w14:paraId="5BCF027B">
            <w:pPr>
              <w:keepNext/>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宋体" w:hAnsi="宋体" w:eastAsia="宋体" w:cs="Times New Roman"/>
                <w:sz w:val="24"/>
                <w:u w:val="none"/>
              </w:rPr>
              <w:t>根据《建设项目环境风险评价技术导则》（</w:t>
            </w:r>
            <w:r>
              <w:rPr>
                <w:rFonts w:hint="default" w:ascii="Times New Roman" w:hAnsi="Times New Roman" w:eastAsia="宋体" w:cs="Times New Roman"/>
                <w:sz w:val="24"/>
                <w:u w:val="none"/>
              </w:rPr>
              <w:t>HJ169-2018</w:t>
            </w:r>
            <w:r>
              <w:rPr>
                <w:rFonts w:hint="default" w:ascii="宋体" w:hAnsi="宋体" w:eastAsia="宋体" w:cs="Times New Roman"/>
                <w:sz w:val="24"/>
                <w:u w:val="none"/>
              </w:rPr>
              <w:t>）表</w:t>
            </w:r>
            <w:r>
              <w:rPr>
                <w:rFonts w:hint="default" w:ascii="Times New Roman" w:hAnsi="Times New Roman" w:eastAsia="宋体" w:cs="Times New Roman"/>
                <w:sz w:val="24"/>
                <w:u w:val="none"/>
              </w:rPr>
              <w:t>B.1</w:t>
            </w:r>
            <w:r>
              <w:rPr>
                <w:rFonts w:hint="default" w:ascii="宋体" w:hAnsi="宋体" w:eastAsia="宋体" w:cs="Times New Roman"/>
                <w:sz w:val="24"/>
                <w:u w:val="none"/>
              </w:rPr>
              <w:t>，临界值及企业最大存在量见</w:t>
            </w:r>
            <w:r>
              <w:rPr>
                <w:rFonts w:hint="eastAsia" w:ascii="宋体" w:hAnsi="宋体" w:cs="Times New Roman"/>
                <w:sz w:val="24"/>
                <w:u w:val="none"/>
                <w:lang w:val="en-US" w:eastAsia="zh-CN"/>
              </w:rPr>
              <w:t>下表</w:t>
            </w:r>
            <w:r>
              <w:rPr>
                <w:rFonts w:hint="default" w:ascii="宋体" w:hAnsi="宋体" w:eastAsia="宋体" w:cs="Times New Roman"/>
                <w:sz w:val="24"/>
                <w:u w:val="none"/>
              </w:rPr>
              <w:t>。</w:t>
            </w:r>
          </w:p>
          <w:p w14:paraId="40228AC7">
            <w:pPr>
              <w:keepNext w:val="0"/>
              <w:keepLines w:val="0"/>
              <w:suppressLineNumbers w:val="0"/>
              <w:autoSpaceDE w:val="0"/>
              <w:autoSpaceDN w:val="0"/>
              <w:snapToGrid w:val="0"/>
              <w:spacing w:before="0" w:beforeAutospacing="0" w:after="0" w:afterAutospacing="0" w:line="360" w:lineRule="auto"/>
              <w:ind w:left="0" w:right="-48" w:rightChars="-23" w:firstLine="422" w:firstLineChars="200"/>
              <w:jc w:val="center"/>
              <w:rPr>
                <w:rFonts w:hint="default" w:ascii="Times New Roman" w:hAnsi="Times New Roman" w:eastAsia="宋体" w:cs="Times New Roman"/>
                <w:b/>
                <w:kern w:val="0"/>
                <w:u w:val="none"/>
              </w:rPr>
            </w:pPr>
            <w:r>
              <w:rPr>
                <w:rFonts w:hint="default" w:ascii="Times New Roman" w:hAnsi="Times New Roman" w:eastAsia="宋体" w:cs="Times New Roman"/>
                <w:b/>
                <w:kern w:val="0"/>
                <w:u w:val="none"/>
              </w:rPr>
              <w:t>表</w:t>
            </w:r>
            <w:r>
              <w:rPr>
                <w:rFonts w:hint="eastAsia" w:ascii="Times New Roman" w:hAnsi="Times New Roman" w:eastAsia="宋体" w:cs="Times New Roman"/>
                <w:b/>
                <w:kern w:val="0"/>
                <w:u w:val="none"/>
              </w:rPr>
              <w:t>4-</w:t>
            </w:r>
            <w:r>
              <w:rPr>
                <w:rFonts w:hint="eastAsia" w:cs="Times New Roman"/>
                <w:b/>
                <w:kern w:val="0"/>
                <w:u w:val="none"/>
                <w:lang w:val="en-US" w:eastAsia="zh-CN"/>
              </w:rPr>
              <w:t>17</w:t>
            </w:r>
            <w:r>
              <w:rPr>
                <w:rFonts w:hint="default" w:ascii="Times New Roman" w:hAnsi="Times New Roman" w:eastAsia="宋体" w:cs="Times New Roman"/>
                <w:b/>
                <w:kern w:val="0"/>
                <w:u w:val="none"/>
              </w:rPr>
              <w:t xml:space="preserve"> 危险物质使用量及临界量</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3366"/>
              <w:gridCol w:w="1565"/>
              <w:gridCol w:w="1523"/>
              <w:gridCol w:w="1333"/>
            </w:tblGrid>
            <w:tr w14:paraId="4F23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A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6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危险物质</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F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最大储存量（</w:t>
                  </w:r>
                  <w:r>
                    <w:rPr>
                      <w:rStyle w:val="60"/>
                      <w:rFonts w:eastAsia="宋体"/>
                      <w:lang w:val="en-US" w:eastAsia="zh-CN" w:bidi="ar"/>
                    </w:rPr>
                    <w:t>t</w:t>
                  </w:r>
                  <w:r>
                    <w:rPr>
                      <w:rStyle w:val="83"/>
                      <w:lang w:val="en-US" w:eastAsia="zh-CN" w:bidi="ar"/>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A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标准规定临界量（</w:t>
                  </w:r>
                  <w:r>
                    <w:rPr>
                      <w:rStyle w:val="60"/>
                      <w:rFonts w:eastAsia="宋体"/>
                      <w:lang w:val="en-US" w:eastAsia="zh-CN" w:bidi="ar"/>
                    </w:rPr>
                    <w:t>t</w:t>
                  </w:r>
                  <w:r>
                    <w:rPr>
                      <w:rStyle w:val="83"/>
                      <w:lang w:val="en-US" w:eastAsia="zh-CN" w:bidi="ar"/>
                    </w:rPr>
                    <w:t>）</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34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Q</w:t>
                  </w:r>
                </w:p>
              </w:tc>
            </w:tr>
            <w:tr w14:paraId="0446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E4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4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树脂漆</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F3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D9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2C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w:t>
                  </w:r>
                </w:p>
              </w:tc>
            </w:tr>
            <w:tr w14:paraId="12EB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88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9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润滑油</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12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2F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46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0.000018</w:t>
                  </w:r>
                </w:p>
              </w:tc>
            </w:tr>
            <w:tr w14:paraId="5030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5D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E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黄油</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A8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31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2E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0.000012</w:t>
                  </w:r>
                </w:p>
              </w:tc>
            </w:tr>
            <w:tr w14:paraId="4F14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90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C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漆渣</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90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0.02475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8D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BD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0.000495</w:t>
                  </w:r>
                </w:p>
              </w:tc>
            </w:tr>
            <w:tr w14:paraId="0A7B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CA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6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废漆桶</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0A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42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3D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0.0004</w:t>
                  </w:r>
                </w:p>
              </w:tc>
            </w:tr>
            <w:tr w14:paraId="1256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8D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E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废活性炭</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28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0.5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17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79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0.01</w:t>
                  </w:r>
                </w:p>
              </w:tc>
            </w:tr>
            <w:tr w14:paraId="4868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7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废过滤棉</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64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11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4E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0.0072</w:t>
                  </w:r>
                </w:p>
              </w:tc>
            </w:tr>
            <w:tr w14:paraId="3F8F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80FD">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8</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C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含油废包装桶</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E2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F5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D0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0.0001</w:t>
                  </w:r>
                </w:p>
              </w:tc>
            </w:tr>
            <w:tr w14:paraId="7069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B265">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2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废抹布、废手套和废棉布等废弃物</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A4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22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4B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w:t>
                  </w:r>
                </w:p>
              </w:tc>
            </w:tr>
            <w:tr w14:paraId="72F1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96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46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C7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5E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1225</w:t>
                  </w:r>
                </w:p>
              </w:tc>
            </w:tr>
          </w:tbl>
          <w:p w14:paraId="7E06CFC5">
            <w:pPr>
              <w:keepNext w:val="0"/>
              <w:keepLines w:val="0"/>
              <w:suppressLineNumbers w:val="0"/>
              <w:adjustRightInd w:val="0"/>
              <w:snapToGrid w:val="0"/>
              <w:spacing w:before="157" w:beforeLines="50" w:beforeAutospacing="0" w:after="0" w:afterAutospacing="0" w:line="360" w:lineRule="auto"/>
              <w:ind w:left="0" w:right="0" w:firstLine="480" w:firstLineChars="200"/>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根据上表计算结果，项目各储存单元Q&lt;1。根据《建设项目环境风险评价技术导则HJ169-2018》附录C中C1危险物质及工艺危险性（P）分级要求，Q&lt;1时，可展开简单分析。</w:t>
            </w:r>
          </w:p>
          <w:p w14:paraId="68B13820">
            <w:pPr>
              <w:keepNext w:val="0"/>
              <w:keepLines w:val="0"/>
              <w:suppressLineNumbers w:val="0"/>
              <w:adjustRightInd w:val="0"/>
              <w:snapToGrid w:val="0"/>
              <w:spacing w:before="0" w:beforeLines="0" w:beforeAutospacing="0" w:after="0" w:afterAutospacing="0" w:line="360" w:lineRule="auto"/>
              <w:ind w:left="0" w:right="0" w:firstLine="480" w:firstLineChars="200"/>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（2</w:t>
            </w:r>
            <w:r>
              <w:rPr>
                <w:rFonts w:hint="eastAsia" w:ascii="Times New Roman" w:hAnsi="Times New Roman" w:cs="Times New Roman"/>
                <w:sz w:val="24"/>
                <w:u w:val="none"/>
                <w:lang w:eastAsia="zh-CN"/>
              </w:rPr>
              <w:t>）</w:t>
            </w:r>
            <w:r>
              <w:rPr>
                <w:rFonts w:hint="default" w:ascii="Times New Roman" w:hAnsi="Times New Roman" w:eastAsia="宋体" w:cs="Times New Roman"/>
                <w:sz w:val="24"/>
                <w:u w:val="none"/>
              </w:rPr>
              <w:t>环境风险识别</w:t>
            </w:r>
          </w:p>
          <w:p w14:paraId="07A697EA">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Autospacing="0" w:line="360" w:lineRule="auto"/>
              <w:ind w:left="0" w:leftChars="0" w:right="0" w:rightChars="0" w:firstLine="480" w:firstLineChars="200"/>
              <w:jc w:val="both"/>
              <w:textAlignment w:val="auto"/>
              <w:outlineLvl w:val="9"/>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cs="Times New Roman"/>
                <w:sz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）风险类型</w:t>
            </w:r>
          </w:p>
          <w:p w14:paraId="785B3395">
            <w:pPr>
              <w:keepNext w:val="0"/>
              <w:keepLines w:val="0"/>
              <w:suppressLineNumbers w:val="0"/>
              <w:adjustRightInd w:val="0"/>
              <w:snapToGrid w:val="0"/>
              <w:spacing w:before="0" w:beforeLines="0" w:beforeAutospacing="0" w:after="0" w:afterAutospacing="0" w:line="360" w:lineRule="auto"/>
              <w:ind w:left="0" w:right="0" w:firstLine="480" w:firstLineChars="200"/>
              <w:jc w:val="left"/>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①泄漏</w:t>
            </w:r>
            <w:r>
              <w:rPr>
                <w:rFonts w:hint="eastAsia" w:cs="Times New Roman"/>
                <w:b w:val="0"/>
                <w:bCs w:val="0"/>
                <w:color w:val="auto"/>
                <w:sz w:val="24"/>
                <w:szCs w:val="24"/>
                <w:u w:val="none"/>
                <w:lang w:val="en-US" w:eastAsia="zh-CN"/>
              </w:rPr>
              <w:t>事故</w:t>
            </w:r>
            <w:r>
              <w:rPr>
                <w:rFonts w:hint="eastAsia" w:ascii="Times New Roman" w:hAnsi="Times New Roman" w:eastAsia="宋体" w:cs="Times New Roman"/>
                <w:b w:val="0"/>
                <w:bCs w:val="0"/>
                <w:color w:val="auto"/>
                <w:sz w:val="24"/>
                <w:szCs w:val="24"/>
                <w:u w:val="none"/>
                <w:lang w:val="en-US" w:eastAsia="zh-CN"/>
              </w:rPr>
              <w:t>：</w:t>
            </w:r>
            <w:r>
              <w:rPr>
                <w:rFonts w:hint="eastAsia" w:cs="Times New Roman"/>
                <w:b w:val="0"/>
                <w:bCs w:val="0"/>
                <w:color w:val="auto"/>
                <w:sz w:val="24"/>
                <w:szCs w:val="24"/>
                <w:u w:val="none"/>
                <w:lang w:val="en-US" w:eastAsia="zh-CN"/>
              </w:rPr>
              <w:t>润滑油、黄油</w:t>
            </w:r>
            <w:r>
              <w:rPr>
                <w:rFonts w:hint="eastAsia" w:ascii="Times New Roman" w:hAnsi="Times New Roman" w:eastAsia="宋体" w:cs="Times New Roman"/>
                <w:b w:val="0"/>
                <w:bCs w:val="0"/>
                <w:color w:val="auto"/>
                <w:sz w:val="24"/>
                <w:szCs w:val="24"/>
                <w:u w:val="none"/>
                <w:lang w:val="en-US" w:eastAsia="zh-CN"/>
              </w:rPr>
              <w:t>存在泄露风险，物料使用或存储过程如发生泄露，则泄露物料可能会进入雨水管道、地表水体，对地表水体环境产生一定影响，甚至通过下渗对地下水和土壤造成影响。</w:t>
            </w:r>
          </w:p>
          <w:p w14:paraId="29A43D12">
            <w:pPr>
              <w:keepNext w:val="0"/>
              <w:keepLines w:val="0"/>
              <w:suppressLineNumbers w:val="0"/>
              <w:adjustRightInd w:val="0"/>
              <w:snapToGrid w:val="0"/>
              <w:spacing w:before="0" w:beforeLines="0" w:beforeAutospacing="0" w:after="0" w:afterAutospacing="0" w:line="360" w:lineRule="auto"/>
              <w:ind w:left="0" w:right="0" w:firstLine="480" w:firstLineChars="200"/>
              <w:jc w:val="left"/>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②火灾</w:t>
            </w:r>
            <w:r>
              <w:rPr>
                <w:rFonts w:hint="eastAsia" w:cs="Times New Roman"/>
                <w:b w:val="0"/>
                <w:bCs w:val="0"/>
                <w:color w:val="auto"/>
                <w:sz w:val="24"/>
                <w:szCs w:val="24"/>
                <w:u w:val="none"/>
                <w:lang w:val="en-US" w:eastAsia="zh-CN"/>
              </w:rPr>
              <w:t>事故</w:t>
            </w:r>
            <w:r>
              <w:rPr>
                <w:rFonts w:hint="eastAsia" w:ascii="Times New Roman" w:hAnsi="Times New Roman" w:eastAsia="宋体" w:cs="Times New Roman"/>
                <w:b w:val="0"/>
                <w:bCs w:val="0"/>
                <w:color w:val="auto"/>
                <w:sz w:val="24"/>
                <w:szCs w:val="24"/>
                <w:u w:val="none"/>
                <w:lang w:val="en-US" w:eastAsia="zh-CN"/>
              </w:rPr>
              <w:t>：项目厂区发生火灾事故，主要带来热辐射危害，危及火灾周围的人员的生命及毗邻建筑物和设备的安全。火灾次生/伴生的污染物，消防废水、燃烧残渣等收集处置不当排放可导致周边水体、土壤污染。</w:t>
            </w:r>
          </w:p>
          <w:p w14:paraId="39517040">
            <w:pPr>
              <w:keepNext w:val="0"/>
              <w:keepLines w:val="0"/>
              <w:suppressLineNumbers w:val="0"/>
              <w:adjustRightInd w:val="0"/>
              <w:snapToGrid w:val="0"/>
              <w:spacing w:before="0" w:beforeLines="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③废气事故排放：项目生产过程中，存在废气收集处理措施发生故障，导致废气未经处理后排放的风险，废气事故排放可导致周边大气环境污染。</w:t>
            </w:r>
          </w:p>
          <w:p w14:paraId="06D01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（3）风险防范对策措施</w:t>
            </w:r>
          </w:p>
          <w:p w14:paraId="74ADF9B1">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1）火灾风险防范措施：</w:t>
            </w:r>
          </w:p>
          <w:p w14:paraId="3F186254">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①生产车间应按规范配置灭火器材和消防装备；</w:t>
            </w:r>
          </w:p>
          <w:p w14:paraId="33BAB6A7">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②在生产区域明显位置张贴禁用明火的告示；</w:t>
            </w:r>
          </w:p>
          <w:p w14:paraId="529CC1B2">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③工作人员要熟练掌握操作技术和防火安全管理规定；</w:t>
            </w:r>
          </w:p>
          <w:p w14:paraId="4D13BF8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④定期检查材料存储的安全状态，以防止泄露引发火灾、爆炸。</w:t>
            </w:r>
          </w:p>
          <w:p w14:paraId="338480A1">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2）危险物质泄露防范措施</w:t>
            </w:r>
          </w:p>
          <w:p w14:paraId="3E83B05C">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①仓库应做好防渗防腐处理，避免硬底化被破坏导致下渗；</w:t>
            </w:r>
          </w:p>
          <w:p w14:paraId="5FA10343">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②车间应做好周边防护措施，如设置一定高度围堰，防范危险物质泄露蔓延到周边区域；</w:t>
            </w:r>
          </w:p>
          <w:p w14:paraId="26B2A01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③定期检查危险物质存储的安全状态，定期检查其包装有无破损，以防止泄露。</w:t>
            </w:r>
          </w:p>
          <w:p w14:paraId="0C2DCE4C">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3）废气事故排放防范措施：</w:t>
            </w:r>
          </w:p>
          <w:p w14:paraId="06CB85D6">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①定期检查废气处理设施；</w:t>
            </w:r>
          </w:p>
          <w:p w14:paraId="4D5D9A7F">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②发生事故情况立即停止生产。</w:t>
            </w:r>
          </w:p>
          <w:p w14:paraId="6907E96B">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sz w:val="24"/>
                <w:u w:val="none"/>
              </w:rPr>
            </w:pPr>
            <w:r>
              <w:rPr>
                <w:rFonts w:hint="eastAsia" w:ascii="Times New Roman" w:eastAsia="宋体"/>
                <w:color w:val="auto"/>
                <w:sz w:val="24"/>
                <w:u w:val="none"/>
                <w:lang w:val="en-US" w:eastAsia="zh-CN"/>
              </w:rPr>
              <w:t>（4）</w:t>
            </w:r>
            <w:r>
              <w:rPr>
                <w:rFonts w:hint="eastAsia"/>
                <w:color w:val="auto"/>
                <w:sz w:val="24"/>
                <w:u w:val="none"/>
              </w:rPr>
              <w:t>风险分析</w:t>
            </w:r>
          </w:p>
          <w:p w14:paraId="41AD3C3D">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u w:val="none"/>
              </w:rPr>
            </w:pPr>
            <w:r>
              <w:rPr>
                <w:rFonts w:hint="eastAsia"/>
                <w:color w:val="auto"/>
                <w:sz w:val="24"/>
                <w:u w:val="none"/>
              </w:rPr>
              <w:t>本项目有毒</w:t>
            </w:r>
            <w:r>
              <w:rPr>
                <w:rFonts w:hint="default"/>
                <w:color w:val="auto"/>
                <w:sz w:val="24"/>
                <w:u w:val="none"/>
              </w:rPr>
              <w:t>有害易燃易爆等</w:t>
            </w:r>
            <w:r>
              <w:rPr>
                <w:rFonts w:hint="eastAsia"/>
                <w:color w:val="auto"/>
                <w:sz w:val="24"/>
                <w:u w:val="none"/>
              </w:rPr>
              <w:t>危险物质和</w:t>
            </w:r>
            <w:r>
              <w:rPr>
                <w:rFonts w:hint="default"/>
                <w:color w:val="auto"/>
                <w:sz w:val="24"/>
                <w:u w:val="none"/>
              </w:rPr>
              <w:t>风险源分布情况</w:t>
            </w:r>
            <w:r>
              <w:rPr>
                <w:rFonts w:hint="eastAsia"/>
                <w:color w:val="auto"/>
                <w:sz w:val="24"/>
                <w:u w:val="none"/>
              </w:rPr>
              <w:t>、</w:t>
            </w:r>
            <w:r>
              <w:rPr>
                <w:rFonts w:hint="default"/>
                <w:color w:val="auto"/>
                <w:sz w:val="24"/>
                <w:u w:val="none"/>
              </w:rPr>
              <w:t>可能</w:t>
            </w:r>
            <w:r>
              <w:rPr>
                <w:rFonts w:hint="eastAsia"/>
                <w:color w:val="auto"/>
                <w:sz w:val="24"/>
                <w:u w:val="none"/>
              </w:rPr>
              <w:t>影响</w:t>
            </w:r>
            <w:r>
              <w:rPr>
                <w:rFonts w:hint="default"/>
                <w:color w:val="auto"/>
                <w:sz w:val="24"/>
                <w:u w:val="none"/>
              </w:rPr>
              <w:t>途径</w:t>
            </w:r>
            <w:r>
              <w:rPr>
                <w:rFonts w:hint="eastAsia"/>
                <w:color w:val="auto"/>
                <w:sz w:val="24"/>
                <w:u w:val="none"/>
              </w:rPr>
              <w:t>以及</w:t>
            </w:r>
            <w:r>
              <w:rPr>
                <w:rFonts w:hint="default"/>
                <w:color w:val="auto"/>
                <w:sz w:val="24"/>
                <w:u w:val="none"/>
              </w:rPr>
              <w:t>拟采取的环境风险防控措施详见</w:t>
            </w:r>
            <w:r>
              <w:rPr>
                <w:rFonts w:hint="eastAsia" w:ascii="Times New Roman" w:eastAsia="宋体"/>
                <w:color w:val="auto"/>
                <w:sz w:val="24"/>
                <w:u w:val="none"/>
                <w:lang w:val="en-US" w:eastAsia="zh-CN"/>
              </w:rPr>
              <w:t>下表</w:t>
            </w:r>
            <w:r>
              <w:rPr>
                <w:rFonts w:hint="eastAsia"/>
                <w:color w:val="auto"/>
                <w:sz w:val="24"/>
                <w:u w:val="none"/>
              </w:rPr>
              <w:t>。</w:t>
            </w:r>
          </w:p>
          <w:p w14:paraId="7148B2B5">
            <w:pPr>
              <w:pStyle w:val="35"/>
              <w:keepNext w:val="0"/>
              <w:keepLines w:val="0"/>
              <w:suppressLineNumbers w:val="0"/>
              <w:spacing w:before="0" w:beforeAutospacing="0" w:after="0" w:afterAutospacing="0"/>
              <w:ind w:left="0" w:right="0"/>
              <w:rPr>
                <w:rFonts w:hint="default"/>
                <w:color w:val="auto"/>
                <w:sz w:val="21"/>
                <w:szCs w:val="21"/>
                <w:u w:val="none"/>
              </w:rPr>
            </w:pPr>
            <w:r>
              <w:rPr>
                <w:rFonts w:hint="default"/>
                <w:color w:val="auto"/>
                <w:sz w:val="21"/>
                <w:szCs w:val="21"/>
                <w:u w:val="none"/>
              </w:rPr>
              <w:t>表4-</w:t>
            </w:r>
            <w:r>
              <w:rPr>
                <w:rFonts w:hint="eastAsia"/>
                <w:color w:val="auto"/>
                <w:sz w:val="21"/>
                <w:szCs w:val="21"/>
                <w:u w:val="none"/>
                <w:lang w:val="en-US" w:eastAsia="zh-CN"/>
              </w:rPr>
              <w:t>18</w:t>
            </w:r>
            <w:r>
              <w:rPr>
                <w:rFonts w:hint="default"/>
                <w:color w:val="auto"/>
                <w:sz w:val="21"/>
                <w:szCs w:val="21"/>
                <w:u w:val="none"/>
              </w:rPr>
              <w:t xml:space="preserve"> 建设项目环境风险简单分析内容表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274"/>
              <w:gridCol w:w="6365"/>
            </w:tblGrid>
            <w:tr w14:paraId="11D2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316" w:type="pct"/>
                  <w:noWrap w:val="0"/>
                  <w:vAlign w:val="center"/>
                </w:tcPr>
                <w:p w14:paraId="2FA729D8">
                  <w:pPr>
                    <w:pStyle w:val="36"/>
                    <w:keepNext w:val="0"/>
                    <w:keepLines w:val="0"/>
                    <w:suppressLineNumbers w:val="0"/>
                    <w:spacing w:before="0" w:beforeAutospacing="0" w:after="0" w:afterAutospacing="0"/>
                    <w:ind w:left="0" w:right="0"/>
                    <w:rPr>
                      <w:rFonts w:hint="eastAsia"/>
                      <w:color w:val="auto"/>
                      <w:u w:val="none"/>
                    </w:rPr>
                  </w:pPr>
                  <w:r>
                    <w:rPr>
                      <w:rFonts w:hint="eastAsia"/>
                      <w:color w:val="auto"/>
                      <w:u w:val="none"/>
                    </w:rPr>
                    <w:t>建设项目名称</w:t>
                  </w:r>
                </w:p>
              </w:tc>
              <w:tc>
                <w:tcPr>
                  <w:tcW w:w="3683" w:type="pct"/>
                  <w:noWrap w:val="0"/>
                  <w:vAlign w:val="center"/>
                </w:tcPr>
                <w:p w14:paraId="7845738E">
                  <w:pPr>
                    <w:pStyle w:val="36"/>
                    <w:keepNext w:val="0"/>
                    <w:keepLines w:val="0"/>
                    <w:suppressLineNumbers w:val="0"/>
                    <w:spacing w:before="0" w:beforeAutospacing="0" w:after="0" w:afterAutospacing="0"/>
                    <w:ind w:left="0" w:right="0"/>
                    <w:rPr>
                      <w:rFonts w:hint="eastAsia"/>
                      <w:color w:val="auto"/>
                      <w:u w:val="none"/>
                    </w:rPr>
                  </w:pPr>
                  <w:r>
                    <w:rPr>
                      <w:rFonts w:hint="eastAsia"/>
                      <w:color w:val="auto"/>
                      <w:u w:val="none"/>
                      <w:lang w:eastAsia="zh-CN"/>
                    </w:rPr>
                    <w:t>醴陵市浦诺森自动化设备有限公司机械加工项目</w:t>
                  </w:r>
                </w:p>
              </w:tc>
            </w:tr>
            <w:tr w14:paraId="2259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316" w:type="pct"/>
                  <w:noWrap w:val="0"/>
                  <w:vAlign w:val="center"/>
                </w:tcPr>
                <w:p w14:paraId="7DA329EE">
                  <w:pPr>
                    <w:pStyle w:val="36"/>
                    <w:keepNext w:val="0"/>
                    <w:keepLines w:val="0"/>
                    <w:suppressLineNumbers w:val="0"/>
                    <w:spacing w:before="0" w:beforeAutospacing="0" w:after="0" w:afterAutospacing="0"/>
                    <w:ind w:left="0" w:right="0"/>
                    <w:rPr>
                      <w:rFonts w:hint="eastAsia"/>
                      <w:color w:val="auto"/>
                      <w:u w:val="none"/>
                    </w:rPr>
                  </w:pPr>
                  <w:r>
                    <w:rPr>
                      <w:rFonts w:hint="eastAsia"/>
                      <w:color w:val="auto"/>
                      <w:u w:val="none"/>
                    </w:rPr>
                    <w:t>建设地点</w:t>
                  </w:r>
                </w:p>
              </w:tc>
              <w:tc>
                <w:tcPr>
                  <w:tcW w:w="6365" w:type="dxa"/>
                  <w:noWrap w:val="0"/>
                  <w:vAlign w:val="center"/>
                </w:tcPr>
                <w:p w14:paraId="6C765949">
                  <w:pPr>
                    <w:pStyle w:val="87"/>
                    <w:keepNext w:val="0"/>
                    <w:keepLines w:val="0"/>
                    <w:suppressLineNumbers w:val="0"/>
                    <w:spacing w:before="0" w:beforeAutospacing="0" w:after="0" w:afterAutospacing="0"/>
                    <w:ind w:left="0" w:leftChars="0" w:right="0" w:rightChars="0"/>
                    <w:jc w:val="center"/>
                    <w:rPr>
                      <w:rFonts w:hint="eastAsia" w:eastAsia="宋体"/>
                      <w:color w:val="auto"/>
                      <w:u w:val="none"/>
                      <w:lang w:eastAsia="zh-CN"/>
                    </w:rPr>
                  </w:pPr>
                  <w:r>
                    <w:rPr>
                      <w:rFonts w:hint="eastAsia"/>
                      <w:snapToGrid w:val="0"/>
                      <w:color w:val="auto"/>
                      <w:u w:val="none"/>
                      <w:lang w:eastAsia="zh-CN"/>
                    </w:rPr>
                    <w:t>湖南省株洲市醴陵市浦口镇浦口村瓦子组</w:t>
                  </w:r>
                </w:p>
              </w:tc>
            </w:tr>
            <w:tr w14:paraId="5291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316" w:type="pct"/>
                  <w:noWrap w:val="0"/>
                  <w:vAlign w:val="center"/>
                </w:tcPr>
                <w:p w14:paraId="0DF743A6">
                  <w:pPr>
                    <w:pStyle w:val="36"/>
                    <w:keepNext w:val="0"/>
                    <w:keepLines w:val="0"/>
                    <w:suppressLineNumbers w:val="0"/>
                    <w:spacing w:before="0" w:beforeAutospacing="0" w:after="0" w:afterAutospacing="0"/>
                    <w:ind w:left="0" w:right="0"/>
                    <w:rPr>
                      <w:rFonts w:hint="eastAsia"/>
                      <w:color w:val="auto"/>
                      <w:u w:val="none"/>
                    </w:rPr>
                  </w:pPr>
                  <w:r>
                    <w:rPr>
                      <w:rFonts w:hint="eastAsia"/>
                      <w:color w:val="auto"/>
                      <w:u w:val="none"/>
                    </w:rPr>
                    <w:t>地理坐标</w:t>
                  </w:r>
                </w:p>
              </w:tc>
              <w:tc>
                <w:tcPr>
                  <w:tcW w:w="6365" w:type="dxa"/>
                  <w:noWrap w:val="0"/>
                  <w:vAlign w:val="center"/>
                </w:tcPr>
                <w:p w14:paraId="1550303D">
                  <w:pPr>
                    <w:keepNext w:val="0"/>
                    <w:keepLines w:val="0"/>
                    <w:suppressLineNumbers w:val="0"/>
                    <w:spacing w:before="0" w:beforeAutospacing="0" w:after="0" w:afterAutospacing="0"/>
                    <w:ind w:left="0" w:leftChars="0" w:right="0" w:rightChars="0"/>
                    <w:jc w:val="center"/>
                    <w:rPr>
                      <w:rFonts w:hint="eastAsia" w:eastAsia="宋体"/>
                      <w:color w:val="auto"/>
                      <w:u w:val="none"/>
                      <w:lang w:eastAsia="zh-CN"/>
                    </w:rPr>
                  </w:pPr>
                  <w:r>
                    <w:rPr>
                      <w:rFonts w:hint="eastAsia"/>
                      <w:u w:val="none"/>
                      <w:lang w:val="en-US" w:eastAsia="zh-CN"/>
                    </w:rPr>
                    <w:t>113°37′16.545″</w:t>
                  </w:r>
                  <w:r>
                    <w:rPr>
                      <w:rFonts w:hint="eastAsia" w:ascii="Times New Roman" w:eastAsia="宋体"/>
                      <w:u w:val="none"/>
                      <w:lang w:val="en-US" w:eastAsia="zh-CN"/>
                    </w:rPr>
                    <w:t>E、</w:t>
                  </w:r>
                  <w:r>
                    <w:rPr>
                      <w:rFonts w:hint="eastAsia"/>
                      <w:u w:val="none"/>
                      <w:lang w:val="en-US" w:eastAsia="zh-CN"/>
                    </w:rPr>
                    <w:t>27°46′8.264″</w:t>
                  </w:r>
                </w:p>
              </w:tc>
            </w:tr>
            <w:tr w14:paraId="7F49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316" w:type="pct"/>
                  <w:noWrap w:val="0"/>
                  <w:vAlign w:val="center"/>
                </w:tcPr>
                <w:p w14:paraId="1C78CFD1">
                  <w:pPr>
                    <w:pStyle w:val="36"/>
                    <w:keepNext w:val="0"/>
                    <w:keepLines w:val="0"/>
                    <w:suppressLineNumbers w:val="0"/>
                    <w:spacing w:before="0" w:beforeAutospacing="0" w:after="0" w:afterAutospacing="0"/>
                    <w:ind w:left="0" w:right="0"/>
                    <w:rPr>
                      <w:rFonts w:hint="default"/>
                      <w:color w:val="auto"/>
                      <w:u w:val="none"/>
                    </w:rPr>
                  </w:pPr>
                  <w:r>
                    <w:rPr>
                      <w:rFonts w:hint="default"/>
                      <w:color w:val="auto"/>
                      <w:u w:val="none"/>
                    </w:rPr>
                    <w:t>主要</w:t>
                  </w:r>
                  <w:r>
                    <w:rPr>
                      <w:rFonts w:hint="eastAsia"/>
                      <w:color w:val="auto"/>
                      <w:u w:val="none"/>
                      <w:lang w:val="en-US" w:eastAsia="zh-CN"/>
                    </w:rPr>
                    <w:t>风险</w:t>
                  </w:r>
                  <w:r>
                    <w:rPr>
                      <w:rFonts w:hint="default"/>
                      <w:color w:val="auto"/>
                      <w:u w:val="none"/>
                    </w:rPr>
                    <w:t>物资及分布</w:t>
                  </w:r>
                </w:p>
              </w:tc>
              <w:tc>
                <w:tcPr>
                  <w:tcW w:w="3683" w:type="pct"/>
                  <w:noWrap w:val="0"/>
                  <w:vAlign w:val="center"/>
                </w:tcPr>
                <w:p w14:paraId="183918F9">
                  <w:pPr>
                    <w:pStyle w:val="36"/>
                    <w:keepNext w:val="0"/>
                    <w:keepLines w:val="0"/>
                    <w:suppressLineNumbers w:val="0"/>
                    <w:spacing w:before="0" w:beforeAutospacing="0" w:after="0" w:afterAutospacing="0"/>
                    <w:ind w:left="0" w:right="0"/>
                    <w:rPr>
                      <w:rFonts w:hint="default"/>
                      <w:color w:val="auto"/>
                      <w:u w:val="none"/>
                    </w:rPr>
                  </w:pPr>
                  <w:r>
                    <w:rPr>
                      <w:rFonts w:hint="default"/>
                      <w:color w:val="auto"/>
                      <w:u w:val="none"/>
                    </w:rPr>
                    <w:t>项目主要风险</w:t>
                  </w:r>
                  <w:r>
                    <w:rPr>
                      <w:rFonts w:hint="eastAsia"/>
                      <w:color w:val="auto"/>
                      <w:u w:val="none"/>
                      <w:lang w:val="en-US" w:eastAsia="zh-CN"/>
                    </w:rPr>
                    <w:t>物资</w:t>
                  </w:r>
                  <w:r>
                    <w:rPr>
                      <w:rFonts w:hint="default"/>
                      <w:color w:val="auto"/>
                      <w:u w:val="none"/>
                    </w:rPr>
                    <w:t>为</w:t>
                  </w:r>
                  <w:r>
                    <w:rPr>
                      <w:rFonts w:hint="eastAsia"/>
                      <w:color w:val="auto"/>
                      <w:u w:val="none"/>
                      <w:lang w:val="en-US" w:eastAsia="zh-CN"/>
                    </w:rPr>
                    <w:t>树脂漆、润滑油、黄油、危废等，分布在车间、仓库、危废暂存间</w:t>
                  </w:r>
                  <w:r>
                    <w:rPr>
                      <w:rFonts w:hint="default"/>
                      <w:color w:val="auto"/>
                      <w:u w:val="none"/>
                    </w:rPr>
                    <w:t>。</w:t>
                  </w:r>
                </w:p>
              </w:tc>
            </w:tr>
            <w:tr w14:paraId="1C3B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316" w:type="pct"/>
                  <w:noWrap w:val="0"/>
                  <w:vAlign w:val="center"/>
                </w:tcPr>
                <w:p w14:paraId="5A9BDF51">
                  <w:pPr>
                    <w:pStyle w:val="36"/>
                    <w:keepNext w:val="0"/>
                    <w:keepLines w:val="0"/>
                    <w:suppressLineNumbers w:val="0"/>
                    <w:spacing w:before="0" w:beforeAutospacing="0" w:after="0" w:afterAutospacing="0"/>
                    <w:ind w:left="0" w:right="0"/>
                    <w:rPr>
                      <w:rFonts w:hint="default"/>
                      <w:color w:val="auto"/>
                      <w:u w:val="none"/>
                    </w:rPr>
                  </w:pPr>
                  <w:r>
                    <w:rPr>
                      <w:rFonts w:hint="default"/>
                      <w:color w:val="auto"/>
                      <w:u w:val="none"/>
                    </w:rPr>
                    <w:t>环境影响途径及危害后果（大气、地表水、地下水等）</w:t>
                  </w:r>
                </w:p>
              </w:tc>
              <w:tc>
                <w:tcPr>
                  <w:tcW w:w="3683" w:type="pct"/>
                  <w:noWrap w:val="0"/>
                  <w:vAlign w:val="center"/>
                </w:tcPr>
                <w:p w14:paraId="2865BB67">
                  <w:pPr>
                    <w:pStyle w:val="36"/>
                    <w:keepNext w:val="0"/>
                    <w:keepLines w:val="0"/>
                    <w:suppressLineNumbers w:val="0"/>
                    <w:spacing w:before="0" w:beforeAutospacing="0" w:after="0" w:afterAutospacing="0"/>
                    <w:ind w:left="0" w:right="0"/>
                    <w:rPr>
                      <w:rFonts w:hint="default" w:eastAsia="宋体"/>
                      <w:color w:val="auto"/>
                      <w:u w:val="none"/>
                      <w:lang w:val="en-US" w:eastAsia="zh-CN"/>
                    </w:rPr>
                  </w:pPr>
                  <w:r>
                    <w:rPr>
                      <w:rFonts w:hint="eastAsia"/>
                      <w:color w:val="auto"/>
                      <w:u w:val="none"/>
                      <w:lang w:val="en-US" w:eastAsia="zh-CN"/>
                    </w:rPr>
                    <w:t>本项目潜在风险为风险物质泄露、火灾爆炸事故。火灾事故会造成周围大气污染和财产损失；危险物质泄露会对地下水、地表水、土壤造成污染。</w:t>
                  </w:r>
                </w:p>
              </w:tc>
            </w:tr>
            <w:tr w14:paraId="5AAB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316" w:type="pct"/>
                  <w:noWrap w:val="0"/>
                  <w:vAlign w:val="center"/>
                </w:tcPr>
                <w:p w14:paraId="49BE53BF">
                  <w:pPr>
                    <w:pStyle w:val="36"/>
                    <w:keepNext w:val="0"/>
                    <w:keepLines w:val="0"/>
                    <w:suppressLineNumbers w:val="0"/>
                    <w:spacing w:before="0" w:beforeAutospacing="0" w:after="0" w:afterAutospacing="0"/>
                    <w:ind w:left="0" w:right="0"/>
                    <w:rPr>
                      <w:rFonts w:hint="default"/>
                      <w:color w:val="auto"/>
                      <w:u w:val="none"/>
                    </w:rPr>
                  </w:pPr>
                  <w:r>
                    <w:rPr>
                      <w:rFonts w:hint="default"/>
                      <w:color w:val="auto"/>
                      <w:u w:val="none"/>
                    </w:rPr>
                    <w:t>风险防范措施</w:t>
                  </w:r>
                </w:p>
              </w:tc>
              <w:tc>
                <w:tcPr>
                  <w:tcW w:w="3683" w:type="pct"/>
                  <w:noWrap w:val="0"/>
                  <w:vAlign w:val="center"/>
                </w:tcPr>
                <w:p w14:paraId="16DDFA24">
                  <w:pPr>
                    <w:pStyle w:val="36"/>
                    <w:keepNext w:val="0"/>
                    <w:keepLines w:val="0"/>
                    <w:suppressLineNumbers w:val="0"/>
                    <w:spacing w:before="0" w:beforeAutospacing="0" w:after="0" w:afterAutospacing="0"/>
                    <w:ind w:left="0" w:right="0"/>
                    <w:rPr>
                      <w:rFonts w:hint="default"/>
                      <w:color w:val="auto"/>
                      <w:u w:val="none"/>
                    </w:rPr>
                  </w:pPr>
                  <w:r>
                    <w:rPr>
                      <w:rFonts w:hint="eastAsia"/>
                      <w:color w:val="auto"/>
                      <w:u w:val="none"/>
                      <w:lang w:val="en-US" w:eastAsia="zh-CN"/>
                    </w:rPr>
                    <w:t>针对火灾风险，应按规范设置灭火和消防装备，制定巡查制度、提高人员防火意识和加强火源管理，定期培训工作人员防火技能和知识；针对泄露，工厂应定期检查润滑油、黄油存储的安全状态，定期检查其包装有无破损，以防止泄露。</w:t>
                  </w:r>
                </w:p>
              </w:tc>
            </w:tr>
            <w:tr w14:paraId="1990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316" w:type="pct"/>
                  <w:noWrap w:val="0"/>
                  <w:vAlign w:val="center"/>
                </w:tcPr>
                <w:p w14:paraId="27807208">
                  <w:pPr>
                    <w:pStyle w:val="36"/>
                    <w:keepNext w:val="0"/>
                    <w:keepLines w:val="0"/>
                    <w:suppressLineNumbers w:val="0"/>
                    <w:spacing w:before="0" w:beforeAutospacing="0" w:after="0" w:afterAutospacing="0"/>
                    <w:ind w:left="0" w:right="0"/>
                    <w:rPr>
                      <w:rFonts w:hint="default"/>
                      <w:color w:val="auto"/>
                      <w:u w:val="none"/>
                    </w:rPr>
                  </w:pPr>
                  <w:r>
                    <w:rPr>
                      <w:rFonts w:hint="eastAsia"/>
                      <w:color w:val="auto"/>
                      <w:u w:val="none"/>
                    </w:rPr>
                    <w:t>填表说明（列出项目相关信息及评价说明）</w:t>
                  </w:r>
                </w:p>
              </w:tc>
              <w:tc>
                <w:tcPr>
                  <w:tcW w:w="3683" w:type="pct"/>
                  <w:noWrap w:val="0"/>
                  <w:vAlign w:val="center"/>
                </w:tcPr>
                <w:p w14:paraId="492E25F2">
                  <w:pPr>
                    <w:pStyle w:val="36"/>
                    <w:keepNext w:val="0"/>
                    <w:keepLines w:val="0"/>
                    <w:suppressLineNumbers w:val="0"/>
                    <w:spacing w:before="0" w:beforeAutospacing="0" w:after="0" w:afterAutospacing="0"/>
                    <w:ind w:left="0" w:right="0"/>
                    <w:rPr>
                      <w:rFonts w:hint="default"/>
                      <w:color w:val="auto"/>
                      <w:u w:val="none"/>
                    </w:rPr>
                  </w:pPr>
                  <w:r>
                    <w:rPr>
                      <w:rFonts w:hint="eastAsia"/>
                      <w:color w:val="auto"/>
                      <w:u w:val="none"/>
                    </w:rPr>
                    <w:t>环境风险潜势为Ⅰ级别，故开展风险评价简单分析并填写此表</w:t>
                  </w:r>
                </w:p>
              </w:tc>
            </w:tr>
          </w:tbl>
          <w:p w14:paraId="6A7179C7">
            <w:pPr>
              <w:keepNext w:val="0"/>
              <w:keepLines w:val="0"/>
              <w:suppressLineNumbers w:val="0"/>
              <w:tabs>
                <w:tab w:val="left" w:pos="636"/>
              </w:tabs>
              <w:spacing w:before="0" w:beforeAutospacing="0" w:after="0" w:afterAutospacing="0"/>
              <w:ind w:left="0" w:right="0"/>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ab/>
            </w:r>
          </w:p>
          <w:p w14:paraId="5BFEBFFA">
            <w:pPr>
              <w:pStyle w:val="109"/>
              <w:keepNext w:val="0"/>
              <w:keepLines w:val="0"/>
              <w:numPr>
                <w:ilvl w:val="0"/>
                <w:numId w:val="0"/>
              </w:numPr>
              <w:suppressLineNumbers w:val="0"/>
              <w:spacing w:before="157" w:beforeLines="50" w:beforeAutospacing="0" w:after="0" w:afterAutospacing="0"/>
              <w:ind w:left="0" w:right="0" w:firstLine="482" w:firstLineChars="200"/>
              <w:rPr>
                <w:rFonts w:hint="eastAsia"/>
                <w:b/>
                <w:bCs/>
                <w:color w:val="auto"/>
                <w:kern w:val="2"/>
                <w:sz w:val="24"/>
                <w:szCs w:val="24"/>
                <w:u w:val="none"/>
                <w:lang w:val="en-US" w:eastAsia="zh-CN"/>
              </w:rPr>
            </w:pPr>
            <w:bookmarkStart w:id="13" w:name="_Toc50"/>
            <w:r>
              <w:rPr>
                <w:rFonts w:hint="eastAsia" w:ascii="Times New Roman" w:hAnsi="宋体" w:eastAsia="宋体" w:cs="Times New Roman"/>
                <w:b/>
                <w:bCs/>
                <w:color w:val="auto"/>
                <w:kern w:val="2"/>
                <w:sz w:val="24"/>
                <w:szCs w:val="24"/>
                <w:lang w:val="en-US" w:eastAsia="zh-CN" w:bidi="ar-SA"/>
              </w:rPr>
              <w:t>8、</w:t>
            </w:r>
            <w:r>
              <w:rPr>
                <w:rFonts w:hint="eastAsia"/>
                <w:b/>
                <w:bCs/>
                <w:color w:val="auto"/>
                <w:kern w:val="2"/>
                <w:sz w:val="24"/>
                <w:szCs w:val="24"/>
                <w:u w:val="none"/>
                <w:lang w:val="en-US" w:eastAsia="zh-CN"/>
              </w:rPr>
              <w:t>环保投资</w:t>
            </w:r>
            <w:bookmarkEnd w:id="13"/>
          </w:p>
          <w:p w14:paraId="3257CB8F">
            <w:pPr>
              <w:keepNext w:val="0"/>
              <w:keepLines w:val="0"/>
              <w:suppressLineNumbers w:val="0"/>
              <w:adjustRightInd/>
              <w:snapToGrid/>
              <w:spacing w:before="0" w:beforeAutospacing="0" w:after="0" w:afterAutospacing="0" w:line="360" w:lineRule="auto"/>
              <w:ind w:left="0" w:right="0" w:firstLine="480" w:firstLineChars="200"/>
              <w:jc w:val="both"/>
              <w:rPr>
                <w:rFonts w:hint="eastAsia"/>
                <w:b w:val="0"/>
                <w:bCs w:val="0"/>
                <w:color w:val="auto"/>
                <w:kern w:val="2"/>
                <w:sz w:val="24"/>
                <w:szCs w:val="24"/>
                <w:u w:val="none"/>
                <w:lang w:val="en-US" w:eastAsia="zh-CN"/>
              </w:rPr>
            </w:pPr>
            <w:bookmarkStart w:id="14" w:name="_Toc23621"/>
            <w:r>
              <w:rPr>
                <w:rFonts w:hint="eastAsia" w:ascii="Times New Roman" w:eastAsia="宋体"/>
                <w:b w:val="0"/>
                <w:bCs w:val="0"/>
                <w:color w:val="auto"/>
                <w:kern w:val="2"/>
                <w:sz w:val="24"/>
                <w:szCs w:val="24"/>
                <w:u w:val="none"/>
                <w:lang w:val="en-US" w:eastAsia="zh-CN"/>
              </w:rPr>
              <w:t>本项目环保投资主要为运营期污染控制措施，具体见下表，项目总投资</w:t>
            </w:r>
            <w:r>
              <w:rPr>
                <w:rFonts w:hint="eastAsia"/>
                <w:b w:val="0"/>
                <w:bCs w:val="0"/>
                <w:color w:val="auto"/>
                <w:kern w:val="2"/>
                <w:sz w:val="24"/>
                <w:szCs w:val="24"/>
                <w:u w:val="none"/>
                <w:lang w:val="en-US" w:eastAsia="zh-CN"/>
              </w:rPr>
              <w:t>300万</w:t>
            </w:r>
            <w:r>
              <w:rPr>
                <w:rFonts w:hint="eastAsia" w:ascii="Times New Roman" w:eastAsia="宋体"/>
                <w:b w:val="0"/>
                <w:bCs w:val="0"/>
                <w:color w:val="auto"/>
                <w:kern w:val="2"/>
                <w:sz w:val="24"/>
                <w:szCs w:val="24"/>
                <w:u w:val="none"/>
                <w:lang w:val="en-US" w:eastAsia="zh-CN"/>
              </w:rPr>
              <w:t>元，环保投</w:t>
            </w:r>
            <w:r>
              <w:rPr>
                <w:rFonts w:hint="eastAsia" w:ascii="Times New Roman" w:eastAsia="宋体"/>
                <w:b w:val="0"/>
                <w:bCs w:val="0"/>
                <w:color w:val="auto"/>
                <w:kern w:val="2"/>
                <w:sz w:val="24"/>
                <w:szCs w:val="24"/>
                <w:highlight w:val="none"/>
                <w:u w:val="none"/>
                <w:lang w:val="en-US" w:eastAsia="zh-CN"/>
              </w:rPr>
              <w:t>资</w:t>
            </w:r>
            <w:r>
              <w:rPr>
                <w:rFonts w:hint="eastAsia"/>
                <w:b w:val="0"/>
                <w:bCs w:val="0"/>
                <w:color w:val="auto"/>
                <w:kern w:val="2"/>
                <w:sz w:val="24"/>
                <w:szCs w:val="24"/>
                <w:highlight w:val="none"/>
                <w:u w:val="none"/>
                <w:lang w:val="en-US" w:eastAsia="zh-CN"/>
              </w:rPr>
              <w:t>12万</w:t>
            </w:r>
            <w:r>
              <w:rPr>
                <w:rFonts w:hint="eastAsia" w:ascii="Times New Roman" w:eastAsia="宋体"/>
                <w:b w:val="0"/>
                <w:bCs w:val="0"/>
                <w:color w:val="auto"/>
                <w:kern w:val="2"/>
                <w:sz w:val="24"/>
                <w:szCs w:val="24"/>
                <w:u w:val="none"/>
                <w:lang w:val="en-US" w:eastAsia="zh-CN"/>
              </w:rPr>
              <w:t>元，占总投资的</w:t>
            </w:r>
            <w:r>
              <w:rPr>
                <w:rFonts w:hint="eastAsia"/>
                <w:b w:val="0"/>
                <w:bCs w:val="0"/>
                <w:color w:val="auto"/>
                <w:kern w:val="2"/>
                <w:sz w:val="24"/>
                <w:szCs w:val="24"/>
                <w:highlight w:val="none"/>
                <w:u w:val="none"/>
                <w:lang w:val="en-US" w:eastAsia="zh-CN"/>
              </w:rPr>
              <w:t>4%</w:t>
            </w:r>
            <w:r>
              <w:rPr>
                <w:rFonts w:hint="eastAsia" w:ascii="Times New Roman" w:eastAsia="宋体"/>
                <w:b w:val="0"/>
                <w:bCs w:val="0"/>
                <w:color w:val="auto"/>
                <w:kern w:val="2"/>
                <w:sz w:val="24"/>
                <w:szCs w:val="24"/>
                <w:highlight w:val="none"/>
                <w:u w:val="none"/>
                <w:lang w:val="en-US" w:eastAsia="zh-CN"/>
              </w:rPr>
              <w:t>。</w:t>
            </w:r>
            <w:bookmarkEnd w:id="14"/>
          </w:p>
          <w:p w14:paraId="71503565">
            <w:pPr>
              <w:keepNext w:val="0"/>
              <w:keepLines w:val="0"/>
              <w:numPr>
                <w:ilvl w:val="-1"/>
                <w:numId w:val="0"/>
              </w:numPr>
              <w:suppressLineNumbers w:val="0"/>
              <w:spacing w:before="0" w:beforeAutospacing="0" w:after="0" w:afterAutospacing="0"/>
              <w:ind w:left="0" w:right="0" w:firstLine="422" w:firstLineChars="200"/>
              <w:jc w:val="center"/>
              <w:outlineLvl w:val="9"/>
              <w:rPr>
                <w:rFonts w:hint="eastAsia"/>
                <w:b w:val="0"/>
                <w:bCs w:val="0"/>
                <w:color w:val="auto"/>
                <w:kern w:val="2"/>
                <w:sz w:val="24"/>
                <w:szCs w:val="24"/>
                <w:u w:val="none"/>
                <w:lang w:val="en-US" w:eastAsia="zh-CN"/>
              </w:rPr>
            </w:pPr>
            <w:bookmarkStart w:id="15" w:name="_Toc14038"/>
            <w:r>
              <w:rPr>
                <w:rFonts w:hint="eastAsia" w:ascii="Times New Roman" w:eastAsia="宋体"/>
                <w:b/>
                <w:bCs/>
                <w:color w:val="auto"/>
                <w:kern w:val="2"/>
                <w:sz w:val="21"/>
                <w:szCs w:val="21"/>
                <w:u w:val="none"/>
                <w:lang w:val="en-US" w:eastAsia="zh-CN"/>
              </w:rPr>
              <w:t>表 4-</w:t>
            </w:r>
            <w:r>
              <w:rPr>
                <w:rFonts w:hint="eastAsia"/>
                <w:b/>
                <w:bCs/>
                <w:color w:val="auto"/>
                <w:kern w:val="2"/>
                <w:sz w:val="21"/>
                <w:szCs w:val="21"/>
                <w:u w:val="none"/>
                <w:lang w:val="en-US" w:eastAsia="zh-CN"/>
              </w:rPr>
              <w:t>19</w:t>
            </w:r>
            <w:r>
              <w:rPr>
                <w:rFonts w:hint="eastAsia" w:ascii="Times New Roman" w:eastAsia="宋体"/>
                <w:b/>
                <w:bCs/>
                <w:color w:val="auto"/>
                <w:kern w:val="2"/>
                <w:sz w:val="21"/>
                <w:szCs w:val="21"/>
                <w:u w:val="none"/>
                <w:lang w:val="en-US" w:eastAsia="zh-CN"/>
              </w:rPr>
              <w:t xml:space="preserve"> 项目环保投资一览表</w:t>
            </w:r>
            <w:bookmarkEnd w:id="15"/>
          </w:p>
          <w:tbl>
            <w:tblPr>
              <w:tblStyle w:val="24"/>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28" w:type="dxa"/>
                <w:left w:w="108" w:type="dxa"/>
                <w:bottom w:w="28" w:type="dxa"/>
                <w:right w:w="108" w:type="dxa"/>
              </w:tblCellMar>
            </w:tblPr>
            <w:tblGrid>
              <w:gridCol w:w="1255"/>
              <w:gridCol w:w="2800"/>
              <w:gridCol w:w="3322"/>
              <w:gridCol w:w="1262"/>
            </w:tblGrid>
            <w:tr w14:paraId="1B49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108" w:type="dxa"/>
                  <w:bottom w:w="28" w:type="dxa"/>
                  <w:right w:w="108" w:type="dxa"/>
                </w:tblCellMar>
              </w:tblPrEx>
              <w:trPr>
                <w:trHeight w:val="227" w:hRule="atLeast"/>
              </w:trPr>
              <w:tc>
                <w:tcPr>
                  <w:tcW w:w="727" w:type="pct"/>
                  <w:shd w:val="clear" w:color="auto" w:fill="auto"/>
                  <w:vAlign w:val="center"/>
                </w:tcPr>
                <w:p w14:paraId="430CF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Fonts w:hint="eastAsia" w:ascii="Times New Roman" w:eastAsia="宋体"/>
                      <w:b w:val="0"/>
                      <w:bCs w:val="0"/>
                      <w:color w:val="auto"/>
                      <w:kern w:val="2"/>
                      <w:sz w:val="24"/>
                      <w:szCs w:val="24"/>
                      <w:u w:val="none"/>
                      <w:lang w:val="en-US" w:eastAsia="zh-CN"/>
                    </w:rPr>
                    <w:t xml:space="preserve"> </w:t>
                  </w:r>
                  <w:r>
                    <w:rPr>
                      <w:rStyle w:val="83"/>
                      <w:b/>
                      <w:bCs/>
                      <w:u w:val="none"/>
                      <w:vertAlign w:val="baseline"/>
                      <w:lang w:val="en-US" w:eastAsia="zh-CN" w:bidi="ar"/>
                    </w:rPr>
                    <w:t>类别</w:t>
                  </w:r>
                </w:p>
              </w:tc>
              <w:tc>
                <w:tcPr>
                  <w:tcW w:w="1620" w:type="pct"/>
                  <w:shd w:val="clear" w:color="auto" w:fill="auto"/>
                  <w:vAlign w:val="center"/>
                </w:tcPr>
                <w:p w14:paraId="65A03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3"/>
                      <w:b/>
                      <w:bCs/>
                      <w:u w:val="none"/>
                      <w:vertAlign w:val="baseline"/>
                      <w:lang w:val="en-US" w:eastAsia="zh-CN" w:bidi="ar"/>
                    </w:rPr>
                    <w:t>项目</w:t>
                  </w:r>
                </w:p>
              </w:tc>
              <w:tc>
                <w:tcPr>
                  <w:tcW w:w="1921" w:type="pct"/>
                  <w:shd w:val="clear" w:color="auto" w:fill="auto"/>
                  <w:vAlign w:val="center"/>
                </w:tcPr>
                <w:p w14:paraId="36C33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3"/>
                      <w:b/>
                      <w:bCs/>
                      <w:u w:val="none"/>
                      <w:vertAlign w:val="baseline"/>
                      <w:lang w:val="en-US" w:eastAsia="zh-CN" w:bidi="ar"/>
                    </w:rPr>
                    <w:t>环境污染防治措施</w:t>
                  </w:r>
                </w:p>
              </w:tc>
              <w:tc>
                <w:tcPr>
                  <w:tcW w:w="730" w:type="pct"/>
                  <w:shd w:val="clear" w:color="auto" w:fill="auto"/>
                  <w:vAlign w:val="center"/>
                </w:tcPr>
                <w:p w14:paraId="7D8E3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vertAlign w:val="baseline"/>
                    </w:rPr>
                  </w:pPr>
                  <w:r>
                    <w:rPr>
                      <w:rStyle w:val="83"/>
                      <w:b/>
                      <w:bCs/>
                      <w:u w:val="none"/>
                      <w:vertAlign w:val="baseline"/>
                      <w:lang w:val="en-US" w:eastAsia="zh-CN" w:bidi="ar"/>
                    </w:rPr>
                    <w:t>环保投资（万元）</w:t>
                  </w:r>
                </w:p>
              </w:tc>
            </w:tr>
            <w:tr w14:paraId="5629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727" w:type="pct"/>
                  <w:vMerge w:val="restart"/>
                  <w:shd w:val="clear" w:color="auto" w:fill="auto"/>
                  <w:vAlign w:val="center"/>
                </w:tcPr>
                <w:p w14:paraId="6433F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固废处理</w:t>
                  </w:r>
                </w:p>
              </w:tc>
              <w:tc>
                <w:tcPr>
                  <w:tcW w:w="1620" w:type="pct"/>
                  <w:shd w:val="clear" w:color="auto" w:fill="auto"/>
                  <w:vAlign w:val="center"/>
                </w:tcPr>
                <w:p w14:paraId="4AB73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生活垃圾</w:t>
                  </w:r>
                </w:p>
              </w:tc>
              <w:tc>
                <w:tcPr>
                  <w:tcW w:w="1921" w:type="pct"/>
                  <w:shd w:val="clear" w:color="auto" w:fill="auto"/>
                  <w:vAlign w:val="center"/>
                </w:tcPr>
                <w:p w14:paraId="436D3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垃圾桶</w:t>
                  </w:r>
                </w:p>
              </w:tc>
              <w:tc>
                <w:tcPr>
                  <w:tcW w:w="730" w:type="pct"/>
                  <w:shd w:val="clear" w:color="auto" w:fill="auto"/>
                  <w:vAlign w:val="center"/>
                </w:tcPr>
                <w:p w14:paraId="095480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0.5</w:t>
                  </w:r>
                </w:p>
              </w:tc>
            </w:tr>
            <w:tr w14:paraId="4901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727" w:type="pct"/>
                  <w:vMerge w:val="continue"/>
                  <w:shd w:val="clear" w:color="auto" w:fill="auto"/>
                  <w:vAlign w:val="center"/>
                </w:tcPr>
                <w:p w14:paraId="08262EDF">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620" w:type="pct"/>
                  <w:shd w:val="clear" w:color="auto" w:fill="auto"/>
                  <w:vAlign w:val="center"/>
                </w:tcPr>
                <w:p w14:paraId="0B407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一般工业固废</w:t>
                  </w:r>
                </w:p>
              </w:tc>
              <w:tc>
                <w:tcPr>
                  <w:tcW w:w="1921" w:type="pct"/>
                  <w:shd w:val="clear" w:color="auto" w:fill="auto"/>
                  <w:vAlign w:val="center"/>
                </w:tcPr>
                <w:p w14:paraId="05A20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设置一般固废暂存间</w:t>
                  </w:r>
                </w:p>
              </w:tc>
              <w:tc>
                <w:tcPr>
                  <w:tcW w:w="730" w:type="pct"/>
                  <w:shd w:val="clear" w:color="auto" w:fill="auto"/>
                  <w:vAlign w:val="center"/>
                </w:tcPr>
                <w:p w14:paraId="415E69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4ECB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727" w:type="pct"/>
                  <w:vMerge w:val="continue"/>
                  <w:shd w:val="clear" w:color="auto" w:fill="auto"/>
                  <w:vAlign w:val="center"/>
                </w:tcPr>
                <w:p w14:paraId="7934AF09">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620" w:type="pct"/>
                  <w:shd w:val="clear" w:color="auto" w:fill="auto"/>
                  <w:vAlign w:val="center"/>
                </w:tcPr>
                <w:p w14:paraId="4195E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危险废物</w:t>
                  </w:r>
                </w:p>
              </w:tc>
              <w:tc>
                <w:tcPr>
                  <w:tcW w:w="1921" w:type="pct"/>
                  <w:shd w:val="clear" w:color="auto" w:fill="auto"/>
                  <w:vAlign w:val="center"/>
                </w:tcPr>
                <w:p w14:paraId="46966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设置危废暂存间</w:t>
                  </w:r>
                </w:p>
              </w:tc>
              <w:tc>
                <w:tcPr>
                  <w:tcW w:w="730" w:type="pct"/>
                  <w:shd w:val="clear" w:color="auto" w:fill="auto"/>
                  <w:vAlign w:val="center"/>
                </w:tcPr>
                <w:p w14:paraId="661383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0DC6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727" w:type="pct"/>
                  <w:vMerge w:val="restart"/>
                  <w:shd w:val="clear" w:color="auto" w:fill="auto"/>
                  <w:vAlign w:val="center"/>
                </w:tcPr>
                <w:p w14:paraId="3E8A0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废气处理</w:t>
                  </w:r>
                </w:p>
              </w:tc>
              <w:tc>
                <w:tcPr>
                  <w:tcW w:w="1620" w:type="pct"/>
                  <w:shd w:val="clear" w:color="auto" w:fill="auto"/>
                  <w:vAlign w:val="center"/>
                </w:tcPr>
                <w:p w14:paraId="00D3A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油烟</w:t>
                  </w:r>
                </w:p>
              </w:tc>
              <w:tc>
                <w:tcPr>
                  <w:tcW w:w="1921" w:type="pct"/>
                  <w:shd w:val="clear" w:color="auto" w:fill="auto"/>
                  <w:vAlign w:val="center"/>
                </w:tcPr>
                <w:p w14:paraId="3C60F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油烟净化器处理后排放</w:t>
                  </w:r>
                </w:p>
              </w:tc>
              <w:tc>
                <w:tcPr>
                  <w:tcW w:w="730" w:type="pct"/>
                  <w:shd w:val="clear" w:color="auto" w:fill="auto"/>
                  <w:vAlign w:val="center"/>
                </w:tcPr>
                <w:p w14:paraId="4DEFE6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CD8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727" w:type="pct"/>
                  <w:vMerge w:val="continue"/>
                  <w:shd w:val="clear" w:color="auto" w:fill="auto"/>
                  <w:vAlign w:val="center"/>
                </w:tcPr>
                <w:p w14:paraId="645A9A8C">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620" w:type="pct"/>
                  <w:shd w:val="clear" w:color="auto" w:fill="auto"/>
                  <w:vAlign w:val="center"/>
                </w:tcPr>
                <w:p w14:paraId="0D7821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焊接烟尘</w:t>
                  </w:r>
                </w:p>
              </w:tc>
              <w:tc>
                <w:tcPr>
                  <w:tcW w:w="1921" w:type="pct"/>
                  <w:shd w:val="clear" w:color="auto" w:fill="auto"/>
                  <w:vAlign w:val="center"/>
                </w:tcPr>
                <w:p w14:paraId="3BEE5F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移动式焊烟净化器</w:t>
                  </w:r>
                </w:p>
              </w:tc>
              <w:tc>
                <w:tcPr>
                  <w:tcW w:w="730" w:type="pct"/>
                  <w:shd w:val="clear" w:color="auto" w:fill="auto"/>
                  <w:vAlign w:val="center"/>
                </w:tcPr>
                <w:p w14:paraId="557876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r>
            <w:tr w14:paraId="6C2D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727" w:type="pct"/>
                  <w:vMerge w:val="continue"/>
                  <w:shd w:val="clear" w:color="auto" w:fill="auto"/>
                  <w:vAlign w:val="center"/>
                </w:tcPr>
                <w:p w14:paraId="3315CF96">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vertAlign w:val="baseline"/>
                    </w:rPr>
                  </w:pPr>
                </w:p>
              </w:tc>
              <w:tc>
                <w:tcPr>
                  <w:tcW w:w="1620" w:type="pct"/>
                  <w:shd w:val="clear" w:color="auto" w:fill="auto"/>
                  <w:vAlign w:val="center"/>
                </w:tcPr>
                <w:p w14:paraId="417E707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补漆废气处理</w:t>
                  </w:r>
                </w:p>
              </w:tc>
              <w:tc>
                <w:tcPr>
                  <w:tcW w:w="1921" w:type="pct"/>
                  <w:shd w:val="clear" w:color="auto" w:fill="auto"/>
                  <w:vAlign w:val="center"/>
                </w:tcPr>
                <w:p w14:paraId="65AC491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过滤棉+二级活性炭设备</w:t>
                  </w:r>
                </w:p>
              </w:tc>
              <w:tc>
                <w:tcPr>
                  <w:tcW w:w="730" w:type="pct"/>
                  <w:shd w:val="clear" w:color="auto" w:fill="auto"/>
                  <w:vAlign w:val="center"/>
                </w:tcPr>
                <w:p w14:paraId="11E64BB7">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r>
            <w:tr w14:paraId="2322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108" w:type="dxa"/>
                  <w:bottom w:w="28" w:type="dxa"/>
                  <w:right w:w="108" w:type="dxa"/>
                </w:tblCellMar>
              </w:tblPrEx>
              <w:trPr>
                <w:trHeight w:val="227" w:hRule="atLeast"/>
              </w:trPr>
              <w:tc>
                <w:tcPr>
                  <w:tcW w:w="727" w:type="pct"/>
                  <w:shd w:val="clear" w:color="auto" w:fill="auto"/>
                  <w:vAlign w:val="center"/>
                </w:tcPr>
                <w:p w14:paraId="101DA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废水处理</w:t>
                  </w:r>
                </w:p>
              </w:tc>
              <w:tc>
                <w:tcPr>
                  <w:tcW w:w="1620" w:type="pct"/>
                  <w:shd w:val="clear" w:color="auto" w:fill="auto"/>
                  <w:vAlign w:val="center"/>
                </w:tcPr>
                <w:p w14:paraId="3250C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生活污水</w:t>
                  </w:r>
                </w:p>
              </w:tc>
              <w:tc>
                <w:tcPr>
                  <w:tcW w:w="1921" w:type="pct"/>
                  <w:shd w:val="clear" w:color="auto" w:fill="auto"/>
                  <w:vAlign w:val="center"/>
                </w:tcPr>
                <w:p w14:paraId="68C5E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隔油池+四格净化池</w:t>
                  </w:r>
                </w:p>
              </w:tc>
              <w:tc>
                <w:tcPr>
                  <w:tcW w:w="730" w:type="pct"/>
                  <w:shd w:val="clear" w:color="auto" w:fill="auto"/>
                  <w:vAlign w:val="center"/>
                </w:tcPr>
                <w:p w14:paraId="201D8D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DA0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7" w:hRule="atLeast"/>
              </w:trPr>
              <w:tc>
                <w:tcPr>
                  <w:tcW w:w="4269" w:type="pct"/>
                  <w:gridSpan w:val="3"/>
                  <w:shd w:val="clear" w:color="auto" w:fill="auto"/>
                  <w:vAlign w:val="center"/>
                </w:tcPr>
                <w:p w14:paraId="5C23B0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合计</w:t>
                  </w:r>
                </w:p>
              </w:tc>
              <w:tc>
                <w:tcPr>
                  <w:tcW w:w="730" w:type="pct"/>
                  <w:shd w:val="clear" w:color="auto" w:fill="auto"/>
                  <w:vAlign w:val="center"/>
                </w:tcPr>
                <w:p w14:paraId="5B994A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2</w:t>
                  </w:r>
                </w:p>
              </w:tc>
            </w:tr>
          </w:tbl>
          <w:p w14:paraId="4D5EB9F2">
            <w:pPr>
              <w:pStyle w:val="109"/>
              <w:keepNext w:val="0"/>
              <w:keepLines w:val="0"/>
              <w:numPr>
                <w:ilvl w:val="0"/>
                <w:numId w:val="0"/>
              </w:numPr>
              <w:suppressLineNumbers w:val="0"/>
              <w:spacing w:before="157" w:beforeLines="50" w:beforeAutospacing="0" w:after="0" w:afterAutospacing="0"/>
              <w:ind w:left="0" w:right="0" w:firstLine="482" w:firstLineChars="200"/>
              <w:rPr>
                <w:rFonts w:hint="default"/>
                <w:b/>
                <w:bCs/>
                <w:color w:val="auto"/>
                <w:sz w:val="24"/>
                <w:u w:val="none"/>
              </w:rPr>
            </w:pPr>
            <w:r>
              <w:rPr>
                <w:rFonts w:hint="eastAsia" w:ascii="Times New Roman" w:eastAsia="宋体"/>
                <w:b/>
                <w:bCs/>
                <w:color w:val="auto"/>
                <w:sz w:val="24"/>
                <w:u w:val="none"/>
                <w:lang w:val="en-US" w:eastAsia="zh-CN"/>
              </w:rPr>
              <w:t>9、排污许可要求</w:t>
            </w:r>
          </w:p>
          <w:p w14:paraId="1C21C9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根据《排污许可分类管理名录》（2019年版），本项目属于“</w:t>
            </w:r>
            <w:r>
              <w:rPr>
                <w:rFonts w:hint="eastAsia" w:cs="Times New Roman"/>
                <w:color w:val="auto"/>
                <w:sz w:val="24"/>
                <w:u w:val="none"/>
                <w:lang w:val="en-US" w:eastAsia="zh-CN"/>
              </w:rPr>
              <w:t>二十九</w:t>
            </w:r>
            <w:r>
              <w:rPr>
                <w:rFonts w:hint="eastAsia" w:ascii="Times New Roman" w:hAnsi="Times New Roman" w:cs="Times New Roman"/>
                <w:color w:val="auto"/>
                <w:sz w:val="24"/>
                <w:u w:val="none"/>
                <w:lang w:val="en-US" w:eastAsia="zh-CN"/>
              </w:rPr>
              <w:t>、</w:t>
            </w:r>
            <w:r>
              <w:rPr>
                <w:rFonts w:hint="eastAsia" w:cs="Times New Roman"/>
                <w:color w:val="auto"/>
                <w:sz w:val="24"/>
                <w:u w:val="none"/>
                <w:lang w:val="en-US" w:eastAsia="zh-CN"/>
              </w:rPr>
              <w:t>通用设备制造业 83其他通用设备制造业349</w:t>
            </w:r>
            <w:r>
              <w:rPr>
                <w:rFonts w:hint="eastAsia" w:ascii="Times New Roman" w:hAnsi="Times New Roman" w:cs="Times New Roman"/>
                <w:color w:val="auto"/>
                <w:sz w:val="24"/>
                <w:u w:val="none"/>
                <w:lang w:val="en-US" w:eastAsia="zh-CN"/>
              </w:rPr>
              <w:t>”以及“</w:t>
            </w:r>
            <w:r>
              <w:rPr>
                <w:rFonts w:hint="eastAsia" w:cs="Times New Roman"/>
                <w:color w:val="auto"/>
                <w:sz w:val="24"/>
                <w:u w:val="none"/>
                <w:lang w:val="en-US" w:eastAsia="zh-CN"/>
              </w:rPr>
              <w:t>三十</w:t>
            </w:r>
            <w:r>
              <w:rPr>
                <w:rFonts w:hint="eastAsia" w:ascii="Times New Roman" w:hAnsi="Times New Roman" w:cs="Times New Roman"/>
                <w:color w:val="auto"/>
                <w:sz w:val="24"/>
                <w:u w:val="none"/>
                <w:lang w:val="en-US" w:eastAsia="zh-CN"/>
              </w:rPr>
              <w:t>、专用设备制造业35环保、邮政、社会公共服务及其他专用设备制造359”，均属于登记管理，本项目进行登记管理。</w:t>
            </w:r>
          </w:p>
          <w:p w14:paraId="6E73E5A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1）管理类别：登记管理；</w:t>
            </w:r>
          </w:p>
          <w:p w14:paraId="2F052B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2）许可证申报：</w:t>
            </w:r>
          </w:p>
          <w:p w14:paraId="59E6501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申报条件：取得环评批复并完成总量购买；</w:t>
            </w:r>
          </w:p>
          <w:p w14:paraId="7DBE71D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主要内容：排污单位基本信息、污染物排放去向、执行的污染物排放标准以及采取的污染防治措施等信息；</w:t>
            </w:r>
          </w:p>
          <w:p w14:paraId="56C589E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有效期和换证要求：有效期自登记之日起5年；单位基本情况、污染物排放去向、污染物排放标准以及采取的污染防治措施等信息变动，应当自变动之日起二十日内进行变更登记；单位关闭或者其他原因不再排污，应及时注销排污登记表；如单位因生产规模扩大、污染物排放量增加等情况需要申领排污许可证的，应按规定提交排污许可证申请表，并同时注销排污登记表；在有效期满后继续生产运营的，应于有效期满前二十日内延续登记；</w:t>
            </w:r>
          </w:p>
          <w:p w14:paraId="4F9C5F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3）设施和排放口：见本章各要素分析章节；</w:t>
            </w:r>
          </w:p>
          <w:p w14:paraId="5D9ADDE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4）排污总量：</w:t>
            </w:r>
            <w:r>
              <w:rPr>
                <w:rFonts w:hint="eastAsia"/>
                <w:sz w:val="24"/>
                <w:u w:val="none"/>
                <w:lang w:val="en-US" w:eastAsia="zh-CN"/>
              </w:rPr>
              <w:t>VOCs：0.1062t/a</w:t>
            </w:r>
            <w:r>
              <w:rPr>
                <w:rFonts w:hint="eastAsia" w:ascii="Times New Roman" w:hAnsi="Times New Roman" w:cs="Times New Roman"/>
                <w:color w:val="auto"/>
                <w:sz w:val="24"/>
                <w:u w:val="none"/>
                <w:lang w:val="en-US" w:eastAsia="zh-CN"/>
              </w:rPr>
              <w:t>；</w:t>
            </w:r>
          </w:p>
          <w:p w14:paraId="28DECC0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5）排放标准：详见第五章“环境保护措施监督检查清单”；</w:t>
            </w:r>
          </w:p>
          <w:p w14:paraId="1596C65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6）无组织管控：按《挥发性有机物无组织排放控制标准》（GB 37822-2019）中的污染物排放限值要求，确保厂区内无组织废气满足《挥发性有机物无组织排放控制标准》（GB 37822-2019）表A.1限值要求；</w:t>
            </w:r>
          </w:p>
          <w:p w14:paraId="5809C2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7）执行报告：本项目为登记管理，无需提交执行报告；</w:t>
            </w:r>
          </w:p>
          <w:p w14:paraId="319DB3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u w:val="none"/>
                <w:lang w:val="en-US" w:eastAsia="zh-CN"/>
              </w:rPr>
            </w:pPr>
            <w:r>
              <w:rPr>
                <w:rFonts w:hint="eastAsia" w:ascii="Times New Roman" w:hAnsi="Times New Roman" w:cs="Times New Roman"/>
                <w:color w:val="auto"/>
                <w:sz w:val="24"/>
                <w:u w:val="none"/>
                <w:lang w:val="en-US" w:eastAsia="zh-CN"/>
              </w:rPr>
              <w:t>8）台账要求：参照《排污许可管理办法》制定台账记录，记录基本信息、生产设施运行管理信息、污染防治设施运行管理信息、监测记录信息及其他管理信息；</w:t>
            </w:r>
          </w:p>
          <w:p w14:paraId="695FF1E0">
            <w:pPr>
              <w:keepNext w:val="0"/>
              <w:keepLines w:val="0"/>
              <w:suppressLineNumbers w:val="0"/>
              <w:spacing w:before="0" w:beforeAutospacing="0" w:after="0" w:afterAutospacing="0"/>
              <w:ind w:left="0" w:right="0"/>
              <w:rPr>
                <w:rFonts w:hint="default"/>
                <w:lang w:val="en-US" w:eastAsia="zh-CN"/>
              </w:rPr>
            </w:pPr>
            <w:r>
              <w:rPr>
                <w:rFonts w:hint="eastAsia" w:ascii="Times New Roman" w:hAnsi="Times New Roman" w:cs="Times New Roman"/>
                <w:color w:val="auto"/>
                <w:sz w:val="24"/>
                <w:u w:val="none"/>
                <w:lang w:val="en-US" w:eastAsia="zh-CN"/>
              </w:rPr>
              <w:t>9）管理要求：建设单位应在验收前填报排污登记，并做好台账记录。</w:t>
            </w:r>
          </w:p>
        </w:tc>
      </w:tr>
    </w:tbl>
    <w:p w14:paraId="205C0C0B">
      <w:pPr>
        <w:rPr>
          <w:rFonts w:ascii="Times New Roman" w:hAnsi="Times New Roman"/>
          <w:b/>
          <w:bCs/>
          <w:snapToGrid w:val="0"/>
          <w:color w:val="auto"/>
          <w:sz w:val="30"/>
          <w:szCs w:val="30"/>
        </w:rPr>
      </w:pPr>
      <w:r>
        <w:rPr>
          <w:rFonts w:ascii="Times New Roman" w:hAnsi="Times New Roman"/>
          <w:b/>
          <w:bCs/>
          <w:snapToGrid w:val="0"/>
          <w:color w:val="auto"/>
          <w:sz w:val="30"/>
          <w:szCs w:val="30"/>
        </w:rPr>
        <w:br w:type="page"/>
      </w:r>
    </w:p>
    <w:p w14:paraId="14869E99">
      <w:pPr>
        <w:pStyle w:val="20"/>
        <w:spacing w:before="105" w:beforeAutospacing="0" w:after="0" w:afterAutospacing="0" w:line="360" w:lineRule="auto"/>
        <w:jc w:val="center"/>
        <w:outlineLvl w:val="0"/>
        <w:rPr>
          <w:rFonts w:ascii="Times New Roman" w:hAnsi="Times New Roman"/>
          <w:b/>
          <w:bCs/>
          <w:snapToGrid w:val="0"/>
          <w:color w:val="auto"/>
          <w:sz w:val="30"/>
          <w:szCs w:val="30"/>
        </w:rPr>
      </w:pPr>
      <w:r>
        <w:rPr>
          <w:rFonts w:ascii="Times New Roman" w:hAnsi="Times New Roman"/>
          <w:b/>
          <w:bCs/>
          <w:snapToGrid w:val="0"/>
          <w:color w:val="auto"/>
          <w:sz w:val="30"/>
          <w:szCs w:val="30"/>
        </w:rPr>
        <w:t>五、</w:t>
      </w:r>
      <w:bookmarkStart w:id="16" w:name="_Hlk54167917"/>
      <w:r>
        <w:rPr>
          <w:rFonts w:ascii="Times New Roman" w:hAnsi="Times New Roman"/>
          <w:b/>
          <w:bCs/>
          <w:snapToGrid w:val="0"/>
          <w:color w:val="auto"/>
          <w:sz w:val="30"/>
          <w:szCs w:val="30"/>
        </w:rPr>
        <w:t>环境保护措施监督检查清单</w:t>
      </w:r>
      <w:bookmarkEnd w:id="10"/>
      <w:bookmarkEnd w:id="11"/>
      <w:bookmarkEnd w:id="16"/>
    </w:p>
    <w:tbl>
      <w:tblPr>
        <w:tblStyle w:val="24"/>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329"/>
        <w:gridCol w:w="1317"/>
        <w:gridCol w:w="2333"/>
        <w:gridCol w:w="3194"/>
      </w:tblGrid>
      <w:tr w14:paraId="189F8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tcBorders>
              <w:tl2br w:val="single" w:color="auto" w:sz="4" w:space="0"/>
            </w:tcBorders>
            <w:noWrap w:val="0"/>
            <w:tcMar>
              <w:top w:w="57" w:type="dxa"/>
              <w:left w:w="108" w:type="dxa"/>
              <w:bottom w:w="57" w:type="dxa"/>
              <w:right w:w="108" w:type="dxa"/>
            </w:tcMar>
            <w:vAlign w:val="center"/>
          </w:tcPr>
          <w:p w14:paraId="244CC74D">
            <w:pPr>
              <w:pStyle w:val="36"/>
              <w:keepNext w:val="0"/>
              <w:keepLines w:val="0"/>
              <w:suppressLineNumbers w:val="0"/>
              <w:spacing w:before="0" w:beforeAutospacing="0" w:after="0" w:afterAutospacing="0"/>
              <w:ind w:left="0" w:right="0"/>
              <w:jc w:val="right"/>
              <w:rPr>
                <w:rFonts w:hint="default"/>
                <w:b/>
                <w:bCs w:val="0"/>
                <w:snapToGrid w:val="0"/>
                <w:color w:val="auto"/>
                <w:u w:val="none"/>
              </w:rPr>
            </w:pPr>
            <w:r>
              <w:rPr>
                <w:rFonts w:hint="default"/>
                <w:b/>
                <w:bCs w:val="0"/>
                <w:snapToGrid w:val="0"/>
                <w:color w:val="auto"/>
                <w:u w:val="none"/>
              </w:rPr>
              <w:t>内容</w:t>
            </w:r>
          </w:p>
          <w:p w14:paraId="1E8723FF">
            <w:pPr>
              <w:pStyle w:val="36"/>
              <w:keepNext w:val="0"/>
              <w:keepLines w:val="0"/>
              <w:suppressLineNumbers w:val="0"/>
              <w:spacing w:before="0" w:beforeAutospacing="0" w:after="0" w:afterAutospacing="0"/>
              <w:ind w:left="0" w:right="0"/>
              <w:jc w:val="left"/>
              <w:rPr>
                <w:rFonts w:hint="default"/>
                <w:b/>
                <w:bCs w:val="0"/>
                <w:snapToGrid w:val="0"/>
                <w:color w:val="auto"/>
                <w:u w:val="none"/>
              </w:rPr>
            </w:pPr>
            <w:r>
              <w:rPr>
                <w:rFonts w:hint="default"/>
                <w:b/>
                <w:bCs w:val="0"/>
                <w:snapToGrid w:val="0"/>
                <w:color w:val="auto"/>
                <w:u w:val="none"/>
              </w:rPr>
              <w:t>要素</w:t>
            </w:r>
          </w:p>
        </w:tc>
        <w:tc>
          <w:tcPr>
            <w:tcW w:w="1329" w:type="dxa"/>
            <w:noWrap w:val="0"/>
            <w:tcMar>
              <w:top w:w="57" w:type="dxa"/>
              <w:left w:w="108" w:type="dxa"/>
              <w:bottom w:w="57" w:type="dxa"/>
              <w:right w:w="108" w:type="dxa"/>
            </w:tcMar>
            <w:vAlign w:val="center"/>
          </w:tcPr>
          <w:p w14:paraId="420A6BCF">
            <w:pPr>
              <w:pStyle w:val="36"/>
              <w:keepNext w:val="0"/>
              <w:keepLines w:val="0"/>
              <w:suppressLineNumbers w:val="0"/>
              <w:spacing w:before="0" w:beforeAutospacing="0" w:after="0" w:afterAutospacing="0"/>
              <w:ind w:left="0" w:right="0"/>
              <w:rPr>
                <w:rFonts w:hint="default"/>
                <w:b/>
                <w:bCs w:val="0"/>
                <w:snapToGrid w:val="0"/>
                <w:color w:val="auto"/>
                <w:u w:val="none"/>
              </w:rPr>
            </w:pPr>
            <w:r>
              <w:rPr>
                <w:rFonts w:hint="default"/>
                <w:b/>
                <w:bCs w:val="0"/>
                <w:snapToGrid w:val="0"/>
                <w:color w:val="auto"/>
                <w:u w:val="none"/>
              </w:rPr>
              <w:t>排放口(编号、名称)/污染源</w:t>
            </w:r>
          </w:p>
        </w:tc>
        <w:tc>
          <w:tcPr>
            <w:tcW w:w="1317" w:type="dxa"/>
            <w:noWrap w:val="0"/>
            <w:tcMar>
              <w:top w:w="57" w:type="dxa"/>
              <w:left w:w="108" w:type="dxa"/>
              <w:bottom w:w="57" w:type="dxa"/>
              <w:right w:w="108" w:type="dxa"/>
            </w:tcMar>
            <w:vAlign w:val="center"/>
          </w:tcPr>
          <w:p w14:paraId="4072C867">
            <w:pPr>
              <w:pStyle w:val="36"/>
              <w:keepNext w:val="0"/>
              <w:keepLines w:val="0"/>
              <w:suppressLineNumbers w:val="0"/>
              <w:spacing w:before="0" w:beforeAutospacing="0" w:after="0" w:afterAutospacing="0"/>
              <w:ind w:left="0" w:right="0"/>
              <w:rPr>
                <w:rFonts w:hint="default"/>
                <w:b/>
                <w:bCs w:val="0"/>
                <w:snapToGrid w:val="0"/>
                <w:color w:val="auto"/>
                <w:u w:val="none"/>
              </w:rPr>
            </w:pPr>
            <w:r>
              <w:rPr>
                <w:rFonts w:hint="default"/>
                <w:b/>
                <w:bCs w:val="0"/>
                <w:snapToGrid w:val="0"/>
                <w:color w:val="auto"/>
                <w:u w:val="none"/>
              </w:rPr>
              <w:t>污染物项目</w:t>
            </w:r>
          </w:p>
        </w:tc>
        <w:tc>
          <w:tcPr>
            <w:tcW w:w="2333" w:type="dxa"/>
            <w:noWrap w:val="0"/>
            <w:tcMar>
              <w:top w:w="57" w:type="dxa"/>
              <w:left w:w="108" w:type="dxa"/>
              <w:bottom w:w="57" w:type="dxa"/>
              <w:right w:w="108" w:type="dxa"/>
            </w:tcMar>
            <w:vAlign w:val="center"/>
          </w:tcPr>
          <w:p w14:paraId="56F42BCD">
            <w:pPr>
              <w:pStyle w:val="36"/>
              <w:keepNext w:val="0"/>
              <w:keepLines w:val="0"/>
              <w:suppressLineNumbers w:val="0"/>
              <w:spacing w:before="0" w:beforeAutospacing="0" w:after="0" w:afterAutospacing="0"/>
              <w:ind w:left="0" w:right="0"/>
              <w:rPr>
                <w:rFonts w:hint="default"/>
                <w:b/>
                <w:bCs w:val="0"/>
                <w:snapToGrid w:val="0"/>
                <w:color w:val="auto"/>
                <w:u w:val="none"/>
              </w:rPr>
            </w:pPr>
            <w:r>
              <w:rPr>
                <w:rFonts w:hint="default"/>
                <w:b/>
                <w:bCs w:val="0"/>
                <w:snapToGrid w:val="0"/>
                <w:color w:val="auto"/>
                <w:u w:val="none"/>
              </w:rPr>
              <w:t>环境保护措施</w:t>
            </w:r>
          </w:p>
        </w:tc>
        <w:tc>
          <w:tcPr>
            <w:tcW w:w="3194" w:type="dxa"/>
            <w:noWrap w:val="0"/>
            <w:tcMar>
              <w:top w:w="57" w:type="dxa"/>
              <w:left w:w="108" w:type="dxa"/>
              <w:bottom w:w="57" w:type="dxa"/>
              <w:right w:w="108" w:type="dxa"/>
            </w:tcMar>
            <w:vAlign w:val="center"/>
          </w:tcPr>
          <w:p w14:paraId="0B5E2993">
            <w:pPr>
              <w:pStyle w:val="36"/>
              <w:keepNext w:val="0"/>
              <w:keepLines w:val="0"/>
              <w:suppressLineNumbers w:val="0"/>
              <w:spacing w:before="0" w:beforeAutospacing="0" w:after="0" w:afterAutospacing="0"/>
              <w:ind w:left="0" w:right="0"/>
              <w:rPr>
                <w:rFonts w:hint="default"/>
                <w:b/>
                <w:bCs w:val="0"/>
                <w:snapToGrid w:val="0"/>
                <w:color w:val="auto"/>
                <w:u w:val="none"/>
              </w:rPr>
            </w:pPr>
            <w:r>
              <w:rPr>
                <w:rFonts w:hint="default"/>
                <w:b/>
                <w:bCs w:val="0"/>
                <w:snapToGrid w:val="0"/>
                <w:color w:val="auto"/>
                <w:u w:val="none"/>
              </w:rPr>
              <w:t>执行标准</w:t>
            </w:r>
          </w:p>
        </w:tc>
      </w:tr>
      <w:tr w14:paraId="00992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vMerge w:val="restart"/>
            <w:noWrap w:val="0"/>
            <w:tcMar>
              <w:top w:w="57" w:type="dxa"/>
              <w:left w:w="108" w:type="dxa"/>
              <w:bottom w:w="57" w:type="dxa"/>
              <w:right w:w="108" w:type="dxa"/>
            </w:tcMar>
            <w:vAlign w:val="center"/>
          </w:tcPr>
          <w:p w14:paraId="27746DB4">
            <w:pPr>
              <w:pStyle w:val="36"/>
              <w:keepNext w:val="0"/>
              <w:keepLines w:val="0"/>
              <w:suppressLineNumbers w:val="0"/>
              <w:spacing w:before="0" w:beforeAutospacing="0" w:after="0" w:afterAutospacing="0"/>
              <w:ind w:left="0" w:right="0"/>
              <w:rPr>
                <w:rFonts w:hint="eastAsia" w:eastAsia="宋体"/>
                <w:snapToGrid w:val="0"/>
                <w:color w:val="auto"/>
                <w:u w:val="none"/>
                <w:lang w:eastAsia="zh-CN"/>
              </w:rPr>
            </w:pPr>
            <w:r>
              <w:rPr>
                <w:rFonts w:hint="eastAsia"/>
                <w:snapToGrid w:val="0"/>
                <w:color w:val="auto"/>
                <w:u w:val="none"/>
              </w:rPr>
              <w:t>大气环境</w:t>
            </w:r>
          </w:p>
        </w:tc>
        <w:tc>
          <w:tcPr>
            <w:tcW w:w="1329" w:type="dxa"/>
            <w:vMerge w:val="restart"/>
            <w:noWrap w:val="0"/>
            <w:tcMar>
              <w:top w:w="57" w:type="dxa"/>
              <w:left w:w="108" w:type="dxa"/>
              <w:bottom w:w="57" w:type="dxa"/>
              <w:right w:w="108" w:type="dxa"/>
            </w:tcMar>
            <w:vAlign w:val="center"/>
          </w:tcPr>
          <w:p w14:paraId="73E66317">
            <w:pPr>
              <w:pStyle w:val="36"/>
              <w:keepNext w:val="0"/>
              <w:keepLines w:val="0"/>
              <w:suppressLineNumbers w:val="0"/>
              <w:spacing w:before="0" w:beforeAutospacing="0" w:after="0" w:afterAutospacing="0"/>
              <w:ind w:left="0" w:right="0"/>
              <w:rPr>
                <w:rFonts w:hint="default"/>
                <w:snapToGrid w:val="0"/>
                <w:color w:val="auto"/>
                <w:u w:val="none"/>
                <w:lang w:val="en-US" w:eastAsia="zh-CN"/>
              </w:rPr>
            </w:pPr>
            <w:r>
              <w:rPr>
                <w:rFonts w:hint="eastAsia"/>
                <w:snapToGrid w:val="0"/>
                <w:color w:val="auto"/>
                <w:u w:val="none"/>
                <w:lang w:val="en-US" w:eastAsia="zh-CN"/>
              </w:rPr>
              <w:t>厂界</w:t>
            </w:r>
          </w:p>
        </w:tc>
        <w:tc>
          <w:tcPr>
            <w:tcW w:w="1317" w:type="dxa"/>
            <w:noWrap w:val="0"/>
            <w:tcMar>
              <w:top w:w="57" w:type="dxa"/>
              <w:left w:w="108" w:type="dxa"/>
              <w:bottom w:w="57" w:type="dxa"/>
              <w:right w:w="108" w:type="dxa"/>
            </w:tcMar>
            <w:vAlign w:val="center"/>
          </w:tcPr>
          <w:p w14:paraId="12B98100">
            <w:pPr>
              <w:keepNext w:val="0"/>
              <w:keepLines w:val="0"/>
              <w:widowControl/>
              <w:suppressLineNumbers w:val="0"/>
              <w:spacing w:before="0" w:beforeAutospacing="0" w:after="0" w:afterAutospacing="0"/>
              <w:ind w:left="0" w:leftChars="0" w:right="0" w:rightChars="0"/>
              <w:jc w:val="center"/>
              <w:textAlignment w:val="center"/>
              <w:rPr>
                <w:rFonts w:hint="eastAsia"/>
                <w:color w:val="auto"/>
                <w:u w:val="none"/>
                <w:lang w:val="en-US" w:eastAsia="zh-CN"/>
              </w:rPr>
            </w:pPr>
            <w:r>
              <w:rPr>
                <w:rFonts w:hint="eastAsia"/>
                <w:color w:val="auto"/>
                <w:u w:val="none"/>
                <w:lang w:val="en-US" w:eastAsia="zh-CN"/>
              </w:rPr>
              <w:t>颗粒物</w:t>
            </w:r>
          </w:p>
        </w:tc>
        <w:tc>
          <w:tcPr>
            <w:tcW w:w="2333" w:type="dxa"/>
            <w:vMerge w:val="restart"/>
            <w:noWrap w:val="0"/>
            <w:tcMar>
              <w:top w:w="57" w:type="dxa"/>
              <w:left w:w="108" w:type="dxa"/>
              <w:bottom w:w="57" w:type="dxa"/>
              <w:right w:w="108" w:type="dxa"/>
            </w:tcMar>
            <w:vAlign w:val="center"/>
          </w:tcPr>
          <w:p w14:paraId="742AEA57">
            <w:pPr>
              <w:pStyle w:val="36"/>
              <w:keepNext w:val="0"/>
              <w:keepLines w:val="0"/>
              <w:suppressLineNumbers w:val="0"/>
              <w:spacing w:before="0" w:beforeAutospacing="0" w:after="0" w:afterAutospacing="0"/>
              <w:ind w:left="0" w:right="0"/>
              <w:rPr>
                <w:rFonts w:hint="eastAsia"/>
                <w:color w:val="auto"/>
                <w:u w:val="none"/>
                <w:lang w:val="en-US" w:eastAsia="zh-CN"/>
              </w:rPr>
            </w:pPr>
            <w:r>
              <w:rPr>
                <w:rFonts w:hint="eastAsia"/>
                <w:color w:val="auto"/>
                <w:u w:val="none"/>
                <w:lang w:val="en-US" w:eastAsia="zh-CN"/>
              </w:rPr>
              <w:t>加强厂区车间通风</w:t>
            </w:r>
          </w:p>
        </w:tc>
        <w:tc>
          <w:tcPr>
            <w:tcW w:w="3194" w:type="dxa"/>
            <w:vMerge w:val="restart"/>
            <w:noWrap w:val="0"/>
            <w:tcMar>
              <w:top w:w="57" w:type="dxa"/>
              <w:left w:w="108" w:type="dxa"/>
              <w:bottom w:w="57" w:type="dxa"/>
              <w:right w:w="108" w:type="dxa"/>
            </w:tcMar>
            <w:vAlign w:val="center"/>
          </w:tcPr>
          <w:p w14:paraId="38898672">
            <w:pPr>
              <w:pStyle w:val="93"/>
              <w:keepNext w:val="0"/>
              <w:keepLines w:val="0"/>
              <w:widowControl/>
              <w:suppressLineNumbers w:val="0"/>
              <w:spacing w:before="0" w:beforeAutospacing="0" w:after="0" w:afterAutospacing="0"/>
              <w:ind w:left="0" w:right="0"/>
              <w:rPr>
                <w:rFonts w:hint="eastAsia"/>
                <w:u w:val="none"/>
              </w:rPr>
            </w:pPr>
            <w:r>
              <w:rPr>
                <w:rFonts w:hint="eastAsia"/>
                <w:u w:val="none"/>
              </w:rPr>
              <w:t>《大气污染物综合排放标准》（GB16297-1996）表2二级标准；《表面涂装（汽车制造及维修）挥发性有机物、镍排放标准》（DB43/1356-2017）表3标准</w:t>
            </w:r>
          </w:p>
        </w:tc>
      </w:tr>
      <w:tr w14:paraId="6F6F9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vMerge w:val="continue"/>
            <w:noWrap w:val="0"/>
            <w:tcMar>
              <w:top w:w="57" w:type="dxa"/>
              <w:left w:w="108" w:type="dxa"/>
              <w:bottom w:w="57" w:type="dxa"/>
              <w:right w:w="108" w:type="dxa"/>
            </w:tcMar>
            <w:vAlign w:val="center"/>
          </w:tcPr>
          <w:p w14:paraId="4ECB2312">
            <w:pPr>
              <w:pStyle w:val="36"/>
              <w:keepNext w:val="0"/>
              <w:keepLines w:val="0"/>
              <w:suppressLineNumbers w:val="0"/>
              <w:spacing w:before="0" w:beforeAutospacing="0" w:after="0" w:afterAutospacing="0"/>
              <w:ind w:left="0" w:right="0"/>
              <w:rPr>
                <w:rFonts w:hint="eastAsia"/>
                <w:snapToGrid w:val="0"/>
                <w:color w:val="auto"/>
                <w:u w:val="none"/>
              </w:rPr>
            </w:pPr>
          </w:p>
        </w:tc>
        <w:tc>
          <w:tcPr>
            <w:tcW w:w="1329" w:type="dxa"/>
            <w:vMerge w:val="continue"/>
            <w:noWrap w:val="0"/>
            <w:tcMar>
              <w:top w:w="57" w:type="dxa"/>
              <w:left w:w="108" w:type="dxa"/>
              <w:bottom w:w="57" w:type="dxa"/>
              <w:right w:w="108" w:type="dxa"/>
            </w:tcMar>
            <w:vAlign w:val="center"/>
          </w:tcPr>
          <w:p w14:paraId="6C17E0C4">
            <w:pPr>
              <w:pStyle w:val="36"/>
              <w:keepNext w:val="0"/>
              <w:keepLines w:val="0"/>
              <w:suppressLineNumbers w:val="0"/>
              <w:spacing w:before="0" w:beforeAutospacing="0" w:after="0" w:afterAutospacing="0"/>
              <w:ind w:left="0" w:right="0"/>
              <w:rPr>
                <w:rFonts w:hint="eastAsia"/>
                <w:snapToGrid w:val="0"/>
                <w:color w:val="auto"/>
                <w:u w:val="none"/>
                <w:lang w:val="en-US" w:eastAsia="zh-CN"/>
              </w:rPr>
            </w:pPr>
          </w:p>
        </w:tc>
        <w:tc>
          <w:tcPr>
            <w:tcW w:w="1317" w:type="dxa"/>
            <w:noWrap w:val="0"/>
            <w:tcMar>
              <w:top w:w="57" w:type="dxa"/>
              <w:left w:w="108" w:type="dxa"/>
              <w:bottom w:w="57" w:type="dxa"/>
              <w:right w:w="108" w:type="dxa"/>
            </w:tcMar>
            <w:vAlign w:val="center"/>
          </w:tcPr>
          <w:p w14:paraId="2B76D870">
            <w:pPr>
              <w:keepNext w:val="0"/>
              <w:keepLines w:val="0"/>
              <w:widowControl/>
              <w:suppressLineNumbers w:val="0"/>
              <w:spacing w:before="0" w:beforeAutospacing="0" w:after="0" w:afterAutospacing="0"/>
              <w:ind w:left="0" w:leftChars="0" w:right="0" w:rightChars="0"/>
              <w:jc w:val="center"/>
              <w:textAlignment w:val="center"/>
              <w:rPr>
                <w:rFonts w:hint="default" w:eastAsia="宋体"/>
                <w:color w:val="auto"/>
                <w:u w:val="none"/>
                <w:lang w:val="en-US" w:eastAsia="zh-CN"/>
              </w:rPr>
            </w:pPr>
            <w:r>
              <w:rPr>
                <w:rFonts w:hint="eastAsia" w:cs="Times New Roman"/>
                <w:i w:val="0"/>
                <w:color w:val="auto"/>
                <w:kern w:val="0"/>
                <w:sz w:val="22"/>
                <w:szCs w:val="22"/>
                <w:u w:val="none"/>
                <w:lang w:val="en-US" w:eastAsia="zh-CN" w:bidi="ar"/>
              </w:rPr>
              <w:t>非甲烷总烃</w:t>
            </w:r>
          </w:p>
        </w:tc>
        <w:tc>
          <w:tcPr>
            <w:tcW w:w="2333" w:type="dxa"/>
            <w:vMerge w:val="continue"/>
            <w:noWrap w:val="0"/>
            <w:tcMar>
              <w:top w:w="57" w:type="dxa"/>
              <w:left w:w="108" w:type="dxa"/>
              <w:bottom w:w="57" w:type="dxa"/>
              <w:right w:w="108" w:type="dxa"/>
            </w:tcMar>
            <w:vAlign w:val="center"/>
          </w:tcPr>
          <w:p w14:paraId="0172EC43">
            <w:pPr>
              <w:pStyle w:val="36"/>
              <w:keepNext w:val="0"/>
              <w:keepLines w:val="0"/>
              <w:suppressLineNumbers w:val="0"/>
              <w:spacing w:before="0" w:beforeAutospacing="0" w:after="0" w:afterAutospacing="0"/>
              <w:ind w:left="0" w:right="0"/>
              <w:rPr>
                <w:rFonts w:hint="eastAsia"/>
                <w:color w:val="auto"/>
                <w:u w:val="none"/>
                <w:lang w:val="en-US" w:eastAsia="zh-CN"/>
              </w:rPr>
            </w:pPr>
          </w:p>
        </w:tc>
        <w:tc>
          <w:tcPr>
            <w:tcW w:w="3194" w:type="dxa"/>
            <w:vMerge w:val="continue"/>
            <w:noWrap w:val="0"/>
            <w:tcMar>
              <w:top w:w="57" w:type="dxa"/>
              <w:left w:w="108" w:type="dxa"/>
              <w:bottom w:w="57" w:type="dxa"/>
              <w:right w:w="108" w:type="dxa"/>
            </w:tcMar>
            <w:vAlign w:val="center"/>
          </w:tcPr>
          <w:p w14:paraId="7C675C88">
            <w:pPr>
              <w:pStyle w:val="93"/>
              <w:keepNext w:val="0"/>
              <w:keepLines w:val="0"/>
              <w:widowControl/>
              <w:suppressLineNumbers w:val="0"/>
              <w:spacing w:before="0" w:beforeAutospacing="0" w:after="0" w:afterAutospacing="0"/>
              <w:ind w:left="0" w:right="0"/>
              <w:rPr>
                <w:rFonts w:hint="eastAsia"/>
                <w:u w:val="none"/>
              </w:rPr>
            </w:pPr>
          </w:p>
        </w:tc>
      </w:tr>
      <w:tr w14:paraId="642F0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3" w:type="dxa"/>
            <w:vMerge w:val="continue"/>
            <w:noWrap w:val="0"/>
            <w:tcMar>
              <w:top w:w="57" w:type="dxa"/>
              <w:left w:w="108" w:type="dxa"/>
              <w:bottom w:w="57" w:type="dxa"/>
              <w:right w:w="108" w:type="dxa"/>
            </w:tcMar>
            <w:vAlign w:val="center"/>
          </w:tcPr>
          <w:p w14:paraId="577A33A0">
            <w:pPr>
              <w:pStyle w:val="36"/>
              <w:keepNext w:val="0"/>
              <w:keepLines w:val="0"/>
              <w:suppressLineNumbers w:val="0"/>
              <w:spacing w:before="0" w:beforeAutospacing="0" w:after="0" w:afterAutospacing="0"/>
              <w:ind w:left="0" w:right="0"/>
              <w:rPr>
                <w:rFonts w:hint="eastAsia"/>
                <w:snapToGrid w:val="0"/>
                <w:color w:val="auto"/>
                <w:u w:val="none"/>
              </w:rPr>
            </w:pPr>
          </w:p>
        </w:tc>
        <w:tc>
          <w:tcPr>
            <w:tcW w:w="1329" w:type="dxa"/>
            <w:noWrap w:val="0"/>
            <w:tcMar>
              <w:top w:w="57" w:type="dxa"/>
              <w:left w:w="108" w:type="dxa"/>
              <w:bottom w:w="57" w:type="dxa"/>
              <w:right w:w="108" w:type="dxa"/>
            </w:tcMar>
            <w:vAlign w:val="center"/>
          </w:tcPr>
          <w:p w14:paraId="08E17AE0">
            <w:pPr>
              <w:pStyle w:val="36"/>
              <w:keepNext w:val="0"/>
              <w:keepLines w:val="0"/>
              <w:suppressLineNumbers w:val="0"/>
              <w:spacing w:before="0" w:beforeAutospacing="0" w:after="0" w:afterAutospacing="0"/>
              <w:ind w:left="0" w:right="0"/>
              <w:rPr>
                <w:rFonts w:hint="default"/>
                <w:snapToGrid w:val="0"/>
                <w:color w:val="auto"/>
                <w:u w:val="none"/>
                <w:lang w:val="en-US" w:eastAsia="zh-CN"/>
              </w:rPr>
            </w:pPr>
            <w:r>
              <w:rPr>
                <w:rFonts w:hint="eastAsia"/>
                <w:snapToGrid w:val="0"/>
                <w:color w:val="auto"/>
                <w:u w:val="none"/>
                <w:lang w:val="en-US" w:eastAsia="zh-CN"/>
              </w:rPr>
              <w:t>厂区内</w:t>
            </w:r>
          </w:p>
        </w:tc>
        <w:tc>
          <w:tcPr>
            <w:tcW w:w="1317" w:type="dxa"/>
            <w:noWrap w:val="0"/>
            <w:tcMar>
              <w:top w:w="57" w:type="dxa"/>
              <w:left w:w="108" w:type="dxa"/>
              <w:bottom w:w="57" w:type="dxa"/>
              <w:right w:w="108" w:type="dxa"/>
            </w:tcMar>
            <w:vAlign w:val="center"/>
          </w:tcPr>
          <w:p w14:paraId="3A1F2176">
            <w:pPr>
              <w:keepNext w:val="0"/>
              <w:keepLines w:val="0"/>
              <w:widowControl/>
              <w:suppressLineNumbers w:val="0"/>
              <w:spacing w:before="0" w:beforeAutospacing="0" w:after="0" w:afterAutospacing="0"/>
              <w:ind w:left="0" w:leftChars="0" w:right="0" w:rightChars="0"/>
              <w:jc w:val="center"/>
              <w:textAlignment w:val="center"/>
              <w:rPr>
                <w:rFonts w:hint="eastAsia"/>
                <w:color w:val="auto"/>
                <w:u w:val="none"/>
                <w:lang w:val="en-US" w:eastAsia="zh-CN"/>
              </w:rPr>
            </w:pPr>
            <w:r>
              <w:rPr>
                <w:rFonts w:hint="eastAsia" w:cs="Times New Roman"/>
                <w:i w:val="0"/>
                <w:color w:val="auto"/>
                <w:kern w:val="0"/>
                <w:sz w:val="22"/>
                <w:szCs w:val="22"/>
                <w:u w:val="none"/>
                <w:lang w:val="en-US" w:eastAsia="zh-CN" w:bidi="ar"/>
              </w:rPr>
              <w:t>非甲烷总烃</w:t>
            </w:r>
          </w:p>
        </w:tc>
        <w:tc>
          <w:tcPr>
            <w:tcW w:w="2333" w:type="dxa"/>
            <w:noWrap w:val="0"/>
            <w:tcMar>
              <w:top w:w="57" w:type="dxa"/>
              <w:left w:w="108" w:type="dxa"/>
              <w:bottom w:w="57" w:type="dxa"/>
              <w:right w:w="108" w:type="dxa"/>
            </w:tcMar>
            <w:vAlign w:val="center"/>
          </w:tcPr>
          <w:p w14:paraId="06E21662">
            <w:pPr>
              <w:pStyle w:val="36"/>
              <w:keepNext w:val="0"/>
              <w:keepLines w:val="0"/>
              <w:suppressLineNumbers w:val="0"/>
              <w:spacing w:before="0" w:beforeAutospacing="0" w:after="0" w:afterAutospacing="0"/>
              <w:ind w:left="0" w:right="0"/>
              <w:rPr>
                <w:rFonts w:hint="eastAsia"/>
                <w:color w:val="auto"/>
                <w:u w:val="none"/>
                <w:lang w:val="en-US" w:eastAsia="zh-CN"/>
              </w:rPr>
            </w:pPr>
            <w:r>
              <w:rPr>
                <w:rFonts w:hint="eastAsia"/>
                <w:color w:val="auto"/>
                <w:u w:val="none"/>
                <w:lang w:val="en-US" w:eastAsia="zh-CN"/>
              </w:rPr>
              <w:t>加强厂区车间通风</w:t>
            </w:r>
          </w:p>
        </w:tc>
        <w:tc>
          <w:tcPr>
            <w:tcW w:w="3194" w:type="dxa"/>
            <w:noWrap w:val="0"/>
            <w:tcMar>
              <w:top w:w="57" w:type="dxa"/>
              <w:left w:w="108" w:type="dxa"/>
              <w:bottom w:w="57" w:type="dxa"/>
              <w:right w:w="108" w:type="dxa"/>
            </w:tcMar>
            <w:vAlign w:val="center"/>
          </w:tcPr>
          <w:p w14:paraId="1294FB6C">
            <w:pPr>
              <w:pStyle w:val="93"/>
              <w:keepNext w:val="0"/>
              <w:keepLines w:val="0"/>
              <w:widowControl/>
              <w:suppressLineNumbers w:val="0"/>
              <w:spacing w:before="0" w:beforeAutospacing="0" w:after="0" w:afterAutospacing="0"/>
              <w:ind w:left="0" w:right="0"/>
              <w:rPr>
                <w:rFonts w:hint="eastAsia"/>
                <w:u w:val="none"/>
              </w:rPr>
            </w:pPr>
            <w:r>
              <w:rPr>
                <w:rFonts w:hint="eastAsia"/>
                <w:u w:val="none"/>
              </w:rPr>
              <w:t>《挥发性有机物无组织排放控制标准》（GB37822-2019）附录A表A.1中排放限值要求</w:t>
            </w:r>
          </w:p>
        </w:tc>
      </w:tr>
      <w:tr w14:paraId="1ADB2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vMerge w:val="continue"/>
            <w:noWrap w:val="0"/>
            <w:tcMar>
              <w:top w:w="57" w:type="dxa"/>
              <w:left w:w="108" w:type="dxa"/>
              <w:bottom w:w="57" w:type="dxa"/>
              <w:right w:w="108" w:type="dxa"/>
            </w:tcMar>
            <w:vAlign w:val="center"/>
          </w:tcPr>
          <w:p w14:paraId="3A1CA926">
            <w:pPr>
              <w:pStyle w:val="36"/>
              <w:keepNext w:val="0"/>
              <w:keepLines w:val="0"/>
              <w:suppressLineNumbers w:val="0"/>
              <w:spacing w:before="0" w:beforeAutospacing="0" w:after="0" w:afterAutospacing="0"/>
              <w:ind w:left="0" w:right="0"/>
              <w:rPr>
                <w:rFonts w:hint="eastAsia"/>
                <w:snapToGrid w:val="0"/>
                <w:color w:val="auto"/>
                <w:u w:val="none"/>
              </w:rPr>
            </w:pPr>
          </w:p>
        </w:tc>
        <w:tc>
          <w:tcPr>
            <w:tcW w:w="1329" w:type="dxa"/>
            <w:vMerge w:val="restart"/>
            <w:noWrap w:val="0"/>
            <w:tcMar>
              <w:top w:w="57" w:type="dxa"/>
              <w:left w:w="108" w:type="dxa"/>
              <w:bottom w:w="57" w:type="dxa"/>
              <w:right w:w="108" w:type="dxa"/>
            </w:tcMar>
            <w:vAlign w:val="center"/>
          </w:tcPr>
          <w:p w14:paraId="7CA32E07">
            <w:pPr>
              <w:pStyle w:val="36"/>
              <w:keepNext w:val="0"/>
              <w:keepLines w:val="0"/>
              <w:suppressLineNumbers w:val="0"/>
              <w:spacing w:before="0" w:beforeAutospacing="0" w:after="0" w:afterAutospacing="0"/>
              <w:ind w:left="0" w:right="0"/>
              <w:rPr>
                <w:rFonts w:hint="eastAsia"/>
                <w:snapToGrid w:val="0"/>
                <w:color w:val="auto"/>
                <w:u w:val="none"/>
                <w:lang w:val="en-US" w:eastAsia="zh-CN"/>
              </w:rPr>
            </w:pPr>
            <w:r>
              <w:rPr>
                <w:rFonts w:hint="eastAsia"/>
                <w:snapToGrid w:val="0"/>
                <w:color w:val="auto"/>
                <w:u w:val="none"/>
                <w:lang w:val="en-US" w:eastAsia="zh-CN"/>
              </w:rPr>
              <w:t>喷漆废气排放口</w:t>
            </w:r>
          </w:p>
          <w:p w14:paraId="487EB069">
            <w:pPr>
              <w:pStyle w:val="36"/>
              <w:keepNext w:val="0"/>
              <w:keepLines w:val="0"/>
              <w:suppressLineNumbers w:val="0"/>
              <w:spacing w:before="0" w:beforeAutospacing="0" w:after="0" w:afterAutospacing="0"/>
              <w:ind w:left="0" w:right="0"/>
              <w:rPr>
                <w:rFonts w:hint="default"/>
                <w:snapToGrid w:val="0"/>
                <w:color w:val="auto"/>
                <w:u w:val="none"/>
                <w:lang w:val="en-US" w:eastAsia="zh-CN"/>
              </w:rPr>
            </w:pPr>
            <w:r>
              <w:rPr>
                <w:rFonts w:hint="eastAsia"/>
                <w:snapToGrid w:val="0"/>
                <w:color w:val="auto"/>
                <w:u w:val="none"/>
                <w:lang w:val="en-US" w:eastAsia="zh-CN"/>
              </w:rPr>
              <w:t>DA001</w:t>
            </w:r>
          </w:p>
        </w:tc>
        <w:tc>
          <w:tcPr>
            <w:tcW w:w="1317" w:type="dxa"/>
            <w:noWrap w:val="0"/>
            <w:tcMar>
              <w:top w:w="57" w:type="dxa"/>
              <w:left w:w="108" w:type="dxa"/>
              <w:bottom w:w="57" w:type="dxa"/>
              <w:right w:w="108" w:type="dxa"/>
            </w:tcMar>
            <w:vAlign w:val="center"/>
          </w:tcPr>
          <w:p w14:paraId="77B14535">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颗粒物</w:t>
            </w:r>
          </w:p>
        </w:tc>
        <w:tc>
          <w:tcPr>
            <w:tcW w:w="2333" w:type="dxa"/>
            <w:vMerge w:val="restart"/>
            <w:noWrap w:val="0"/>
            <w:tcMar>
              <w:top w:w="57" w:type="dxa"/>
              <w:left w:w="108" w:type="dxa"/>
              <w:bottom w:w="57" w:type="dxa"/>
              <w:right w:w="108" w:type="dxa"/>
            </w:tcMar>
            <w:vAlign w:val="center"/>
          </w:tcPr>
          <w:p w14:paraId="7F7F8E0E">
            <w:pPr>
              <w:pStyle w:val="36"/>
              <w:keepNext w:val="0"/>
              <w:keepLines w:val="0"/>
              <w:suppressLineNumbers w:val="0"/>
              <w:spacing w:before="0" w:beforeAutospacing="0" w:after="0" w:afterAutospacing="0"/>
              <w:ind w:left="0" w:right="0"/>
              <w:rPr>
                <w:rFonts w:hint="eastAsia"/>
                <w:color w:val="auto"/>
                <w:u w:val="none"/>
                <w:lang w:val="en-US" w:eastAsia="zh-CN"/>
              </w:rPr>
            </w:pPr>
            <w:r>
              <w:rPr>
                <w:rFonts w:hint="eastAsia"/>
                <w:color w:val="auto"/>
                <w:u w:val="none"/>
                <w:lang w:val="en-US" w:eastAsia="zh-CN"/>
              </w:rPr>
              <w:t>过滤棉+二级活性炭吸附装置处理，处理后经15m排气筒高空排放</w:t>
            </w:r>
          </w:p>
        </w:tc>
        <w:tc>
          <w:tcPr>
            <w:tcW w:w="3194" w:type="dxa"/>
            <w:vMerge w:val="restart"/>
            <w:noWrap w:val="0"/>
            <w:tcMar>
              <w:top w:w="57" w:type="dxa"/>
              <w:left w:w="108" w:type="dxa"/>
              <w:bottom w:w="57" w:type="dxa"/>
              <w:right w:w="108" w:type="dxa"/>
            </w:tcMar>
            <w:vAlign w:val="center"/>
          </w:tcPr>
          <w:p w14:paraId="5367FF02">
            <w:pPr>
              <w:pStyle w:val="93"/>
              <w:keepNext w:val="0"/>
              <w:keepLines w:val="0"/>
              <w:widowControl/>
              <w:suppressLineNumbers w:val="0"/>
              <w:spacing w:before="0" w:beforeAutospacing="0" w:after="0" w:afterAutospacing="0"/>
              <w:ind w:left="0" w:right="0"/>
              <w:rPr>
                <w:rFonts w:hint="eastAsia"/>
                <w:u w:val="none"/>
              </w:rPr>
            </w:pPr>
            <w:r>
              <w:rPr>
                <w:rFonts w:hint="eastAsia"/>
                <w:u w:val="none"/>
              </w:rPr>
              <w:t>《大气污染物综合排放标准》（GB16297-1996）表2二级标准、</w:t>
            </w:r>
          </w:p>
          <w:p w14:paraId="4A269BDD">
            <w:pPr>
              <w:pStyle w:val="93"/>
              <w:keepNext w:val="0"/>
              <w:keepLines w:val="0"/>
              <w:widowControl/>
              <w:suppressLineNumbers w:val="0"/>
              <w:spacing w:before="0" w:beforeAutospacing="0" w:after="0" w:afterAutospacing="0"/>
              <w:ind w:left="0" w:right="0"/>
              <w:rPr>
                <w:rFonts w:hint="eastAsia"/>
                <w:u w:val="none"/>
              </w:rPr>
            </w:pPr>
            <w:r>
              <w:rPr>
                <w:rFonts w:hint="eastAsia"/>
                <w:u w:val="none"/>
              </w:rPr>
              <w:t>《表面涂装（汽车制造及维修）挥发性有机物、镍排放标准》（DB43/1356-2017）表3标准</w:t>
            </w:r>
          </w:p>
        </w:tc>
      </w:tr>
      <w:tr w14:paraId="459A1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vMerge w:val="continue"/>
            <w:noWrap w:val="0"/>
            <w:tcMar>
              <w:top w:w="57" w:type="dxa"/>
              <w:left w:w="108" w:type="dxa"/>
              <w:bottom w:w="57" w:type="dxa"/>
              <w:right w:w="108" w:type="dxa"/>
            </w:tcMar>
            <w:vAlign w:val="center"/>
          </w:tcPr>
          <w:p w14:paraId="2F7E0F90">
            <w:pPr>
              <w:pStyle w:val="36"/>
              <w:keepNext w:val="0"/>
              <w:keepLines w:val="0"/>
              <w:suppressLineNumbers w:val="0"/>
              <w:spacing w:before="0" w:beforeAutospacing="0" w:after="0" w:afterAutospacing="0"/>
              <w:ind w:left="0" w:right="0"/>
              <w:rPr>
                <w:rFonts w:hint="eastAsia"/>
                <w:snapToGrid w:val="0"/>
                <w:color w:val="auto"/>
                <w:u w:val="none"/>
              </w:rPr>
            </w:pPr>
          </w:p>
        </w:tc>
        <w:tc>
          <w:tcPr>
            <w:tcW w:w="1329" w:type="dxa"/>
            <w:vMerge w:val="continue"/>
            <w:noWrap w:val="0"/>
            <w:tcMar>
              <w:top w:w="57" w:type="dxa"/>
              <w:left w:w="108" w:type="dxa"/>
              <w:bottom w:w="57" w:type="dxa"/>
              <w:right w:w="108" w:type="dxa"/>
            </w:tcMar>
            <w:vAlign w:val="center"/>
          </w:tcPr>
          <w:p w14:paraId="14E12977">
            <w:pPr>
              <w:pStyle w:val="36"/>
              <w:keepNext w:val="0"/>
              <w:keepLines w:val="0"/>
              <w:suppressLineNumbers w:val="0"/>
              <w:spacing w:before="0" w:beforeAutospacing="0" w:after="0" w:afterAutospacing="0"/>
              <w:ind w:left="0" w:right="0"/>
              <w:rPr>
                <w:rFonts w:hint="eastAsia"/>
                <w:snapToGrid w:val="0"/>
                <w:color w:val="auto"/>
                <w:u w:val="none"/>
                <w:lang w:val="en-US" w:eastAsia="zh-CN"/>
              </w:rPr>
            </w:pPr>
          </w:p>
        </w:tc>
        <w:tc>
          <w:tcPr>
            <w:tcW w:w="1317" w:type="dxa"/>
            <w:noWrap w:val="0"/>
            <w:tcMar>
              <w:top w:w="57" w:type="dxa"/>
              <w:left w:w="108" w:type="dxa"/>
              <w:bottom w:w="57" w:type="dxa"/>
              <w:right w:w="108" w:type="dxa"/>
            </w:tcMar>
            <w:vAlign w:val="center"/>
          </w:tcPr>
          <w:p w14:paraId="64E6395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2"/>
                <w:szCs w:val="22"/>
                <w:u w:val="none"/>
                <w:lang w:val="en-US" w:eastAsia="zh-CN" w:bidi="ar"/>
              </w:rPr>
            </w:pPr>
            <w:r>
              <w:rPr>
                <w:rFonts w:hint="default" w:ascii="Times New Roman" w:hAnsi="Times New Roman" w:cs="Times New Roman"/>
                <w:i w:val="0"/>
                <w:color w:val="auto"/>
                <w:kern w:val="0"/>
                <w:sz w:val="22"/>
                <w:szCs w:val="22"/>
                <w:u w:val="none"/>
                <w:lang w:val="en-US" w:eastAsia="zh-CN" w:bidi="ar"/>
              </w:rPr>
              <w:t>非甲烷总烃、TVOCs</w:t>
            </w:r>
          </w:p>
        </w:tc>
        <w:tc>
          <w:tcPr>
            <w:tcW w:w="2333" w:type="dxa"/>
            <w:vMerge w:val="continue"/>
            <w:noWrap w:val="0"/>
            <w:tcMar>
              <w:top w:w="57" w:type="dxa"/>
              <w:left w:w="108" w:type="dxa"/>
              <w:bottom w:w="57" w:type="dxa"/>
              <w:right w:w="108" w:type="dxa"/>
            </w:tcMar>
            <w:vAlign w:val="center"/>
          </w:tcPr>
          <w:p w14:paraId="51884C26">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auto"/>
                <w:kern w:val="0"/>
                <w:sz w:val="22"/>
                <w:szCs w:val="22"/>
                <w:u w:val="none"/>
                <w:lang w:val="en-US" w:eastAsia="zh-CN" w:bidi="ar"/>
              </w:rPr>
            </w:pPr>
          </w:p>
        </w:tc>
        <w:tc>
          <w:tcPr>
            <w:tcW w:w="3194" w:type="dxa"/>
            <w:vMerge w:val="continue"/>
            <w:noWrap w:val="0"/>
            <w:tcMar>
              <w:top w:w="57" w:type="dxa"/>
              <w:left w:w="108" w:type="dxa"/>
              <w:bottom w:w="57" w:type="dxa"/>
              <w:right w:w="108" w:type="dxa"/>
            </w:tcMar>
            <w:vAlign w:val="center"/>
          </w:tcPr>
          <w:p w14:paraId="496D8876">
            <w:pPr>
              <w:pStyle w:val="93"/>
              <w:keepNext w:val="0"/>
              <w:keepLines w:val="0"/>
              <w:widowControl/>
              <w:suppressLineNumbers w:val="0"/>
              <w:spacing w:before="0" w:beforeAutospacing="0" w:after="0" w:afterAutospacing="0"/>
              <w:ind w:left="0" w:right="0"/>
              <w:rPr>
                <w:rFonts w:hint="eastAsia"/>
                <w:u w:val="none"/>
              </w:rPr>
            </w:pPr>
          </w:p>
        </w:tc>
      </w:tr>
      <w:tr w14:paraId="6A33F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vMerge w:val="continue"/>
            <w:noWrap w:val="0"/>
            <w:tcMar>
              <w:top w:w="57" w:type="dxa"/>
              <w:left w:w="108" w:type="dxa"/>
              <w:bottom w:w="57" w:type="dxa"/>
              <w:right w:w="108" w:type="dxa"/>
            </w:tcMar>
            <w:vAlign w:val="center"/>
          </w:tcPr>
          <w:p w14:paraId="562974D1">
            <w:pPr>
              <w:pStyle w:val="36"/>
              <w:keepNext w:val="0"/>
              <w:keepLines w:val="0"/>
              <w:suppressLineNumbers w:val="0"/>
              <w:spacing w:before="0" w:beforeAutospacing="0" w:after="0" w:afterAutospacing="0"/>
              <w:ind w:left="0" w:right="0"/>
              <w:rPr>
                <w:rFonts w:hint="eastAsia"/>
                <w:snapToGrid w:val="0"/>
                <w:color w:val="auto"/>
                <w:u w:val="none"/>
              </w:rPr>
            </w:pPr>
          </w:p>
        </w:tc>
        <w:tc>
          <w:tcPr>
            <w:tcW w:w="1329" w:type="dxa"/>
            <w:noWrap w:val="0"/>
            <w:tcMar>
              <w:top w:w="57" w:type="dxa"/>
              <w:left w:w="108" w:type="dxa"/>
              <w:bottom w:w="57" w:type="dxa"/>
              <w:right w:w="108" w:type="dxa"/>
            </w:tcMar>
            <w:vAlign w:val="center"/>
          </w:tcPr>
          <w:p w14:paraId="7F6389A3">
            <w:pPr>
              <w:pStyle w:val="36"/>
              <w:keepNext w:val="0"/>
              <w:keepLines w:val="0"/>
              <w:suppressLineNumbers w:val="0"/>
              <w:spacing w:before="0" w:beforeAutospacing="0" w:after="0" w:afterAutospacing="0"/>
              <w:ind w:left="0" w:right="0"/>
              <w:rPr>
                <w:rFonts w:hint="default"/>
                <w:snapToGrid w:val="0"/>
                <w:color w:val="auto"/>
                <w:u w:val="none"/>
                <w:lang w:val="en-US" w:eastAsia="zh-CN"/>
              </w:rPr>
            </w:pPr>
            <w:r>
              <w:rPr>
                <w:rFonts w:hint="eastAsia"/>
                <w:snapToGrid w:val="0"/>
                <w:color w:val="auto"/>
                <w:u w:val="none"/>
                <w:lang w:val="en-US" w:eastAsia="zh-CN"/>
              </w:rPr>
              <w:t>食堂油烟</w:t>
            </w:r>
          </w:p>
        </w:tc>
        <w:tc>
          <w:tcPr>
            <w:tcW w:w="1317" w:type="dxa"/>
            <w:noWrap w:val="0"/>
            <w:tcMar>
              <w:top w:w="57" w:type="dxa"/>
              <w:left w:w="108" w:type="dxa"/>
              <w:bottom w:w="57" w:type="dxa"/>
              <w:right w:w="108" w:type="dxa"/>
            </w:tcMar>
            <w:vAlign w:val="center"/>
          </w:tcPr>
          <w:p w14:paraId="5D5325D1">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油烟</w:t>
            </w:r>
          </w:p>
        </w:tc>
        <w:tc>
          <w:tcPr>
            <w:tcW w:w="2333" w:type="dxa"/>
            <w:noWrap w:val="0"/>
            <w:tcMar>
              <w:top w:w="57" w:type="dxa"/>
              <w:left w:w="108" w:type="dxa"/>
              <w:bottom w:w="57" w:type="dxa"/>
              <w:right w:w="108" w:type="dxa"/>
            </w:tcMar>
            <w:vAlign w:val="center"/>
          </w:tcPr>
          <w:p w14:paraId="475AAEF0">
            <w:pPr>
              <w:pStyle w:val="36"/>
              <w:keepNext w:val="0"/>
              <w:keepLines w:val="0"/>
              <w:suppressLineNumbers w:val="0"/>
              <w:spacing w:before="0" w:beforeAutospacing="0" w:after="0" w:afterAutospacing="0"/>
              <w:ind w:left="0" w:right="0"/>
              <w:rPr>
                <w:rFonts w:hint="default" w:eastAsia="宋体"/>
                <w:color w:val="auto"/>
                <w:u w:val="none"/>
                <w:lang w:val="en-US" w:eastAsia="zh-CN"/>
              </w:rPr>
            </w:pPr>
            <w:r>
              <w:rPr>
                <w:rFonts w:hint="eastAsia"/>
                <w:color w:val="auto"/>
                <w:u w:val="none"/>
                <w:lang w:val="en-US" w:eastAsia="zh-CN"/>
              </w:rPr>
              <w:t>经油烟净化器处理后，</w:t>
            </w:r>
            <w:r>
              <w:rPr>
                <w:rFonts w:hint="eastAsia"/>
                <w:u w:val="none"/>
                <w:lang w:val="en-US" w:eastAsia="zh-CN"/>
              </w:rPr>
              <w:t>经管道高空排放</w:t>
            </w:r>
          </w:p>
        </w:tc>
        <w:tc>
          <w:tcPr>
            <w:tcW w:w="3194" w:type="dxa"/>
            <w:noWrap w:val="0"/>
            <w:tcMar>
              <w:top w:w="57" w:type="dxa"/>
              <w:left w:w="108" w:type="dxa"/>
              <w:bottom w:w="57" w:type="dxa"/>
              <w:right w:w="108" w:type="dxa"/>
            </w:tcMar>
            <w:vAlign w:val="center"/>
          </w:tcPr>
          <w:p w14:paraId="59A58A96">
            <w:pPr>
              <w:pStyle w:val="93"/>
              <w:keepNext w:val="0"/>
              <w:keepLines w:val="0"/>
              <w:widowControl/>
              <w:suppressLineNumbers w:val="0"/>
              <w:spacing w:before="0" w:beforeAutospacing="0" w:after="0" w:afterAutospacing="0"/>
              <w:ind w:left="0" w:right="0"/>
              <w:rPr>
                <w:rFonts w:hint="eastAsia" w:eastAsia="宋体"/>
                <w:u w:val="none"/>
                <w:lang w:eastAsia="zh-CN"/>
              </w:rPr>
            </w:pPr>
            <w:r>
              <w:rPr>
                <w:rFonts w:hint="eastAsia"/>
                <w:u w:val="none"/>
              </w:rPr>
              <w:t>《饮食业油烟排放标准（试行）》</w:t>
            </w:r>
            <w:r>
              <w:rPr>
                <w:rFonts w:hint="eastAsia"/>
                <w:u w:val="none"/>
                <w:lang w:val="en-US" w:eastAsia="zh-CN"/>
              </w:rPr>
              <w:t>(</w:t>
            </w:r>
            <w:r>
              <w:rPr>
                <w:rFonts w:hint="eastAsia"/>
                <w:u w:val="none"/>
              </w:rPr>
              <w:t>GB18483-2001</w:t>
            </w:r>
            <w:r>
              <w:rPr>
                <w:rFonts w:hint="eastAsia"/>
                <w:u w:val="none"/>
                <w:lang w:val="en-US" w:eastAsia="zh-CN"/>
              </w:rPr>
              <w:t>)</w:t>
            </w:r>
          </w:p>
        </w:tc>
      </w:tr>
      <w:tr w14:paraId="0CC55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noWrap w:val="0"/>
            <w:tcMar>
              <w:top w:w="57" w:type="dxa"/>
              <w:left w:w="108" w:type="dxa"/>
              <w:bottom w:w="57" w:type="dxa"/>
              <w:right w:w="108" w:type="dxa"/>
            </w:tcMar>
            <w:vAlign w:val="center"/>
          </w:tcPr>
          <w:p w14:paraId="564AB159">
            <w:pPr>
              <w:pStyle w:val="36"/>
              <w:keepNext w:val="0"/>
              <w:keepLines w:val="0"/>
              <w:suppressLineNumbers w:val="0"/>
              <w:spacing w:before="0" w:beforeAutospacing="0" w:after="0" w:afterAutospacing="0"/>
              <w:ind w:left="0" w:right="0"/>
              <w:rPr>
                <w:rFonts w:hint="eastAsia" w:eastAsia="宋体"/>
                <w:snapToGrid w:val="0"/>
                <w:color w:val="auto"/>
                <w:u w:val="none"/>
                <w:lang w:val="en-US" w:eastAsia="zh-CN"/>
              </w:rPr>
            </w:pPr>
            <w:r>
              <w:rPr>
                <w:rFonts w:hint="eastAsia"/>
                <w:snapToGrid w:val="0"/>
                <w:color w:val="auto"/>
                <w:u w:val="none"/>
                <w:lang w:val="en-US" w:eastAsia="zh-CN"/>
              </w:rPr>
              <w:t>地表水环境</w:t>
            </w:r>
          </w:p>
        </w:tc>
        <w:tc>
          <w:tcPr>
            <w:tcW w:w="1329" w:type="dxa"/>
            <w:noWrap w:val="0"/>
            <w:tcMar>
              <w:top w:w="57" w:type="dxa"/>
              <w:left w:w="108" w:type="dxa"/>
              <w:bottom w:w="57" w:type="dxa"/>
              <w:right w:w="108" w:type="dxa"/>
            </w:tcMar>
            <w:vAlign w:val="center"/>
          </w:tcPr>
          <w:p w14:paraId="4D9B10EA">
            <w:pPr>
              <w:pStyle w:val="36"/>
              <w:keepNext w:val="0"/>
              <w:keepLines w:val="0"/>
              <w:suppressLineNumbers w:val="0"/>
              <w:spacing w:before="0" w:beforeAutospacing="0" w:after="0" w:afterAutospacing="0"/>
              <w:ind w:left="0" w:leftChars="0" w:right="0" w:rightChars="0"/>
              <w:rPr>
                <w:rFonts w:hint="eastAsia"/>
                <w:snapToGrid w:val="0"/>
                <w:color w:val="auto"/>
                <w:u w:val="none"/>
                <w:lang w:val="en-US" w:eastAsia="zh-CN"/>
              </w:rPr>
            </w:pPr>
            <w:r>
              <w:rPr>
                <w:rFonts w:hint="eastAsia"/>
                <w:snapToGrid w:val="0"/>
                <w:color w:val="auto"/>
                <w:u w:val="none"/>
                <w:lang w:val="en-US" w:eastAsia="zh-CN"/>
              </w:rPr>
              <w:t>员工生活污水</w:t>
            </w:r>
          </w:p>
        </w:tc>
        <w:tc>
          <w:tcPr>
            <w:tcW w:w="1317" w:type="dxa"/>
            <w:noWrap w:val="0"/>
            <w:tcMar>
              <w:top w:w="57" w:type="dxa"/>
              <w:left w:w="108" w:type="dxa"/>
              <w:bottom w:w="57" w:type="dxa"/>
              <w:right w:w="108" w:type="dxa"/>
            </w:tcMar>
            <w:vAlign w:val="center"/>
          </w:tcPr>
          <w:p w14:paraId="67F5177B">
            <w:pPr>
              <w:pStyle w:val="36"/>
              <w:keepNext w:val="0"/>
              <w:keepLines w:val="0"/>
              <w:suppressLineNumbers w:val="0"/>
              <w:spacing w:before="0" w:beforeAutospacing="0" w:after="0" w:afterAutospacing="0"/>
              <w:ind w:left="0" w:leftChars="0" w:right="0" w:rightChars="0"/>
              <w:rPr>
                <w:rFonts w:hint="default" w:ascii="宋体" w:hAnsi="宋体" w:cs="宋体"/>
                <w:i w:val="0"/>
                <w:color w:val="auto"/>
                <w:kern w:val="0"/>
                <w:sz w:val="22"/>
                <w:szCs w:val="22"/>
                <w:u w:val="none"/>
                <w:lang w:val="en-US" w:eastAsia="zh-CN" w:bidi="ar"/>
              </w:rPr>
            </w:pPr>
            <w:r>
              <w:rPr>
                <w:rFonts w:hint="eastAsia"/>
                <w:snapToGrid w:val="0"/>
                <w:color w:val="auto"/>
                <w:u w:val="none"/>
                <w:lang w:val="en-US" w:eastAsia="zh-CN"/>
              </w:rPr>
              <w:t>pH、COD、BOD</w:t>
            </w:r>
            <w:r>
              <w:rPr>
                <w:rFonts w:hint="eastAsia"/>
                <w:snapToGrid w:val="0"/>
                <w:color w:val="auto"/>
                <w:u w:val="none"/>
                <w:vertAlign w:val="subscript"/>
                <w:lang w:val="en-US" w:eastAsia="zh-CN"/>
              </w:rPr>
              <w:t>5</w:t>
            </w:r>
            <w:r>
              <w:rPr>
                <w:rFonts w:hint="eastAsia"/>
                <w:snapToGrid w:val="0"/>
                <w:color w:val="auto"/>
                <w:u w:val="none"/>
                <w:lang w:val="en-US" w:eastAsia="zh-CN"/>
              </w:rPr>
              <w:t>、SS、NH</w:t>
            </w:r>
            <w:r>
              <w:rPr>
                <w:rFonts w:hint="eastAsia"/>
                <w:snapToGrid w:val="0"/>
                <w:color w:val="auto"/>
                <w:u w:val="none"/>
                <w:vertAlign w:val="subscript"/>
                <w:lang w:val="en-US" w:eastAsia="zh-CN"/>
              </w:rPr>
              <w:t>3</w:t>
            </w:r>
            <w:r>
              <w:rPr>
                <w:rFonts w:hint="eastAsia"/>
                <w:snapToGrid w:val="0"/>
                <w:color w:val="auto"/>
                <w:u w:val="none"/>
                <w:lang w:val="en-US" w:eastAsia="zh-CN"/>
              </w:rPr>
              <w:t>-N、动植物油</w:t>
            </w:r>
          </w:p>
        </w:tc>
        <w:tc>
          <w:tcPr>
            <w:tcW w:w="2333" w:type="dxa"/>
            <w:noWrap w:val="0"/>
            <w:tcMar>
              <w:top w:w="57" w:type="dxa"/>
              <w:left w:w="108" w:type="dxa"/>
              <w:bottom w:w="57" w:type="dxa"/>
              <w:right w:w="108" w:type="dxa"/>
            </w:tcMar>
            <w:vAlign w:val="center"/>
          </w:tcPr>
          <w:p w14:paraId="42AE0907">
            <w:pPr>
              <w:pStyle w:val="36"/>
              <w:keepNext w:val="0"/>
              <w:keepLines w:val="0"/>
              <w:suppressLineNumbers w:val="0"/>
              <w:spacing w:before="0" w:beforeAutospacing="0" w:after="0" w:afterAutospacing="0"/>
              <w:ind w:left="0" w:leftChars="0" w:right="0" w:rightChars="0"/>
              <w:rPr>
                <w:rFonts w:hint="default"/>
                <w:color w:val="auto"/>
                <w:u w:val="none"/>
                <w:lang w:val="en-US" w:eastAsia="zh-CN"/>
              </w:rPr>
            </w:pPr>
            <w:r>
              <w:rPr>
                <w:rFonts w:hint="eastAsia"/>
                <w:color w:val="auto"/>
                <w:u w:val="none"/>
                <w:lang w:val="en-US" w:eastAsia="zh-CN"/>
              </w:rPr>
              <w:t>隔油池+四格净化设施处理后用作农肥，不外排</w:t>
            </w:r>
          </w:p>
        </w:tc>
        <w:tc>
          <w:tcPr>
            <w:tcW w:w="3194" w:type="dxa"/>
            <w:noWrap w:val="0"/>
            <w:tcMar>
              <w:top w:w="57" w:type="dxa"/>
              <w:left w:w="108" w:type="dxa"/>
              <w:bottom w:w="57" w:type="dxa"/>
              <w:right w:w="108" w:type="dxa"/>
            </w:tcMar>
            <w:vAlign w:val="center"/>
          </w:tcPr>
          <w:p w14:paraId="7C0CA53A">
            <w:pPr>
              <w:pStyle w:val="36"/>
              <w:keepNext w:val="0"/>
              <w:keepLines w:val="0"/>
              <w:suppressLineNumbers w:val="0"/>
              <w:spacing w:before="0" w:beforeAutospacing="0" w:after="0" w:afterAutospacing="0"/>
              <w:ind w:left="0" w:leftChars="0" w:right="0" w:rightChars="0"/>
              <w:rPr>
                <w:rFonts w:hint="eastAsia" w:eastAsia="宋体"/>
                <w:u w:val="none"/>
                <w:lang w:val="en-US" w:eastAsia="zh-CN"/>
              </w:rPr>
            </w:pPr>
            <w:r>
              <w:rPr>
                <w:rFonts w:hint="eastAsia"/>
                <w:u w:val="none"/>
                <w:lang w:val="en-US" w:eastAsia="zh-CN"/>
              </w:rPr>
              <w:t>不外排</w:t>
            </w:r>
          </w:p>
        </w:tc>
      </w:tr>
      <w:tr w14:paraId="5AC4A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noWrap w:val="0"/>
            <w:tcMar>
              <w:top w:w="57" w:type="dxa"/>
              <w:left w:w="108" w:type="dxa"/>
              <w:bottom w:w="57" w:type="dxa"/>
              <w:right w:w="108" w:type="dxa"/>
            </w:tcMar>
            <w:vAlign w:val="center"/>
          </w:tcPr>
          <w:p w14:paraId="580F0489">
            <w:pPr>
              <w:pStyle w:val="36"/>
              <w:keepNext w:val="0"/>
              <w:keepLines w:val="0"/>
              <w:suppressLineNumbers w:val="0"/>
              <w:spacing w:before="0" w:beforeAutospacing="0" w:after="0" w:afterAutospacing="0"/>
              <w:ind w:left="0" w:right="0"/>
              <w:rPr>
                <w:rFonts w:hint="eastAsia" w:eastAsia="宋体"/>
                <w:snapToGrid w:val="0"/>
                <w:color w:val="auto"/>
                <w:u w:val="none"/>
                <w:lang w:eastAsia="zh-CN"/>
              </w:rPr>
            </w:pPr>
            <w:r>
              <w:rPr>
                <w:rFonts w:hint="default"/>
                <w:snapToGrid w:val="0"/>
                <w:color w:val="auto"/>
                <w:u w:val="none"/>
              </w:rPr>
              <w:t>声环境</w:t>
            </w:r>
          </w:p>
        </w:tc>
        <w:tc>
          <w:tcPr>
            <w:tcW w:w="1329" w:type="dxa"/>
            <w:noWrap w:val="0"/>
            <w:tcMar>
              <w:top w:w="57" w:type="dxa"/>
              <w:left w:w="108" w:type="dxa"/>
              <w:bottom w:w="57" w:type="dxa"/>
              <w:right w:w="108" w:type="dxa"/>
            </w:tcMar>
            <w:vAlign w:val="center"/>
          </w:tcPr>
          <w:p w14:paraId="2B5EA4FD">
            <w:pPr>
              <w:pStyle w:val="36"/>
              <w:keepNext w:val="0"/>
              <w:keepLines w:val="0"/>
              <w:suppressLineNumbers w:val="0"/>
              <w:spacing w:before="0" w:beforeAutospacing="0" w:after="0" w:afterAutospacing="0"/>
              <w:ind w:left="0" w:right="0"/>
              <w:rPr>
                <w:rFonts w:hint="default"/>
                <w:snapToGrid w:val="0"/>
                <w:color w:val="auto"/>
                <w:u w:val="none"/>
                <w:lang w:val="en-US"/>
              </w:rPr>
            </w:pPr>
            <w:r>
              <w:rPr>
                <w:rFonts w:hint="eastAsia"/>
                <w:snapToGrid w:val="0"/>
                <w:color w:val="auto"/>
                <w:u w:val="none"/>
                <w:lang w:val="en-US" w:eastAsia="zh-CN"/>
              </w:rPr>
              <w:t>生产车间设备</w:t>
            </w:r>
          </w:p>
        </w:tc>
        <w:tc>
          <w:tcPr>
            <w:tcW w:w="1317" w:type="dxa"/>
            <w:noWrap w:val="0"/>
            <w:tcMar>
              <w:top w:w="57" w:type="dxa"/>
              <w:left w:w="108" w:type="dxa"/>
              <w:bottom w:w="57" w:type="dxa"/>
              <w:right w:w="108" w:type="dxa"/>
            </w:tcMar>
            <w:vAlign w:val="center"/>
          </w:tcPr>
          <w:p w14:paraId="4FB5DAC0">
            <w:pPr>
              <w:pStyle w:val="36"/>
              <w:keepNext w:val="0"/>
              <w:keepLines w:val="0"/>
              <w:suppressLineNumbers w:val="0"/>
              <w:spacing w:before="0" w:beforeAutospacing="0" w:after="0" w:afterAutospacing="0"/>
              <w:ind w:left="0" w:right="0"/>
              <w:rPr>
                <w:rFonts w:hint="default"/>
                <w:snapToGrid w:val="0"/>
                <w:color w:val="auto"/>
                <w:u w:val="none"/>
              </w:rPr>
            </w:pPr>
            <w:r>
              <w:rPr>
                <w:rFonts w:hint="eastAsia"/>
                <w:snapToGrid w:val="0"/>
                <w:color w:val="auto"/>
                <w:u w:val="none"/>
              </w:rPr>
              <w:t>噪声</w:t>
            </w:r>
          </w:p>
        </w:tc>
        <w:tc>
          <w:tcPr>
            <w:tcW w:w="2333" w:type="dxa"/>
            <w:noWrap w:val="0"/>
            <w:tcMar>
              <w:top w:w="57" w:type="dxa"/>
              <w:left w:w="108" w:type="dxa"/>
              <w:bottom w:w="57" w:type="dxa"/>
              <w:right w:w="108" w:type="dxa"/>
            </w:tcMar>
            <w:vAlign w:val="center"/>
          </w:tcPr>
          <w:p w14:paraId="5A49E7C8">
            <w:pPr>
              <w:pStyle w:val="36"/>
              <w:keepNext w:val="0"/>
              <w:keepLines w:val="0"/>
              <w:suppressLineNumbers w:val="0"/>
              <w:spacing w:before="0" w:beforeAutospacing="0" w:after="0" w:afterAutospacing="0"/>
              <w:ind w:left="0" w:right="0"/>
              <w:rPr>
                <w:rFonts w:hint="default" w:eastAsia="宋体"/>
                <w:snapToGrid w:val="0"/>
                <w:color w:val="auto"/>
                <w:u w:val="none"/>
                <w:lang w:val="en-US" w:eastAsia="zh-CN"/>
              </w:rPr>
            </w:pPr>
            <w:r>
              <w:rPr>
                <w:rFonts w:hint="eastAsia"/>
                <w:snapToGrid w:val="0"/>
                <w:color w:val="auto"/>
                <w:u w:val="none"/>
                <w:lang w:val="en-US" w:eastAsia="zh-CN"/>
              </w:rPr>
              <w:t>基础减震</w:t>
            </w:r>
            <w:r>
              <w:rPr>
                <w:rFonts w:hint="eastAsia"/>
                <w:snapToGrid w:val="0"/>
                <w:color w:val="auto"/>
                <w:u w:val="none"/>
              </w:rPr>
              <w:t>、</w:t>
            </w:r>
            <w:r>
              <w:rPr>
                <w:rFonts w:hint="eastAsia"/>
                <w:snapToGrid w:val="0"/>
                <w:color w:val="auto"/>
                <w:u w:val="none"/>
                <w:lang w:val="en-US" w:eastAsia="zh-CN"/>
              </w:rPr>
              <w:t>厂房隔声</w:t>
            </w:r>
          </w:p>
        </w:tc>
        <w:tc>
          <w:tcPr>
            <w:tcW w:w="3194" w:type="dxa"/>
            <w:noWrap w:val="0"/>
            <w:tcMar>
              <w:top w:w="57" w:type="dxa"/>
              <w:left w:w="108" w:type="dxa"/>
              <w:bottom w:w="57" w:type="dxa"/>
              <w:right w:w="108" w:type="dxa"/>
            </w:tcMar>
            <w:vAlign w:val="center"/>
          </w:tcPr>
          <w:p w14:paraId="77E6311A">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《工业企业厂界环境噪声排放标准》</w:t>
            </w:r>
            <w:r>
              <w:rPr>
                <w:rFonts w:hint="eastAsia"/>
                <w:snapToGrid w:val="0"/>
                <w:color w:val="auto"/>
                <w:u w:val="none"/>
                <w:lang w:val="en-US" w:eastAsia="zh-CN"/>
              </w:rPr>
              <w:t>(</w:t>
            </w:r>
            <w:r>
              <w:rPr>
                <w:rFonts w:hint="default"/>
                <w:snapToGrid w:val="0"/>
                <w:color w:val="auto"/>
                <w:u w:val="none"/>
              </w:rPr>
              <w:t>GB12348-2008</w:t>
            </w:r>
            <w:r>
              <w:rPr>
                <w:rFonts w:hint="eastAsia"/>
                <w:snapToGrid w:val="0"/>
                <w:color w:val="auto"/>
                <w:u w:val="none"/>
                <w:lang w:val="en-US" w:eastAsia="zh-CN"/>
              </w:rPr>
              <w:t>)</w:t>
            </w:r>
            <w:r>
              <w:rPr>
                <w:rFonts w:hint="default"/>
                <w:snapToGrid w:val="0"/>
                <w:color w:val="auto"/>
                <w:u w:val="none"/>
              </w:rPr>
              <w:t>中</w:t>
            </w:r>
            <w:r>
              <w:rPr>
                <w:rFonts w:hint="eastAsia"/>
                <w:snapToGrid w:val="0"/>
                <w:color w:val="auto"/>
                <w:u w:val="none"/>
                <w:lang w:val="en-US" w:eastAsia="zh-CN"/>
              </w:rPr>
              <w:t>2类</w:t>
            </w:r>
            <w:r>
              <w:rPr>
                <w:rFonts w:hint="default"/>
                <w:snapToGrid w:val="0"/>
                <w:color w:val="auto"/>
                <w:u w:val="none"/>
              </w:rPr>
              <w:t>标准</w:t>
            </w:r>
          </w:p>
        </w:tc>
      </w:tr>
      <w:tr w14:paraId="36974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noWrap w:val="0"/>
            <w:tcMar>
              <w:top w:w="57" w:type="dxa"/>
              <w:left w:w="108" w:type="dxa"/>
              <w:bottom w:w="57" w:type="dxa"/>
              <w:right w:w="108" w:type="dxa"/>
            </w:tcMar>
            <w:vAlign w:val="center"/>
          </w:tcPr>
          <w:p w14:paraId="364D0B14">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电磁辐射</w:t>
            </w:r>
          </w:p>
        </w:tc>
        <w:tc>
          <w:tcPr>
            <w:tcW w:w="1329" w:type="dxa"/>
            <w:noWrap w:val="0"/>
            <w:tcMar>
              <w:top w:w="57" w:type="dxa"/>
              <w:left w:w="108" w:type="dxa"/>
              <w:bottom w:w="57" w:type="dxa"/>
              <w:right w:w="108" w:type="dxa"/>
            </w:tcMar>
            <w:vAlign w:val="center"/>
          </w:tcPr>
          <w:p w14:paraId="097C094C">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c>
          <w:tcPr>
            <w:tcW w:w="1317" w:type="dxa"/>
            <w:noWrap w:val="0"/>
            <w:tcMar>
              <w:top w:w="57" w:type="dxa"/>
              <w:left w:w="108" w:type="dxa"/>
              <w:bottom w:w="57" w:type="dxa"/>
              <w:right w:w="108" w:type="dxa"/>
            </w:tcMar>
            <w:vAlign w:val="center"/>
          </w:tcPr>
          <w:p w14:paraId="3128DC67">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c>
          <w:tcPr>
            <w:tcW w:w="2333" w:type="dxa"/>
            <w:noWrap w:val="0"/>
            <w:tcMar>
              <w:top w:w="57" w:type="dxa"/>
              <w:left w:w="108" w:type="dxa"/>
              <w:bottom w:w="57" w:type="dxa"/>
              <w:right w:w="108" w:type="dxa"/>
            </w:tcMar>
            <w:vAlign w:val="center"/>
          </w:tcPr>
          <w:p w14:paraId="729CBE73">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c>
          <w:tcPr>
            <w:tcW w:w="3194" w:type="dxa"/>
            <w:noWrap w:val="0"/>
            <w:tcMar>
              <w:top w:w="57" w:type="dxa"/>
              <w:left w:w="108" w:type="dxa"/>
              <w:bottom w:w="57" w:type="dxa"/>
              <w:right w:w="108" w:type="dxa"/>
            </w:tcMar>
            <w:vAlign w:val="center"/>
          </w:tcPr>
          <w:p w14:paraId="799683E3">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r>
      <w:tr w14:paraId="005F5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noWrap w:val="0"/>
            <w:tcMar>
              <w:top w:w="57" w:type="dxa"/>
              <w:left w:w="108" w:type="dxa"/>
              <w:bottom w:w="57" w:type="dxa"/>
              <w:right w:w="108" w:type="dxa"/>
            </w:tcMar>
            <w:vAlign w:val="center"/>
          </w:tcPr>
          <w:p w14:paraId="41D52056">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固体废物</w:t>
            </w:r>
          </w:p>
        </w:tc>
        <w:tc>
          <w:tcPr>
            <w:tcW w:w="8173" w:type="dxa"/>
            <w:gridSpan w:val="4"/>
            <w:noWrap w:val="0"/>
            <w:tcMar>
              <w:top w:w="57" w:type="dxa"/>
              <w:left w:w="108" w:type="dxa"/>
              <w:bottom w:w="57" w:type="dxa"/>
              <w:right w:w="108" w:type="dxa"/>
            </w:tcMar>
            <w:vAlign w:val="top"/>
          </w:tcPr>
          <w:p w14:paraId="18E4E794">
            <w:pPr>
              <w:pStyle w:val="36"/>
              <w:keepNext w:val="0"/>
              <w:keepLines w:val="0"/>
              <w:suppressLineNumbers w:val="0"/>
              <w:spacing w:before="0" w:beforeLines="0" w:beforeAutospacing="0" w:after="0" w:afterAutospacing="0" w:line="360" w:lineRule="auto"/>
              <w:ind w:left="0" w:right="0" w:firstLine="420" w:firstLineChars="200"/>
              <w:jc w:val="both"/>
              <w:rPr>
                <w:rFonts w:hint="eastAsia"/>
                <w:snapToGrid w:val="0"/>
                <w:color w:val="auto"/>
                <w:u w:val="none"/>
              </w:rPr>
            </w:pPr>
            <w:r>
              <w:rPr>
                <w:rFonts w:hint="eastAsia"/>
                <w:snapToGrid w:val="0"/>
                <w:color w:val="auto"/>
                <w:u w:val="none"/>
                <w:lang w:eastAsia="zh-CN"/>
              </w:rPr>
              <w:t>金属废屑和金属边角料、废包装材料、焊渣、废焊条暂存于固废间进行资源回收利用，漆渣、废漆桶、废活性炭、废过滤棉、含油废包装桶、废抹布、废手套和废棉布等废弃物经危废暂存间暂存后交由有资单位进行处置，生活垃圾定期交由环卫部门清运处理。</w:t>
            </w:r>
          </w:p>
        </w:tc>
      </w:tr>
      <w:tr w14:paraId="5B5C8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noWrap w:val="0"/>
            <w:tcMar>
              <w:top w:w="57" w:type="dxa"/>
              <w:left w:w="108" w:type="dxa"/>
              <w:bottom w:w="57" w:type="dxa"/>
              <w:right w:w="108" w:type="dxa"/>
            </w:tcMar>
            <w:vAlign w:val="center"/>
          </w:tcPr>
          <w:p w14:paraId="66A51568">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土壤及地下水污染防治措施</w:t>
            </w:r>
          </w:p>
        </w:tc>
        <w:tc>
          <w:tcPr>
            <w:tcW w:w="8173" w:type="dxa"/>
            <w:gridSpan w:val="4"/>
            <w:noWrap w:val="0"/>
            <w:tcMar>
              <w:top w:w="57" w:type="dxa"/>
              <w:left w:w="108" w:type="dxa"/>
              <w:bottom w:w="57" w:type="dxa"/>
              <w:right w:w="108" w:type="dxa"/>
            </w:tcMar>
            <w:vAlign w:val="center"/>
          </w:tcPr>
          <w:p w14:paraId="38C008D3">
            <w:pPr>
              <w:pStyle w:val="36"/>
              <w:keepNext w:val="0"/>
              <w:keepLines w:val="0"/>
              <w:suppressLineNumbers w:val="0"/>
              <w:spacing w:before="0" w:beforeAutospacing="0" w:after="0" w:afterAutospacing="0" w:line="360" w:lineRule="auto"/>
              <w:ind w:left="0" w:right="0"/>
              <w:rPr>
                <w:rFonts w:hint="default"/>
                <w:snapToGrid w:val="0"/>
                <w:color w:val="auto"/>
                <w:u w:val="none"/>
              </w:rPr>
            </w:pPr>
            <w:r>
              <w:rPr>
                <w:rFonts w:hint="eastAsia"/>
                <w:snapToGrid w:val="0"/>
                <w:color w:val="auto"/>
                <w:u w:val="none"/>
              </w:rPr>
              <w:t>本环评要求建设方加强化学品及危险废物的储存和使用管理，避免危险废物及化学品洒落污染土壤地下水。</w:t>
            </w:r>
          </w:p>
        </w:tc>
      </w:tr>
      <w:tr w14:paraId="35C04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noWrap w:val="0"/>
            <w:tcMar>
              <w:top w:w="57" w:type="dxa"/>
              <w:left w:w="108" w:type="dxa"/>
              <w:bottom w:w="57" w:type="dxa"/>
              <w:right w:w="108" w:type="dxa"/>
            </w:tcMar>
            <w:vAlign w:val="center"/>
          </w:tcPr>
          <w:p w14:paraId="007F9FED">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生态保护措施</w:t>
            </w:r>
          </w:p>
        </w:tc>
        <w:tc>
          <w:tcPr>
            <w:tcW w:w="8173" w:type="dxa"/>
            <w:gridSpan w:val="4"/>
            <w:noWrap w:val="0"/>
            <w:tcMar>
              <w:top w:w="57" w:type="dxa"/>
              <w:left w:w="108" w:type="dxa"/>
              <w:bottom w:w="57" w:type="dxa"/>
              <w:right w:w="108" w:type="dxa"/>
            </w:tcMar>
            <w:vAlign w:val="center"/>
          </w:tcPr>
          <w:p w14:paraId="098FAF17">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w:t>
            </w:r>
          </w:p>
        </w:tc>
      </w:tr>
      <w:tr w14:paraId="7B9DB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noWrap w:val="0"/>
            <w:tcMar>
              <w:top w:w="57" w:type="dxa"/>
              <w:left w:w="108" w:type="dxa"/>
              <w:bottom w:w="57" w:type="dxa"/>
              <w:right w:w="108" w:type="dxa"/>
            </w:tcMar>
            <w:vAlign w:val="center"/>
          </w:tcPr>
          <w:p w14:paraId="7121711F">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环境风险防范措施</w:t>
            </w:r>
          </w:p>
        </w:tc>
        <w:tc>
          <w:tcPr>
            <w:tcW w:w="8173" w:type="dxa"/>
            <w:gridSpan w:val="4"/>
            <w:noWrap w:val="0"/>
            <w:tcMar>
              <w:top w:w="57" w:type="dxa"/>
              <w:left w:w="108" w:type="dxa"/>
              <w:bottom w:w="57" w:type="dxa"/>
              <w:right w:w="108" w:type="dxa"/>
            </w:tcMar>
            <w:vAlign w:val="top"/>
          </w:tcPr>
          <w:p w14:paraId="366864E7">
            <w:pPr>
              <w:pStyle w:val="36"/>
              <w:keepNext w:val="0"/>
              <w:keepLines w:val="0"/>
              <w:suppressLineNumbers w:val="0"/>
              <w:spacing w:before="0" w:beforeLines="0" w:beforeAutospacing="0" w:after="0" w:afterAutospacing="0" w:line="360" w:lineRule="auto"/>
              <w:ind w:left="0" w:right="0" w:firstLine="420" w:firstLineChars="200"/>
              <w:jc w:val="both"/>
              <w:rPr>
                <w:rFonts w:hint="eastAsia"/>
                <w:color w:val="auto"/>
                <w:u w:val="none"/>
              </w:rPr>
            </w:pPr>
            <w:r>
              <w:rPr>
                <w:rFonts w:hint="eastAsia"/>
                <w:color w:val="auto"/>
                <w:u w:val="none"/>
                <w:lang w:val="en-US" w:eastAsia="zh-CN"/>
              </w:rPr>
              <w:t>针对</w:t>
            </w:r>
            <w:r>
              <w:rPr>
                <w:rFonts w:hint="eastAsia"/>
                <w:color w:val="auto"/>
                <w:u w:val="none"/>
              </w:rPr>
              <w:t>火灾风险防范</w:t>
            </w:r>
            <w:r>
              <w:rPr>
                <w:rFonts w:hint="eastAsia"/>
                <w:color w:val="auto"/>
                <w:u w:val="none"/>
                <w:lang w:eastAsia="zh-CN"/>
              </w:rPr>
              <w:t>，</w:t>
            </w:r>
            <w:r>
              <w:rPr>
                <w:rFonts w:hint="eastAsia"/>
                <w:color w:val="auto"/>
                <w:u w:val="none"/>
              </w:rPr>
              <w:t>①生产车间应按规范配置灭火器材和消防装备；②在生产区域明显位置张贴禁用明火的告示；③工作人员要熟练掌握操作技术和防火安全管理规定；④定期检查材料存储的安全状态，以防止泄露引发火灾、爆炸。</w:t>
            </w:r>
          </w:p>
          <w:p w14:paraId="0BD2A3D4">
            <w:pPr>
              <w:pStyle w:val="36"/>
              <w:keepNext w:val="0"/>
              <w:keepLines w:val="0"/>
              <w:suppressLineNumbers w:val="0"/>
              <w:spacing w:before="0" w:beforeLines="0" w:beforeAutospacing="0" w:after="0" w:afterAutospacing="0" w:line="360" w:lineRule="auto"/>
              <w:ind w:left="0" w:right="0" w:firstLine="420" w:firstLineChars="200"/>
              <w:jc w:val="both"/>
              <w:rPr>
                <w:rFonts w:hint="eastAsia"/>
                <w:color w:val="auto"/>
                <w:u w:val="none"/>
              </w:rPr>
            </w:pPr>
            <w:r>
              <w:rPr>
                <w:rFonts w:hint="eastAsia"/>
                <w:color w:val="auto"/>
                <w:u w:val="none"/>
                <w:lang w:val="en-US" w:eastAsia="zh-CN"/>
              </w:rPr>
              <w:t>针对</w:t>
            </w:r>
            <w:r>
              <w:rPr>
                <w:rFonts w:hint="eastAsia"/>
                <w:color w:val="auto"/>
                <w:u w:val="none"/>
              </w:rPr>
              <w:t>危险物质泄露</w:t>
            </w:r>
            <w:r>
              <w:rPr>
                <w:rFonts w:hint="eastAsia"/>
                <w:color w:val="auto"/>
                <w:u w:val="none"/>
                <w:lang w:eastAsia="zh-CN"/>
              </w:rPr>
              <w:t>，</w:t>
            </w:r>
            <w:r>
              <w:rPr>
                <w:rFonts w:hint="eastAsia"/>
                <w:color w:val="auto"/>
                <w:u w:val="none"/>
              </w:rPr>
              <w:t>①仓库应做好防渗防腐处理，避免硬底化被破坏导致下渗；②车间应做好周边防护措施，如设置一定高度围堰，防范危险物质泄露蔓延到周边区域；③定期检查危险物质存储的安全状态，定期检查其包装有无破损，以防止泄露。</w:t>
            </w:r>
          </w:p>
          <w:p w14:paraId="0A286525">
            <w:pPr>
              <w:pStyle w:val="36"/>
              <w:keepNext w:val="0"/>
              <w:keepLines w:val="0"/>
              <w:suppressLineNumbers w:val="0"/>
              <w:spacing w:before="0" w:beforeLines="0" w:beforeAutospacing="0" w:after="0" w:afterAutospacing="0" w:line="360" w:lineRule="auto"/>
              <w:ind w:left="0" w:right="0" w:firstLine="420" w:firstLineChars="200"/>
              <w:jc w:val="both"/>
              <w:rPr>
                <w:rFonts w:hint="default"/>
                <w:snapToGrid w:val="0"/>
                <w:color w:val="auto"/>
                <w:u w:val="none"/>
              </w:rPr>
            </w:pPr>
            <w:r>
              <w:rPr>
                <w:rFonts w:hint="eastAsia"/>
                <w:color w:val="auto"/>
                <w:u w:val="none"/>
                <w:lang w:val="en-US" w:eastAsia="zh-CN"/>
              </w:rPr>
              <w:t>针对</w:t>
            </w:r>
            <w:r>
              <w:rPr>
                <w:rFonts w:hint="eastAsia"/>
                <w:color w:val="auto"/>
                <w:u w:val="none"/>
              </w:rPr>
              <w:t>废气事故排放</w:t>
            </w:r>
            <w:r>
              <w:rPr>
                <w:rFonts w:hint="eastAsia"/>
                <w:color w:val="auto"/>
                <w:u w:val="none"/>
                <w:lang w:eastAsia="zh-CN"/>
              </w:rPr>
              <w:t>，</w:t>
            </w:r>
            <w:r>
              <w:rPr>
                <w:rFonts w:hint="eastAsia"/>
                <w:color w:val="auto"/>
                <w:u w:val="none"/>
              </w:rPr>
              <w:t>①</w:t>
            </w:r>
            <w:r>
              <w:rPr>
                <w:rFonts w:hint="eastAsia"/>
                <w:color w:val="auto"/>
                <w:u w:val="none"/>
                <w:lang w:val="en-US" w:eastAsia="zh-CN"/>
              </w:rPr>
              <w:t>应</w:t>
            </w:r>
            <w:r>
              <w:rPr>
                <w:rFonts w:hint="eastAsia"/>
                <w:color w:val="auto"/>
                <w:u w:val="none"/>
              </w:rPr>
              <w:t>定期检查废气处理设施；②发生事故情况立即停止生产。</w:t>
            </w:r>
          </w:p>
        </w:tc>
      </w:tr>
      <w:tr w14:paraId="2C24E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83" w:type="dxa"/>
            <w:shd w:val="clear" w:color="auto" w:fill="auto"/>
            <w:noWrap w:val="0"/>
            <w:tcMar>
              <w:top w:w="57" w:type="dxa"/>
              <w:left w:w="108" w:type="dxa"/>
              <w:bottom w:w="57" w:type="dxa"/>
              <w:right w:w="108" w:type="dxa"/>
            </w:tcMar>
            <w:vAlign w:val="center"/>
          </w:tcPr>
          <w:p w14:paraId="529DC426">
            <w:pPr>
              <w:pStyle w:val="36"/>
              <w:keepNext w:val="0"/>
              <w:keepLines w:val="0"/>
              <w:suppressLineNumbers w:val="0"/>
              <w:spacing w:before="0" w:beforeAutospacing="0" w:after="0" w:afterAutospacing="0"/>
              <w:ind w:left="0" w:right="0"/>
              <w:rPr>
                <w:rFonts w:hint="default"/>
                <w:snapToGrid w:val="0"/>
                <w:color w:val="auto"/>
                <w:u w:val="none"/>
              </w:rPr>
            </w:pPr>
            <w:r>
              <w:rPr>
                <w:rFonts w:hint="default"/>
                <w:snapToGrid w:val="0"/>
                <w:color w:val="auto"/>
                <w:u w:val="none"/>
              </w:rPr>
              <w:t>其他环境管理要求</w:t>
            </w:r>
          </w:p>
        </w:tc>
        <w:tc>
          <w:tcPr>
            <w:tcW w:w="8173" w:type="dxa"/>
            <w:gridSpan w:val="4"/>
            <w:shd w:val="clear" w:color="auto" w:fill="auto"/>
            <w:noWrap w:val="0"/>
            <w:tcMar>
              <w:top w:w="57" w:type="dxa"/>
              <w:left w:w="108" w:type="dxa"/>
              <w:bottom w:w="57" w:type="dxa"/>
              <w:right w:w="108" w:type="dxa"/>
            </w:tcMar>
            <w:vAlign w:val="center"/>
          </w:tcPr>
          <w:p w14:paraId="3159B896">
            <w:pPr>
              <w:keepNext w:val="0"/>
              <w:keepLines w:val="0"/>
              <w:suppressLineNumbers w:val="0"/>
              <w:snapToGrid w:val="0"/>
              <w:spacing w:before="0" w:beforeAutospacing="0" w:after="0" w:afterAutospacing="0" w:line="360" w:lineRule="auto"/>
              <w:ind w:left="0" w:right="0"/>
              <w:jc w:val="left"/>
              <w:rPr>
                <w:rFonts w:hint="eastAsia" w:ascii="Times New Roman" w:hAnsi="Times New Roman" w:eastAsia="宋体" w:cs="Times New Roman"/>
                <w:b/>
                <w:bCs/>
                <w:color w:val="auto"/>
                <w:kern w:val="2"/>
                <w:sz w:val="21"/>
                <w:szCs w:val="24"/>
                <w:u w:val="none"/>
                <w:lang w:val="en-US" w:eastAsia="zh-CN" w:bidi="ar-SA"/>
              </w:rPr>
            </w:pPr>
            <w:r>
              <w:rPr>
                <w:rFonts w:hint="eastAsia" w:ascii="Times New Roman" w:hAnsi="Times New Roman" w:eastAsia="宋体" w:cs="Times New Roman"/>
                <w:b/>
                <w:bCs/>
                <w:color w:val="auto"/>
                <w:kern w:val="2"/>
                <w:sz w:val="21"/>
                <w:szCs w:val="24"/>
                <w:u w:val="none"/>
                <w:lang w:val="en-US" w:eastAsia="zh-CN" w:bidi="ar-SA"/>
              </w:rPr>
              <w:t>（1）排污口设置要求</w:t>
            </w:r>
          </w:p>
          <w:p w14:paraId="54D6A3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① 排放口规范化整治应遵循便于采集样品、便于计量监测、便于日常现场监督检查的原则。</w:t>
            </w:r>
          </w:p>
          <w:p w14:paraId="77262F7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② 废气排放筒/烟囱均应设置便于采样、监测的采样口和采样监测平台，设置提示性环境保护图形标志牌。</w:t>
            </w:r>
          </w:p>
          <w:p w14:paraId="3BE25F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③ 固体废物贮存场所应符合《一般工业固体废物贮存和填埋污染控制标准》（GB18599-2020）要求。在固体废物贮存场所边界各进出路口设置标志牌。</w:t>
            </w:r>
          </w:p>
          <w:p w14:paraId="5FF285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④ 噪声排放源标志牌应设置在距选定监测点较近且醒目处。固定噪声污染源对边界影响最大处，须按《工业企业厂界噪声测量方法》的规定，设置环境噪声监测点，并在该处附近醒目处设置环境保护图形标志牌。</w:t>
            </w:r>
          </w:p>
          <w:p w14:paraId="60D740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⑤ 建立排放口相应的监督管理档案，内容包括排污单位名称，排放口性质及编号，排放口的地理位置，排放的污染物种类、数量、浓度及排放去向，设运行情况及日常现场监督检查记录等有关资料和记录等。</w:t>
            </w:r>
          </w:p>
          <w:p w14:paraId="1D5C51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 xml:space="preserve">⑥ </w:t>
            </w:r>
            <w:r>
              <w:rPr>
                <w:rFonts w:hint="eastAsia" w:ascii="Times New Roman" w:hAnsi="Times New Roman" w:eastAsia="宋体" w:cs="Times New Roman"/>
                <w:color w:val="auto"/>
                <w:kern w:val="2"/>
                <w:sz w:val="21"/>
                <w:szCs w:val="24"/>
                <w:u w:val="none"/>
                <w:lang w:val="en-US" w:eastAsia="zh-CN" w:bidi="ar-SA"/>
              </w:rPr>
              <w:t>排污口应依照《环境保护图形标志排放口（源）》（GB15562.1-1995）</w:t>
            </w:r>
            <w:r>
              <w:rPr>
                <w:rFonts w:hint="default" w:ascii="Times New Roman" w:hAnsi="Times New Roman" w:eastAsia="宋体" w:cs="Times New Roman"/>
                <w:color w:val="auto"/>
                <w:kern w:val="2"/>
                <w:sz w:val="21"/>
                <w:szCs w:val="24"/>
                <w:u w:val="none"/>
                <w:lang w:val="en-US" w:eastAsia="zh-CN" w:bidi="ar-SA"/>
              </w:rPr>
              <w:t>、《环境保护图形标志 固体废物贮存（处置）场》（GB15562.2-1995）及2023年修改单、《危险废物识别标志设置技术规范》（HJ1276-2022）设置专项图标，详见下表：</w:t>
            </w:r>
          </w:p>
          <w:p w14:paraId="2E3A86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表5-1 排放口标志牌的图形标志</w:t>
            </w:r>
          </w:p>
          <w:tbl>
            <w:tblPr>
              <w:tblStyle w:val="25"/>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187"/>
              <w:gridCol w:w="2352"/>
              <w:gridCol w:w="2036"/>
              <w:gridCol w:w="1589"/>
            </w:tblGrid>
            <w:tr w14:paraId="4F81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90" w:type="pct"/>
                  <w:tcBorders>
                    <w:tl2br w:val="nil"/>
                    <w:tr2bl w:val="nil"/>
                  </w:tcBorders>
                  <w:noWrap w:val="0"/>
                  <w:vAlign w:val="center"/>
                </w:tcPr>
                <w:p w14:paraId="0D687A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序号</w:t>
                  </w:r>
                </w:p>
              </w:tc>
              <w:tc>
                <w:tcPr>
                  <w:tcW w:w="747" w:type="pct"/>
                  <w:tcBorders>
                    <w:tl2br w:val="nil"/>
                    <w:tr2bl w:val="nil"/>
                  </w:tcBorders>
                  <w:noWrap w:val="0"/>
                  <w:vAlign w:val="center"/>
                </w:tcPr>
                <w:p w14:paraId="044519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标志名称</w:t>
                  </w:r>
                </w:p>
              </w:tc>
              <w:tc>
                <w:tcPr>
                  <w:tcW w:w="1480" w:type="pct"/>
                  <w:tcBorders>
                    <w:tl2br w:val="nil"/>
                    <w:tr2bl w:val="nil"/>
                  </w:tcBorders>
                  <w:noWrap w:val="0"/>
                  <w:vAlign w:val="center"/>
                </w:tcPr>
                <w:p w14:paraId="2CEDE5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提示图形符号</w:t>
                  </w:r>
                </w:p>
              </w:tc>
              <w:tc>
                <w:tcPr>
                  <w:tcW w:w="1281" w:type="pct"/>
                  <w:tcBorders>
                    <w:tl2br w:val="nil"/>
                    <w:tr2bl w:val="nil"/>
                  </w:tcBorders>
                  <w:noWrap w:val="0"/>
                  <w:vAlign w:val="center"/>
                </w:tcPr>
                <w:p w14:paraId="4A387E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警告图形符号</w:t>
                  </w:r>
                </w:p>
              </w:tc>
              <w:tc>
                <w:tcPr>
                  <w:tcW w:w="1000" w:type="pct"/>
                  <w:tcBorders>
                    <w:tl2br w:val="nil"/>
                    <w:tr2bl w:val="nil"/>
                  </w:tcBorders>
                  <w:noWrap w:val="0"/>
                  <w:vAlign w:val="center"/>
                </w:tcPr>
                <w:p w14:paraId="7DCCDB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功能说明</w:t>
                  </w:r>
                </w:p>
              </w:tc>
            </w:tr>
            <w:tr w14:paraId="21A3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013C0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1</w:t>
                  </w:r>
                </w:p>
              </w:tc>
              <w:tc>
                <w:tcPr>
                  <w:tcW w:w="747" w:type="pct"/>
                  <w:tcBorders>
                    <w:tl2br w:val="nil"/>
                    <w:tr2bl w:val="nil"/>
                  </w:tcBorders>
                  <w:noWrap w:val="0"/>
                  <w:vAlign w:val="center"/>
                </w:tcPr>
                <w:p w14:paraId="5D3F59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废气排放口</w:t>
                  </w:r>
                </w:p>
              </w:tc>
              <w:tc>
                <w:tcPr>
                  <w:tcW w:w="1480" w:type="pct"/>
                  <w:tcBorders>
                    <w:tl2br w:val="nil"/>
                    <w:tr2bl w:val="nil"/>
                  </w:tcBorders>
                  <w:noWrap w:val="0"/>
                  <w:vAlign w:val="center"/>
                </w:tcPr>
                <w:p w14:paraId="13C230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97585" cy="997585"/>
                        <wp:effectExtent l="0" t="0" r="12065" b="12065"/>
                        <wp:docPr id="1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
                                <pic:cNvPicPr>
                                  <a:picLocks noChangeAspect="1"/>
                                </pic:cNvPicPr>
                              </pic:nvPicPr>
                              <pic:blipFill>
                                <a:blip r:embed="rId9">
                                  <a:lum bright="6000" contrast="6000"/>
                                </a:blip>
                                <a:stretch>
                                  <a:fillRect/>
                                </a:stretch>
                              </pic:blipFill>
                              <pic:spPr>
                                <a:xfrm>
                                  <a:off x="0" y="0"/>
                                  <a:ext cx="997585" cy="997585"/>
                                </a:xfrm>
                                <a:prstGeom prst="rect">
                                  <a:avLst/>
                                </a:prstGeom>
                                <a:noFill/>
                                <a:ln>
                                  <a:noFill/>
                                </a:ln>
                              </pic:spPr>
                            </pic:pic>
                          </a:graphicData>
                        </a:graphic>
                      </wp:inline>
                    </w:drawing>
                  </w:r>
                </w:p>
              </w:tc>
              <w:tc>
                <w:tcPr>
                  <w:tcW w:w="1281" w:type="pct"/>
                  <w:tcBorders>
                    <w:tl2br w:val="nil"/>
                    <w:tr2bl w:val="nil"/>
                  </w:tcBorders>
                  <w:noWrap w:val="0"/>
                  <w:vAlign w:val="center"/>
                </w:tcPr>
                <w:p w14:paraId="141D4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69010" cy="861695"/>
                        <wp:effectExtent l="0" t="0" r="2540" b="14605"/>
                        <wp:docPr id="1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2"/>
                                <pic:cNvPicPr>
                                  <a:picLocks noChangeAspect="1"/>
                                </pic:cNvPicPr>
                              </pic:nvPicPr>
                              <pic:blipFill>
                                <a:blip r:embed="rId10">
                                  <a:lum bright="12000" contrast="17999"/>
                                </a:blip>
                                <a:stretch>
                                  <a:fillRect/>
                                </a:stretch>
                              </pic:blipFill>
                              <pic:spPr>
                                <a:xfrm>
                                  <a:off x="0" y="0"/>
                                  <a:ext cx="969010" cy="861695"/>
                                </a:xfrm>
                                <a:prstGeom prst="rect">
                                  <a:avLst/>
                                </a:prstGeom>
                                <a:noFill/>
                                <a:ln>
                                  <a:noFill/>
                                </a:ln>
                              </pic:spPr>
                            </pic:pic>
                          </a:graphicData>
                        </a:graphic>
                      </wp:inline>
                    </w:drawing>
                  </w:r>
                </w:p>
              </w:tc>
              <w:tc>
                <w:tcPr>
                  <w:tcW w:w="1000" w:type="pct"/>
                  <w:tcBorders>
                    <w:tl2br w:val="nil"/>
                    <w:tr2bl w:val="nil"/>
                  </w:tcBorders>
                  <w:noWrap w:val="0"/>
                  <w:vAlign w:val="center"/>
                </w:tcPr>
                <w:p w14:paraId="181C97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表示废气向</w:t>
                  </w:r>
                  <w:r>
                    <w:rPr>
                      <w:rFonts w:hint="eastAsia" w:eastAsia="宋体" w:cs="Times New Roman"/>
                      <w:sz w:val="21"/>
                      <w:szCs w:val="21"/>
                      <w:u w:val="none" w:color="auto"/>
                      <w:vertAlign w:val="baseline"/>
                      <w:lang w:val="en-US" w:eastAsia="zh-CN"/>
                    </w:rPr>
                    <w:t>外</w:t>
                  </w:r>
                  <w:r>
                    <w:rPr>
                      <w:rFonts w:hint="default" w:ascii="Times New Roman" w:hAnsi="Times New Roman" w:eastAsia="宋体" w:cs="Times New Roman"/>
                      <w:sz w:val="21"/>
                      <w:szCs w:val="21"/>
                      <w:u w:val="none" w:color="auto"/>
                      <w:vertAlign w:val="baseline"/>
                      <w:lang w:val="en-US" w:eastAsia="zh-CN"/>
                    </w:rPr>
                    <w:t>环境排放</w:t>
                  </w:r>
                </w:p>
              </w:tc>
            </w:tr>
            <w:tr w14:paraId="6B25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5A49DC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2</w:t>
                  </w:r>
                </w:p>
              </w:tc>
              <w:tc>
                <w:tcPr>
                  <w:tcW w:w="747" w:type="pct"/>
                  <w:tcBorders>
                    <w:tl2br w:val="nil"/>
                    <w:tr2bl w:val="nil"/>
                  </w:tcBorders>
                  <w:noWrap w:val="0"/>
                  <w:vAlign w:val="center"/>
                </w:tcPr>
                <w:p w14:paraId="065F0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废水排放口</w:t>
                  </w:r>
                </w:p>
              </w:tc>
              <w:tc>
                <w:tcPr>
                  <w:tcW w:w="1480" w:type="pct"/>
                  <w:tcBorders>
                    <w:tl2br w:val="nil"/>
                    <w:tr2bl w:val="nil"/>
                  </w:tcBorders>
                  <w:noWrap w:val="0"/>
                  <w:vAlign w:val="center"/>
                </w:tcPr>
                <w:p w14:paraId="6F77B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eastAsia="zh-CN"/>
                    </w:rPr>
                  </w:pPr>
                  <w:r>
                    <w:rPr>
                      <w:rFonts w:hint="default" w:ascii="Times New Roman" w:hAnsi="Times New Roman" w:eastAsia="宋体" w:cs="Times New Roman"/>
                      <w:sz w:val="21"/>
                      <w:szCs w:val="21"/>
                      <w:u w:val="none" w:color="auto"/>
                      <w:lang w:eastAsia="zh-CN"/>
                    </w:rPr>
                    <w:drawing>
                      <wp:inline distT="0" distB="0" distL="114300" distR="114300">
                        <wp:extent cx="996315" cy="996315"/>
                        <wp:effectExtent l="0" t="0" r="13335" b="13335"/>
                        <wp:docPr id="106" name="图片 3" descr="171124964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 descr="1711249641557"/>
                                <pic:cNvPicPr>
                                  <a:picLocks noChangeAspect="1"/>
                                </pic:cNvPicPr>
                              </pic:nvPicPr>
                              <pic:blipFill>
                                <a:blip r:embed="rId11">
                                  <a:lum bright="6000"/>
                                </a:blip>
                                <a:stretch>
                                  <a:fillRect/>
                                </a:stretch>
                              </pic:blipFill>
                              <pic:spPr>
                                <a:xfrm>
                                  <a:off x="0" y="0"/>
                                  <a:ext cx="996315" cy="996315"/>
                                </a:xfrm>
                                <a:prstGeom prst="rect">
                                  <a:avLst/>
                                </a:prstGeom>
                                <a:noFill/>
                                <a:ln>
                                  <a:noFill/>
                                </a:ln>
                              </pic:spPr>
                            </pic:pic>
                          </a:graphicData>
                        </a:graphic>
                      </wp:inline>
                    </w:drawing>
                  </w:r>
                </w:p>
              </w:tc>
              <w:tc>
                <w:tcPr>
                  <w:tcW w:w="1281" w:type="pct"/>
                  <w:tcBorders>
                    <w:tl2br w:val="nil"/>
                    <w:tr2bl w:val="nil"/>
                  </w:tcBorders>
                  <w:noWrap w:val="0"/>
                  <w:vAlign w:val="center"/>
                </w:tcPr>
                <w:p w14:paraId="3DC28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eastAsia="zh-CN"/>
                    </w:rPr>
                  </w:pPr>
                  <w:r>
                    <w:rPr>
                      <w:rFonts w:hint="default" w:ascii="Times New Roman" w:hAnsi="Times New Roman" w:eastAsia="宋体" w:cs="Times New Roman"/>
                      <w:sz w:val="21"/>
                      <w:szCs w:val="21"/>
                      <w:u w:val="none" w:color="auto"/>
                      <w:lang w:eastAsia="zh-CN"/>
                    </w:rPr>
                    <w:drawing>
                      <wp:inline distT="0" distB="0" distL="114300" distR="114300">
                        <wp:extent cx="969010" cy="882015"/>
                        <wp:effectExtent l="0" t="0" r="2540" b="13335"/>
                        <wp:docPr id="107" name="图片 4" descr="171124969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4" descr="1711249699813"/>
                                <pic:cNvPicPr>
                                  <a:picLocks noChangeAspect="1"/>
                                </pic:cNvPicPr>
                              </pic:nvPicPr>
                              <pic:blipFill>
                                <a:blip r:embed="rId12"/>
                                <a:stretch>
                                  <a:fillRect/>
                                </a:stretch>
                              </pic:blipFill>
                              <pic:spPr>
                                <a:xfrm>
                                  <a:off x="0" y="0"/>
                                  <a:ext cx="969010" cy="882015"/>
                                </a:xfrm>
                                <a:prstGeom prst="rect">
                                  <a:avLst/>
                                </a:prstGeom>
                                <a:noFill/>
                                <a:ln>
                                  <a:noFill/>
                                </a:ln>
                              </pic:spPr>
                            </pic:pic>
                          </a:graphicData>
                        </a:graphic>
                      </wp:inline>
                    </w:drawing>
                  </w:r>
                </w:p>
              </w:tc>
              <w:tc>
                <w:tcPr>
                  <w:tcW w:w="1000" w:type="pct"/>
                  <w:tcBorders>
                    <w:tl2br w:val="nil"/>
                    <w:tr2bl w:val="nil"/>
                  </w:tcBorders>
                  <w:noWrap w:val="0"/>
                  <w:vAlign w:val="center"/>
                </w:tcPr>
                <w:p w14:paraId="2C3F4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表示废</w:t>
                  </w:r>
                  <w:r>
                    <w:rPr>
                      <w:rFonts w:hint="eastAsia" w:ascii="Times New Roman" w:hAnsi="Times New Roman" w:eastAsia="宋体" w:cs="Times New Roman"/>
                      <w:sz w:val="21"/>
                      <w:szCs w:val="21"/>
                      <w:u w:val="none" w:color="auto"/>
                      <w:vertAlign w:val="baseline"/>
                      <w:lang w:val="en-US" w:eastAsia="zh-CN"/>
                    </w:rPr>
                    <w:t>水</w:t>
                  </w:r>
                  <w:r>
                    <w:rPr>
                      <w:rFonts w:hint="default" w:ascii="Times New Roman" w:hAnsi="Times New Roman" w:eastAsia="宋体" w:cs="Times New Roman"/>
                      <w:sz w:val="21"/>
                      <w:szCs w:val="21"/>
                      <w:u w:val="none" w:color="auto"/>
                      <w:vertAlign w:val="baseline"/>
                      <w:lang w:val="en-US" w:eastAsia="zh-CN"/>
                    </w:rPr>
                    <w:t>向</w:t>
                  </w:r>
                  <w:r>
                    <w:rPr>
                      <w:rFonts w:hint="eastAsia" w:ascii="Times New Roman" w:hAnsi="Times New Roman" w:eastAsia="宋体" w:cs="Times New Roman"/>
                      <w:sz w:val="21"/>
                      <w:szCs w:val="21"/>
                      <w:u w:val="none" w:color="auto"/>
                      <w:vertAlign w:val="baseline"/>
                      <w:lang w:val="en-US" w:eastAsia="zh-CN"/>
                    </w:rPr>
                    <w:t>外</w:t>
                  </w:r>
                  <w:r>
                    <w:rPr>
                      <w:rFonts w:hint="default" w:ascii="Times New Roman" w:hAnsi="Times New Roman" w:eastAsia="宋体" w:cs="Times New Roman"/>
                      <w:sz w:val="21"/>
                      <w:szCs w:val="21"/>
                      <w:u w:val="none" w:color="auto"/>
                      <w:vertAlign w:val="baseline"/>
                      <w:lang w:val="en-US" w:eastAsia="zh-CN"/>
                    </w:rPr>
                    <w:t>环境排放</w:t>
                  </w:r>
                </w:p>
              </w:tc>
            </w:tr>
            <w:tr w14:paraId="30B4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6468FE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3</w:t>
                  </w:r>
                </w:p>
              </w:tc>
              <w:tc>
                <w:tcPr>
                  <w:tcW w:w="747" w:type="pct"/>
                  <w:tcBorders>
                    <w:tl2br w:val="nil"/>
                    <w:tr2bl w:val="nil"/>
                  </w:tcBorders>
                  <w:noWrap w:val="0"/>
                  <w:vAlign w:val="center"/>
                </w:tcPr>
                <w:p w14:paraId="4E821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噪声排放源</w:t>
                  </w:r>
                </w:p>
              </w:tc>
              <w:tc>
                <w:tcPr>
                  <w:tcW w:w="1480" w:type="pct"/>
                  <w:tcBorders>
                    <w:tl2br w:val="nil"/>
                    <w:tr2bl w:val="nil"/>
                  </w:tcBorders>
                  <w:noWrap w:val="0"/>
                  <w:vAlign w:val="center"/>
                </w:tcPr>
                <w:p w14:paraId="7B2185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97585" cy="997585"/>
                        <wp:effectExtent l="0" t="0" r="12065" b="12065"/>
                        <wp:docPr id="10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5"/>
                                <pic:cNvPicPr>
                                  <a:picLocks noChangeAspect="1"/>
                                </pic:cNvPicPr>
                              </pic:nvPicPr>
                              <pic:blipFill>
                                <a:blip r:embed="rId13">
                                  <a:lum bright="6000"/>
                                </a:blip>
                                <a:stretch>
                                  <a:fillRect/>
                                </a:stretch>
                              </pic:blipFill>
                              <pic:spPr>
                                <a:xfrm>
                                  <a:off x="0" y="0"/>
                                  <a:ext cx="997585" cy="997585"/>
                                </a:xfrm>
                                <a:prstGeom prst="rect">
                                  <a:avLst/>
                                </a:prstGeom>
                                <a:noFill/>
                                <a:ln>
                                  <a:noFill/>
                                </a:ln>
                              </pic:spPr>
                            </pic:pic>
                          </a:graphicData>
                        </a:graphic>
                      </wp:inline>
                    </w:drawing>
                  </w:r>
                </w:p>
              </w:tc>
              <w:tc>
                <w:tcPr>
                  <w:tcW w:w="1281" w:type="pct"/>
                  <w:tcBorders>
                    <w:tl2br w:val="nil"/>
                    <w:tr2bl w:val="nil"/>
                  </w:tcBorders>
                  <w:noWrap w:val="0"/>
                  <w:vAlign w:val="center"/>
                </w:tcPr>
                <w:p w14:paraId="31B8C2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69010" cy="861695"/>
                        <wp:effectExtent l="0" t="0" r="2540" b="14605"/>
                        <wp:docPr id="10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6"/>
                                <pic:cNvPicPr>
                                  <a:picLocks noChangeAspect="1"/>
                                </pic:cNvPicPr>
                              </pic:nvPicPr>
                              <pic:blipFill>
                                <a:blip r:embed="rId14">
                                  <a:lum bright="12000" contrast="17999"/>
                                </a:blip>
                                <a:stretch>
                                  <a:fillRect/>
                                </a:stretch>
                              </pic:blipFill>
                              <pic:spPr>
                                <a:xfrm>
                                  <a:off x="0" y="0"/>
                                  <a:ext cx="969010" cy="861695"/>
                                </a:xfrm>
                                <a:prstGeom prst="rect">
                                  <a:avLst/>
                                </a:prstGeom>
                                <a:noFill/>
                                <a:ln>
                                  <a:noFill/>
                                </a:ln>
                              </pic:spPr>
                            </pic:pic>
                          </a:graphicData>
                        </a:graphic>
                      </wp:inline>
                    </w:drawing>
                  </w:r>
                </w:p>
              </w:tc>
              <w:tc>
                <w:tcPr>
                  <w:tcW w:w="1000" w:type="pct"/>
                  <w:tcBorders>
                    <w:tl2br w:val="nil"/>
                    <w:tr2bl w:val="nil"/>
                  </w:tcBorders>
                  <w:noWrap w:val="0"/>
                  <w:vAlign w:val="center"/>
                </w:tcPr>
                <w:p w14:paraId="5094AA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表示噪声向外环境排放</w:t>
                  </w:r>
                </w:p>
              </w:tc>
            </w:tr>
            <w:tr w14:paraId="6E9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79D1D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4</w:t>
                  </w:r>
                </w:p>
              </w:tc>
              <w:tc>
                <w:tcPr>
                  <w:tcW w:w="747" w:type="pct"/>
                  <w:tcBorders>
                    <w:tl2br w:val="nil"/>
                    <w:tr2bl w:val="nil"/>
                  </w:tcBorders>
                  <w:noWrap w:val="0"/>
                  <w:vAlign w:val="center"/>
                </w:tcPr>
                <w:p w14:paraId="59E775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一般固体废物</w:t>
                  </w:r>
                </w:p>
              </w:tc>
              <w:tc>
                <w:tcPr>
                  <w:tcW w:w="1480" w:type="pct"/>
                  <w:tcBorders>
                    <w:tl2br w:val="nil"/>
                    <w:tr2bl w:val="nil"/>
                  </w:tcBorders>
                  <w:noWrap w:val="0"/>
                  <w:vAlign w:val="center"/>
                </w:tcPr>
                <w:p w14:paraId="5FE1F6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97585" cy="997585"/>
                        <wp:effectExtent l="0" t="0" r="12065" b="12065"/>
                        <wp:docPr id="1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7"/>
                                <pic:cNvPicPr>
                                  <a:picLocks noChangeAspect="1"/>
                                </pic:cNvPicPr>
                              </pic:nvPicPr>
                              <pic:blipFill>
                                <a:blip r:embed="rId15">
                                  <a:lum bright="6000"/>
                                </a:blip>
                                <a:stretch>
                                  <a:fillRect/>
                                </a:stretch>
                              </pic:blipFill>
                              <pic:spPr>
                                <a:xfrm>
                                  <a:off x="0" y="0"/>
                                  <a:ext cx="997585" cy="997585"/>
                                </a:xfrm>
                                <a:prstGeom prst="rect">
                                  <a:avLst/>
                                </a:prstGeom>
                                <a:noFill/>
                                <a:ln>
                                  <a:noFill/>
                                </a:ln>
                              </pic:spPr>
                            </pic:pic>
                          </a:graphicData>
                        </a:graphic>
                      </wp:inline>
                    </w:drawing>
                  </w:r>
                </w:p>
              </w:tc>
              <w:tc>
                <w:tcPr>
                  <w:tcW w:w="1281" w:type="pct"/>
                  <w:tcBorders>
                    <w:tl2br w:val="nil"/>
                    <w:tr2bl w:val="nil"/>
                  </w:tcBorders>
                  <w:noWrap w:val="0"/>
                  <w:vAlign w:val="center"/>
                </w:tcPr>
                <w:p w14:paraId="28FF67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69010" cy="861695"/>
                        <wp:effectExtent l="0" t="0" r="2540" b="14605"/>
                        <wp:docPr id="1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8"/>
                                <pic:cNvPicPr>
                                  <a:picLocks noChangeAspect="1"/>
                                </pic:cNvPicPr>
                              </pic:nvPicPr>
                              <pic:blipFill>
                                <a:blip r:embed="rId16">
                                  <a:lum bright="6000" contrast="23999"/>
                                </a:blip>
                                <a:stretch>
                                  <a:fillRect/>
                                </a:stretch>
                              </pic:blipFill>
                              <pic:spPr>
                                <a:xfrm>
                                  <a:off x="0" y="0"/>
                                  <a:ext cx="969010" cy="861695"/>
                                </a:xfrm>
                                <a:prstGeom prst="rect">
                                  <a:avLst/>
                                </a:prstGeom>
                                <a:noFill/>
                                <a:ln>
                                  <a:noFill/>
                                </a:ln>
                              </pic:spPr>
                            </pic:pic>
                          </a:graphicData>
                        </a:graphic>
                      </wp:inline>
                    </w:drawing>
                  </w:r>
                </w:p>
              </w:tc>
              <w:tc>
                <w:tcPr>
                  <w:tcW w:w="1000" w:type="pct"/>
                  <w:tcBorders>
                    <w:tl2br w:val="nil"/>
                    <w:tr2bl w:val="nil"/>
                  </w:tcBorders>
                  <w:noWrap w:val="0"/>
                  <w:vAlign w:val="center"/>
                </w:tcPr>
                <w:p w14:paraId="59AF81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表示一般固体废物贮存、处置场</w:t>
                  </w:r>
                </w:p>
              </w:tc>
            </w:tr>
            <w:tr w14:paraId="1FF6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1C11DA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5</w:t>
                  </w:r>
                </w:p>
              </w:tc>
              <w:tc>
                <w:tcPr>
                  <w:tcW w:w="747" w:type="pct"/>
                  <w:tcBorders>
                    <w:tl2br w:val="nil"/>
                    <w:tr2bl w:val="nil"/>
                  </w:tcBorders>
                  <w:noWrap w:val="0"/>
                  <w:vAlign w:val="center"/>
                </w:tcPr>
                <w:p w14:paraId="6EE1F7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危险废物</w:t>
                  </w:r>
                </w:p>
              </w:tc>
              <w:tc>
                <w:tcPr>
                  <w:tcW w:w="1480" w:type="pct"/>
                  <w:tcBorders>
                    <w:tl2br w:val="nil"/>
                    <w:tr2bl w:val="nil"/>
                  </w:tcBorders>
                  <w:noWrap w:val="0"/>
                  <w:vAlign w:val="center"/>
                </w:tcPr>
                <w:p w14:paraId="6FDD29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drawing>
                      <wp:inline distT="0" distB="0" distL="114300" distR="114300">
                        <wp:extent cx="1226820" cy="781685"/>
                        <wp:effectExtent l="0" t="0" r="11430" b="18415"/>
                        <wp:docPr id="115" name="图片 9" descr="171125024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9" descr="1711250242602"/>
                                <pic:cNvPicPr>
                                  <a:picLocks noChangeAspect="1"/>
                                </pic:cNvPicPr>
                              </pic:nvPicPr>
                              <pic:blipFill>
                                <a:blip r:embed="rId17"/>
                                <a:stretch>
                                  <a:fillRect/>
                                </a:stretch>
                              </pic:blipFill>
                              <pic:spPr>
                                <a:xfrm>
                                  <a:off x="0" y="0"/>
                                  <a:ext cx="1226820" cy="781685"/>
                                </a:xfrm>
                                <a:prstGeom prst="rect">
                                  <a:avLst/>
                                </a:prstGeom>
                                <a:noFill/>
                                <a:ln>
                                  <a:noFill/>
                                </a:ln>
                              </pic:spPr>
                            </pic:pic>
                          </a:graphicData>
                        </a:graphic>
                      </wp:inline>
                    </w:drawing>
                  </w:r>
                </w:p>
              </w:tc>
              <w:tc>
                <w:tcPr>
                  <w:tcW w:w="1281" w:type="pct"/>
                  <w:tcBorders>
                    <w:tl2br w:val="nil"/>
                    <w:tr2bl w:val="nil"/>
                  </w:tcBorders>
                  <w:noWrap w:val="0"/>
                  <w:vAlign w:val="center"/>
                </w:tcPr>
                <w:p w14:paraId="7C10B2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drawing>
                      <wp:inline distT="0" distB="0" distL="114300" distR="114300">
                        <wp:extent cx="1043940" cy="941070"/>
                        <wp:effectExtent l="0" t="0" r="3810" b="11430"/>
                        <wp:docPr id="116" name="图片 10" descr="171125000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0" descr="1711250007594"/>
                                <pic:cNvPicPr>
                                  <a:picLocks noChangeAspect="1"/>
                                </pic:cNvPicPr>
                              </pic:nvPicPr>
                              <pic:blipFill>
                                <a:blip r:embed="rId18"/>
                                <a:stretch>
                                  <a:fillRect/>
                                </a:stretch>
                              </pic:blipFill>
                              <pic:spPr>
                                <a:xfrm>
                                  <a:off x="0" y="0"/>
                                  <a:ext cx="1043940" cy="941070"/>
                                </a:xfrm>
                                <a:prstGeom prst="rect">
                                  <a:avLst/>
                                </a:prstGeom>
                                <a:noFill/>
                                <a:ln>
                                  <a:noFill/>
                                </a:ln>
                              </pic:spPr>
                            </pic:pic>
                          </a:graphicData>
                        </a:graphic>
                      </wp:inline>
                    </w:drawing>
                  </w:r>
                </w:p>
              </w:tc>
              <w:tc>
                <w:tcPr>
                  <w:tcW w:w="1000" w:type="pct"/>
                  <w:tcBorders>
                    <w:tl2br w:val="nil"/>
                    <w:tr2bl w:val="nil"/>
                  </w:tcBorders>
                  <w:noWrap w:val="0"/>
                  <w:vAlign w:val="center"/>
                </w:tcPr>
                <w:p w14:paraId="1E9268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表示危险废物贮存、处置场</w:t>
                  </w:r>
                </w:p>
              </w:tc>
            </w:tr>
          </w:tbl>
          <w:p w14:paraId="594AF23A">
            <w:pPr>
              <w:keepNext w:val="0"/>
              <w:keepLines w:val="0"/>
              <w:suppressLineNumbers w:val="0"/>
              <w:snapToGrid w:val="0"/>
              <w:spacing w:before="0" w:beforeLines="0" w:beforeAutospacing="0" w:after="0" w:afterAutospacing="0" w:line="360" w:lineRule="auto"/>
              <w:ind w:left="0" w:right="0"/>
              <w:jc w:val="left"/>
              <w:rPr>
                <w:rFonts w:hint="eastAsia" w:ascii="Times New Roman" w:hAnsi="Times New Roman" w:eastAsia="宋体" w:cs="Times New Roman"/>
                <w:b/>
                <w:bCs/>
                <w:color w:val="auto"/>
                <w:kern w:val="2"/>
                <w:sz w:val="21"/>
                <w:szCs w:val="24"/>
                <w:u w:val="none"/>
                <w:lang w:val="en-US" w:eastAsia="zh-CN" w:bidi="ar-SA"/>
              </w:rPr>
            </w:pPr>
            <w:r>
              <w:rPr>
                <w:rFonts w:hint="eastAsia" w:ascii="Times New Roman" w:hAnsi="Times New Roman" w:eastAsia="宋体" w:cs="Times New Roman"/>
                <w:b/>
                <w:bCs/>
                <w:color w:val="auto"/>
                <w:kern w:val="2"/>
                <w:sz w:val="21"/>
                <w:szCs w:val="24"/>
                <w:u w:val="none"/>
                <w:lang w:val="en-US" w:eastAsia="zh-CN" w:bidi="ar-SA"/>
              </w:rPr>
              <w:t>（2）排污许可</w:t>
            </w:r>
          </w:p>
          <w:p w14:paraId="770723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根据《关于做好环境影响评价制度与排污许可制衔接相关工作的通知》（环办环评〔2017〕84号）提出：建设项目发生实际排污行为之前，排污单位应当按照国家环境保护相关法律法规以及相关排污许可证申请与核发技术规范要求申请排污许可证，不得无证排污或不按证排污。排污许可证执行报告、台账记录以及自行监测执行情况等应作为开展建设项目环境影响后评价的重要依据。</w:t>
            </w:r>
          </w:p>
          <w:p w14:paraId="4E93AEA5">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根据《固定污染源排污许可分类管理名录》（2019年版），本项目为登记管理</w:t>
            </w:r>
            <w:r>
              <w:rPr>
                <w:rFonts w:hint="eastAsia" w:ascii="Times New Roman" w:hAnsi="Times New Roman" w:cs="Times New Roman"/>
                <w:color w:val="auto"/>
                <w:kern w:val="2"/>
                <w:sz w:val="21"/>
                <w:szCs w:val="24"/>
                <w:u w:val="none"/>
                <w:lang w:val="en-US" w:eastAsia="zh-CN" w:bidi="ar-SA"/>
              </w:rPr>
              <w:t>。</w:t>
            </w:r>
          </w:p>
          <w:p w14:paraId="24BF392F">
            <w:pPr>
              <w:keepNext w:val="0"/>
              <w:keepLines w:val="0"/>
              <w:suppressLineNumbers w:val="0"/>
              <w:snapToGrid w:val="0"/>
              <w:spacing w:before="0" w:beforeLines="0" w:beforeAutospacing="0" w:after="0" w:afterAutospacing="0" w:line="360" w:lineRule="auto"/>
              <w:ind w:left="0" w:right="0"/>
              <w:jc w:val="left"/>
              <w:rPr>
                <w:rFonts w:hint="eastAsia" w:ascii="Times New Roman" w:hAnsi="Times New Roman" w:eastAsia="宋体" w:cs="Times New Roman"/>
                <w:b/>
                <w:bCs/>
                <w:color w:val="auto"/>
                <w:kern w:val="2"/>
                <w:sz w:val="21"/>
                <w:szCs w:val="24"/>
                <w:u w:val="none"/>
                <w:lang w:val="en-US" w:eastAsia="zh-CN" w:bidi="ar-SA"/>
              </w:rPr>
            </w:pPr>
            <w:r>
              <w:rPr>
                <w:rFonts w:hint="eastAsia" w:ascii="Times New Roman" w:hAnsi="Times New Roman" w:eastAsia="宋体" w:cs="Times New Roman"/>
                <w:b/>
                <w:bCs/>
                <w:color w:val="auto"/>
                <w:kern w:val="2"/>
                <w:sz w:val="21"/>
                <w:szCs w:val="24"/>
                <w:u w:val="none"/>
                <w:lang w:val="en-US" w:eastAsia="zh-CN" w:bidi="ar-SA"/>
              </w:rPr>
              <w:t>（3）项目竣工环境保护验收</w:t>
            </w:r>
          </w:p>
          <w:p w14:paraId="770F14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eastAsia"/>
                <w:snapToGrid w:val="0"/>
                <w:color w:val="auto"/>
                <w:u w:val="none"/>
              </w:rPr>
            </w:pPr>
            <w:r>
              <w:rPr>
                <w:rFonts w:hint="eastAsia" w:ascii="Times New Roman" w:hAnsi="Times New Roman" w:eastAsia="宋体" w:cs="Times New Roman"/>
                <w:color w:val="auto"/>
                <w:kern w:val="2"/>
                <w:sz w:val="21"/>
                <w:szCs w:val="24"/>
                <w:u w:val="none"/>
                <w:lang w:val="en-US" w:eastAsia="zh-CN" w:bidi="ar-SA"/>
              </w:rPr>
              <w:t>建设项目需要配套建设的环境保护设施，必须与主体工程同时设计、同时施工、同步投产使用。建设单位应按照环境保护行政主管部门规定的标准和程序，对配套建设的环境保护设施进行验收，编制验收报告。除按照国家规定需要保密的情形外，建设单位应当依法向社会公开验收报告。建设项目配套建设的环境保护设施经验收合格，方可投入生产或者使用；未经验收或者验收不合格的，不得投入生产或者使用。</w:t>
            </w:r>
          </w:p>
        </w:tc>
      </w:tr>
    </w:tbl>
    <w:p w14:paraId="4A1DABC1">
      <w:pPr>
        <w:pStyle w:val="20"/>
        <w:spacing w:before="105" w:beforeAutospacing="0" w:after="0" w:afterAutospacing="0" w:line="360" w:lineRule="auto"/>
        <w:ind w:firstLine="602"/>
        <w:jc w:val="center"/>
        <w:outlineLvl w:val="0"/>
        <w:rPr>
          <w:rFonts w:ascii="Times New Roman" w:hAnsi="Times New Roman"/>
          <w:b/>
          <w:bCs/>
          <w:snapToGrid w:val="0"/>
          <w:color w:val="auto"/>
          <w:sz w:val="30"/>
          <w:szCs w:val="30"/>
        </w:rPr>
        <w:sectPr>
          <w:type w:val="continuous"/>
          <w:pgSz w:w="11906" w:h="16838"/>
          <w:pgMar w:top="1440" w:right="1531" w:bottom="1440" w:left="1531" w:header="851" w:footer="851" w:gutter="0"/>
          <w:pgNumType w:fmt="decimal"/>
          <w:cols w:space="720" w:num="1"/>
          <w:docGrid w:linePitch="312" w:charSpace="0"/>
        </w:sectPr>
      </w:pPr>
    </w:p>
    <w:p w14:paraId="46E6CCB9">
      <w:pPr>
        <w:pStyle w:val="20"/>
        <w:spacing w:before="105" w:beforeAutospacing="0" w:after="0" w:afterAutospacing="0" w:line="360" w:lineRule="auto"/>
        <w:jc w:val="center"/>
        <w:outlineLvl w:val="0"/>
        <w:rPr>
          <w:rFonts w:ascii="Times New Roman" w:hAnsi="Times New Roman"/>
          <w:b/>
          <w:bCs/>
          <w:snapToGrid w:val="0"/>
          <w:color w:val="auto"/>
          <w:sz w:val="30"/>
          <w:szCs w:val="30"/>
        </w:rPr>
      </w:pPr>
      <w:bookmarkStart w:id="17" w:name="_Toc10366"/>
      <w:bookmarkStart w:id="18" w:name="_Toc72704844"/>
      <w:r>
        <w:rPr>
          <w:rFonts w:ascii="Times New Roman" w:hAnsi="Times New Roman"/>
          <w:b/>
          <w:bCs/>
          <w:snapToGrid w:val="0"/>
          <w:color w:val="auto"/>
          <w:sz w:val="30"/>
          <w:szCs w:val="30"/>
        </w:rPr>
        <w:t>六、结论</w:t>
      </w:r>
      <w:bookmarkEnd w:id="17"/>
      <w:bookmarkEnd w:id="18"/>
    </w:p>
    <w:tbl>
      <w:tblPr>
        <w:tblStyle w:val="24"/>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729E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2D4D6280">
            <w:pPr>
              <w:pStyle w:val="109"/>
              <w:keepNext w:val="0"/>
              <w:keepLines w:val="0"/>
              <w:suppressLineNumbers w:val="0"/>
              <w:spacing w:before="0" w:beforeAutospacing="0" w:after="0" w:afterAutospacing="0"/>
              <w:ind w:left="0" w:right="0" w:firstLine="480"/>
              <w:rPr>
                <w:rFonts w:hint="eastAsia"/>
                <w:snapToGrid w:val="0"/>
                <w:color w:val="auto"/>
              </w:rPr>
            </w:pPr>
          </w:p>
          <w:p w14:paraId="7A7968D1">
            <w:pPr>
              <w:pStyle w:val="109"/>
              <w:keepNext w:val="0"/>
              <w:keepLines w:val="0"/>
              <w:suppressLineNumbers w:val="0"/>
              <w:spacing w:before="0" w:beforeAutospacing="0" w:after="0" w:afterAutospacing="0"/>
              <w:ind w:left="0" w:right="0" w:firstLine="480"/>
              <w:rPr>
                <w:rFonts w:hint="eastAsia"/>
                <w:snapToGrid w:val="0"/>
                <w:color w:val="auto"/>
              </w:rPr>
            </w:pPr>
          </w:p>
          <w:p w14:paraId="2365AFAB">
            <w:pPr>
              <w:pStyle w:val="109"/>
              <w:keepNext w:val="0"/>
              <w:keepLines w:val="0"/>
              <w:suppressLineNumbers w:val="0"/>
              <w:spacing w:before="0" w:beforeAutospacing="0" w:after="0" w:afterAutospacing="0"/>
              <w:ind w:left="0" w:right="0" w:firstLine="480"/>
              <w:rPr>
                <w:rFonts w:hint="eastAsia"/>
                <w:snapToGrid w:val="0"/>
                <w:color w:val="auto"/>
              </w:rPr>
            </w:pPr>
          </w:p>
          <w:p w14:paraId="76449A69">
            <w:pPr>
              <w:pStyle w:val="109"/>
              <w:keepNext w:val="0"/>
              <w:keepLines w:val="0"/>
              <w:suppressLineNumbers w:val="0"/>
              <w:spacing w:before="0" w:beforeAutospacing="0" w:after="0" w:afterAutospacing="0"/>
              <w:ind w:left="0" w:right="0" w:firstLine="480"/>
              <w:rPr>
                <w:rFonts w:hint="eastAsia"/>
                <w:snapToGrid w:val="0"/>
                <w:color w:val="auto"/>
              </w:rPr>
            </w:pPr>
          </w:p>
          <w:p w14:paraId="230E7DE4">
            <w:pPr>
              <w:pStyle w:val="109"/>
              <w:keepNext w:val="0"/>
              <w:keepLines w:val="0"/>
              <w:suppressLineNumbers w:val="0"/>
              <w:spacing w:before="0" w:beforeAutospacing="0" w:after="0" w:afterAutospacing="0"/>
              <w:ind w:left="0" w:right="0" w:firstLine="480"/>
              <w:rPr>
                <w:rFonts w:hint="eastAsia"/>
                <w:snapToGrid w:val="0"/>
                <w:color w:val="auto"/>
              </w:rPr>
            </w:pPr>
          </w:p>
          <w:p w14:paraId="588CFD6A">
            <w:pPr>
              <w:pStyle w:val="109"/>
              <w:keepNext w:val="0"/>
              <w:keepLines w:val="0"/>
              <w:suppressLineNumbers w:val="0"/>
              <w:spacing w:before="0" w:beforeAutospacing="0" w:after="0" w:afterAutospacing="0"/>
              <w:ind w:left="0" w:right="0" w:firstLine="480"/>
              <w:rPr>
                <w:rFonts w:hint="eastAsia"/>
                <w:snapToGrid w:val="0"/>
                <w:color w:val="auto"/>
              </w:rPr>
            </w:pPr>
          </w:p>
          <w:p w14:paraId="171808E7">
            <w:pPr>
              <w:pStyle w:val="109"/>
              <w:keepNext w:val="0"/>
              <w:keepLines w:val="0"/>
              <w:suppressLineNumbers w:val="0"/>
              <w:spacing w:before="0" w:beforeAutospacing="0" w:after="0" w:afterAutospacing="0"/>
              <w:ind w:left="0" w:right="0" w:firstLine="480"/>
              <w:rPr>
                <w:rFonts w:hint="eastAsia"/>
                <w:snapToGrid w:val="0"/>
                <w:color w:val="auto"/>
              </w:rPr>
            </w:pPr>
          </w:p>
          <w:p w14:paraId="1B1D352B">
            <w:pPr>
              <w:pStyle w:val="109"/>
              <w:keepNext w:val="0"/>
              <w:keepLines w:val="0"/>
              <w:suppressLineNumbers w:val="0"/>
              <w:spacing w:before="0" w:beforeAutospacing="0" w:after="0" w:afterAutospacing="0"/>
              <w:ind w:left="0" w:right="0" w:firstLine="480"/>
              <w:rPr>
                <w:rFonts w:hint="eastAsia"/>
                <w:snapToGrid w:val="0"/>
                <w:color w:val="auto"/>
              </w:rPr>
            </w:pPr>
          </w:p>
          <w:p w14:paraId="1D38E426">
            <w:pPr>
              <w:pStyle w:val="109"/>
              <w:keepNext w:val="0"/>
              <w:keepLines w:val="0"/>
              <w:suppressLineNumbers w:val="0"/>
              <w:spacing w:before="0" w:beforeAutospacing="0" w:after="0" w:afterAutospacing="0"/>
              <w:ind w:left="0" w:right="0" w:firstLine="480"/>
              <w:rPr>
                <w:rFonts w:hint="eastAsia"/>
                <w:snapToGrid w:val="0"/>
                <w:color w:val="auto"/>
              </w:rPr>
            </w:pPr>
          </w:p>
          <w:p w14:paraId="53DAC3A0">
            <w:pPr>
              <w:pStyle w:val="109"/>
              <w:keepNext w:val="0"/>
              <w:keepLines w:val="0"/>
              <w:suppressLineNumbers w:val="0"/>
              <w:spacing w:before="0" w:beforeAutospacing="0" w:after="0" w:afterAutospacing="0"/>
              <w:ind w:left="0" w:right="0" w:firstLine="480"/>
              <w:rPr>
                <w:rFonts w:hint="eastAsia"/>
                <w:snapToGrid w:val="0"/>
                <w:color w:val="auto"/>
              </w:rPr>
            </w:pPr>
          </w:p>
          <w:p w14:paraId="0FCD0D9C">
            <w:pPr>
              <w:pStyle w:val="109"/>
              <w:keepNext w:val="0"/>
              <w:keepLines w:val="0"/>
              <w:suppressLineNumbers w:val="0"/>
              <w:spacing w:before="0" w:beforeAutospacing="0" w:after="0" w:afterAutospacing="0"/>
              <w:ind w:left="0" w:right="0" w:firstLine="480"/>
              <w:rPr>
                <w:rFonts w:hint="default"/>
                <w:snapToGrid w:val="0"/>
                <w:color w:val="auto"/>
              </w:rPr>
            </w:pPr>
            <w:r>
              <w:rPr>
                <w:rFonts w:hint="eastAsia"/>
                <w:snapToGrid w:val="0"/>
                <w:color w:val="auto"/>
                <w:lang w:eastAsia="zh-CN"/>
              </w:rPr>
              <w:t>醴陵市浦诺森自动化设备有限公司机械加工项目</w:t>
            </w:r>
            <w:r>
              <w:rPr>
                <w:rFonts w:hint="default"/>
                <w:snapToGrid w:val="0"/>
                <w:color w:val="auto"/>
              </w:rPr>
              <w:t>符合国家、地方产业政策，项目产生的废水、废气、噪声采取本报告中提出的防治措施治理后，能够达标排放，</w:t>
            </w:r>
            <w:r>
              <w:rPr>
                <w:rFonts w:hint="eastAsia"/>
                <w:snapToGrid w:val="0"/>
                <w:color w:val="auto"/>
                <w:lang w:val="en-US" w:eastAsia="zh-CN"/>
              </w:rPr>
              <w:t>固体废物规范处理，</w:t>
            </w:r>
            <w:r>
              <w:rPr>
                <w:rFonts w:hint="default"/>
                <w:snapToGrid w:val="0"/>
                <w:color w:val="auto"/>
              </w:rPr>
              <w:t>不会对项目周围的水、大气、声及生态环境造成明显不良影响。建设单位应严格执行环保</w:t>
            </w:r>
            <w:r>
              <w:rPr>
                <w:rFonts w:hint="eastAsia"/>
                <w:snapToGrid w:val="0"/>
                <w:color w:val="auto"/>
                <w:lang w:eastAsia="zh-CN"/>
              </w:rPr>
              <w:t>“</w:t>
            </w:r>
            <w:r>
              <w:rPr>
                <w:rFonts w:hint="default"/>
                <w:snapToGrid w:val="0"/>
                <w:color w:val="auto"/>
              </w:rPr>
              <w:t>三同时</w:t>
            </w:r>
            <w:r>
              <w:rPr>
                <w:rFonts w:hint="eastAsia"/>
                <w:snapToGrid w:val="0"/>
                <w:color w:val="auto"/>
                <w:lang w:eastAsia="zh-CN"/>
              </w:rPr>
              <w:t>”</w:t>
            </w:r>
            <w:r>
              <w:rPr>
                <w:rFonts w:hint="default"/>
                <w:snapToGrid w:val="0"/>
                <w:color w:val="auto"/>
              </w:rPr>
              <w:t>制度，落实本报告中的各项环保措施，且相应的环保措施必须经自主验收合格后方可投入使用，并确保有关环保治理设施能够正常运行，则从环境保护角度分析，本项目建设是可行的。</w:t>
            </w:r>
          </w:p>
          <w:p w14:paraId="2F2F4D3D">
            <w:pPr>
              <w:keepNext w:val="0"/>
              <w:keepLines w:val="0"/>
              <w:suppressLineNumbers w:val="0"/>
              <w:adjustRightInd w:val="0"/>
              <w:snapToGrid w:val="0"/>
              <w:spacing w:before="0" w:beforeAutospacing="0" w:after="0" w:afterAutospacing="0" w:line="360" w:lineRule="auto"/>
              <w:ind w:left="0" w:right="0" w:firstLine="480" w:firstLineChars="200"/>
              <w:rPr>
                <w:rFonts w:hint="default"/>
                <w:snapToGrid w:val="0"/>
                <w:color w:val="auto"/>
                <w:kern w:val="0"/>
                <w:sz w:val="24"/>
              </w:rPr>
            </w:pPr>
          </w:p>
          <w:p w14:paraId="31491D1F">
            <w:pPr>
              <w:keepNext w:val="0"/>
              <w:keepLines w:val="0"/>
              <w:suppressLineNumbers w:val="0"/>
              <w:adjustRightInd w:val="0"/>
              <w:snapToGrid w:val="0"/>
              <w:spacing w:before="0" w:beforeAutospacing="0" w:after="0" w:afterAutospacing="0" w:line="360" w:lineRule="auto"/>
              <w:ind w:left="0" w:right="0" w:firstLine="480" w:firstLineChars="200"/>
              <w:rPr>
                <w:rFonts w:hint="default"/>
                <w:snapToGrid w:val="0"/>
                <w:color w:val="auto"/>
                <w:kern w:val="0"/>
                <w:sz w:val="24"/>
              </w:rPr>
            </w:pPr>
          </w:p>
          <w:p w14:paraId="4692F702">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rPr>
            </w:pPr>
          </w:p>
          <w:p w14:paraId="292E4B4E">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rPr>
            </w:pPr>
          </w:p>
          <w:p w14:paraId="5C2AEDB5">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rPr>
            </w:pPr>
          </w:p>
          <w:p w14:paraId="1E51A9BA">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rPr>
            </w:pPr>
          </w:p>
          <w:p w14:paraId="0EBBA64D">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rPr>
            </w:pPr>
          </w:p>
          <w:p w14:paraId="572BDF4F">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rPr>
            </w:pPr>
          </w:p>
          <w:p w14:paraId="61D49292">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rPr>
            </w:pPr>
          </w:p>
          <w:p w14:paraId="2E8E7F72">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rPr>
            </w:pPr>
          </w:p>
          <w:p w14:paraId="17DED823">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snapToGrid w:val="0"/>
                <w:color w:val="auto"/>
                <w:kern w:val="0"/>
                <w:sz w:val="24"/>
              </w:rPr>
            </w:pPr>
          </w:p>
          <w:p w14:paraId="1A80CA01">
            <w:pPr>
              <w:keepNext w:val="0"/>
              <w:keepLines w:val="0"/>
              <w:suppressLineNumbers w:val="0"/>
              <w:adjustRightInd w:val="0"/>
              <w:snapToGrid w:val="0"/>
              <w:spacing w:before="120" w:beforeLines="50" w:beforeAutospacing="0" w:after="0" w:afterAutospacing="0" w:line="360" w:lineRule="auto"/>
              <w:ind w:left="0" w:right="0"/>
              <w:rPr>
                <w:rFonts w:hint="default"/>
                <w:snapToGrid w:val="0"/>
                <w:color w:val="auto"/>
                <w:kern w:val="0"/>
                <w:sz w:val="24"/>
              </w:rPr>
            </w:pPr>
          </w:p>
        </w:tc>
      </w:tr>
    </w:tbl>
    <w:p w14:paraId="77CA0704">
      <w:pPr>
        <w:ind w:firstLine="420"/>
        <w:rPr>
          <w:snapToGrid w:val="0"/>
          <w:color w:val="auto"/>
          <w:kern w:val="0"/>
        </w:rPr>
        <w:sectPr>
          <w:pgSz w:w="11906" w:h="16838"/>
          <w:pgMar w:top="1440" w:right="1531" w:bottom="1440" w:left="1531" w:header="851" w:footer="851" w:gutter="0"/>
          <w:pgNumType w:fmt="decimal"/>
          <w:cols w:space="720" w:num="1"/>
          <w:docGrid w:linePitch="312" w:charSpace="0"/>
        </w:sectPr>
      </w:pPr>
    </w:p>
    <w:p w14:paraId="0287AECE">
      <w:pPr>
        <w:pStyle w:val="2"/>
        <w:rPr>
          <w:snapToGrid w:val="0"/>
          <w:color w:val="auto"/>
          <w:highlight w:val="none"/>
        </w:rPr>
      </w:pPr>
      <w:bookmarkStart w:id="19" w:name="_Toc17239"/>
      <w:bookmarkStart w:id="20" w:name="_Toc72704845"/>
      <w:r>
        <w:rPr>
          <w:snapToGrid w:val="0"/>
          <w:color w:val="auto"/>
        </w:rPr>
        <w:t>附表</w:t>
      </w:r>
      <w:bookmarkEnd w:id="19"/>
      <w:bookmarkEnd w:id="20"/>
    </w:p>
    <w:p w14:paraId="71E614A1">
      <w:pPr>
        <w:pStyle w:val="74"/>
        <w:keepNext w:val="0"/>
        <w:keepLines w:val="0"/>
        <w:pageBreakBefore w:val="0"/>
        <w:widowControl/>
        <w:kinsoku/>
        <w:wordWrap/>
        <w:overflowPunct/>
        <w:topLinePunct w:val="0"/>
        <w:autoSpaceDE/>
        <w:autoSpaceDN/>
        <w:bidi w:val="0"/>
        <w:adjustRightInd w:val="0"/>
        <w:snapToGrid w:val="0"/>
        <w:spacing w:after="0" w:afterLines="0"/>
        <w:textAlignment w:val="auto"/>
        <w:rPr>
          <w:rFonts w:hint="eastAsia"/>
          <w:color w:val="auto"/>
          <w:sz w:val="21"/>
          <w:szCs w:val="21"/>
          <w:highlight w:val="none"/>
          <w:lang w:val="en-US" w:eastAsia="zh-CN"/>
        </w:rPr>
      </w:pPr>
      <w:bookmarkStart w:id="21" w:name="_Toc72704846"/>
      <w:bookmarkStart w:id="22" w:name="_Toc5381"/>
      <w:r>
        <w:rPr>
          <w:color w:val="auto"/>
          <w:sz w:val="32"/>
          <w:szCs w:val="32"/>
          <w:highlight w:val="none"/>
        </w:rPr>
        <w:t>建设项目污染物排放量汇总表</w:t>
      </w:r>
      <w:bookmarkEnd w:id="21"/>
      <w:bookmarkEnd w:id="22"/>
      <w:r>
        <w:rPr>
          <w:rFonts w:hint="eastAsia"/>
          <w:color w:val="auto"/>
          <w:sz w:val="21"/>
          <w:szCs w:val="21"/>
          <w:highlight w:val="none"/>
          <w:lang w:val="en-US" w:eastAsia="zh-CN"/>
        </w:rPr>
        <w:t xml:space="preserve"> （单位：t/a）</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108" w:type="dxa"/>
          <w:bottom w:w="28" w:type="dxa"/>
          <w:right w:w="108" w:type="dxa"/>
        </w:tblCellMar>
      </w:tblPr>
      <w:tblGrid>
        <w:gridCol w:w="695"/>
        <w:gridCol w:w="2419"/>
        <w:gridCol w:w="1575"/>
        <w:gridCol w:w="1036"/>
        <w:gridCol w:w="1683"/>
        <w:gridCol w:w="1617"/>
        <w:gridCol w:w="1617"/>
        <w:gridCol w:w="1716"/>
        <w:gridCol w:w="1430"/>
      </w:tblGrid>
      <w:tr w14:paraId="7B457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tcBorders>
              <w:tl2br w:val="single" w:color="auto" w:sz="4" w:space="0"/>
            </w:tcBorders>
            <w:noWrap w:val="0"/>
            <w:tcMar>
              <w:left w:w="28" w:type="dxa"/>
              <w:right w:w="28" w:type="dxa"/>
            </w:tcMar>
            <w:vAlign w:val="center"/>
          </w:tcPr>
          <w:p w14:paraId="49D88EA9">
            <w:pPr>
              <w:pStyle w:val="36"/>
              <w:keepNext w:val="0"/>
              <w:keepLines w:val="0"/>
              <w:suppressLineNumbers w:val="0"/>
              <w:spacing w:before="0" w:beforeAutospacing="0" w:after="0" w:afterAutospacing="0"/>
              <w:ind w:left="0" w:right="0"/>
              <w:jc w:val="right"/>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项目</w:t>
            </w:r>
          </w:p>
          <w:p w14:paraId="47CD39D3">
            <w:pPr>
              <w:pStyle w:val="36"/>
              <w:keepNext w:val="0"/>
              <w:keepLines w:val="0"/>
              <w:suppressLineNumbers w:val="0"/>
              <w:spacing w:before="0" w:beforeAutospacing="0" w:after="0" w:afterAutospacing="0"/>
              <w:ind w:left="0" w:right="0"/>
              <w:jc w:val="left"/>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分类</w:t>
            </w:r>
          </w:p>
        </w:tc>
        <w:tc>
          <w:tcPr>
            <w:tcW w:w="2419" w:type="dxa"/>
            <w:noWrap w:val="0"/>
            <w:tcMar>
              <w:left w:w="28" w:type="dxa"/>
              <w:right w:w="28" w:type="dxa"/>
            </w:tcMar>
            <w:vAlign w:val="center"/>
          </w:tcPr>
          <w:p w14:paraId="219958F8">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污染物名称</w:t>
            </w:r>
          </w:p>
        </w:tc>
        <w:tc>
          <w:tcPr>
            <w:tcW w:w="1575" w:type="dxa"/>
            <w:noWrap w:val="0"/>
            <w:tcMar>
              <w:left w:w="28" w:type="dxa"/>
              <w:right w:w="28" w:type="dxa"/>
            </w:tcMar>
            <w:vAlign w:val="center"/>
          </w:tcPr>
          <w:p w14:paraId="6731B859">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现有工程</w:t>
            </w:r>
          </w:p>
          <w:p w14:paraId="478D17D1">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排放量（固体废物产生量）</w:t>
            </w:r>
            <w:r>
              <w:rPr>
                <w:rFonts w:hint="default" w:ascii="Times New Roman" w:hAnsi="Times New Roman" w:cs="Times New Roman"/>
                <w:b/>
                <w:bCs w:val="0"/>
                <w:color w:val="auto"/>
                <w:szCs w:val="21"/>
              </w:rPr>
              <w:fldChar w:fldCharType="begin"/>
            </w:r>
            <w:r>
              <w:rPr>
                <w:rFonts w:hint="default" w:ascii="Times New Roman" w:hAnsi="Times New Roman" w:cs="Times New Roman"/>
                <w:b/>
                <w:bCs w:val="0"/>
                <w:color w:val="auto"/>
                <w:szCs w:val="21"/>
              </w:rPr>
              <w:instrText xml:space="preserve"> = 1 \* GB3 \* MERGEFORMAT </w:instrText>
            </w:r>
            <w:r>
              <w:rPr>
                <w:rFonts w:hint="default" w:ascii="Times New Roman" w:hAnsi="Times New Roman" w:cs="Times New Roman"/>
                <w:b/>
                <w:bCs w:val="0"/>
                <w:color w:val="auto"/>
                <w:szCs w:val="21"/>
              </w:rPr>
              <w:fldChar w:fldCharType="separate"/>
            </w:r>
            <w:r>
              <w:rPr>
                <w:rFonts w:hint="default" w:ascii="Times New Roman" w:hAnsi="Times New Roman" w:cs="Times New Roman"/>
                <w:b/>
                <w:bCs w:val="0"/>
                <w:color w:val="auto"/>
                <w:szCs w:val="21"/>
              </w:rPr>
              <w:t>①</w:t>
            </w:r>
            <w:r>
              <w:rPr>
                <w:rFonts w:hint="default" w:ascii="Times New Roman" w:hAnsi="Times New Roman" w:cs="Times New Roman"/>
                <w:b/>
                <w:bCs w:val="0"/>
                <w:color w:val="auto"/>
                <w:szCs w:val="21"/>
              </w:rPr>
              <w:fldChar w:fldCharType="end"/>
            </w:r>
          </w:p>
        </w:tc>
        <w:tc>
          <w:tcPr>
            <w:tcW w:w="1036" w:type="dxa"/>
            <w:noWrap w:val="0"/>
            <w:tcMar>
              <w:left w:w="28" w:type="dxa"/>
              <w:right w:w="28" w:type="dxa"/>
            </w:tcMar>
            <w:vAlign w:val="center"/>
          </w:tcPr>
          <w:p w14:paraId="326C6901">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现有工程</w:t>
            </w:r>
          </w:p>
          <w:p w14:paraId="6BBEA041">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许可排放量</w:t>
            </w:r>
            <w:r>
              <w:rPr>
                <w:rFonts w:hint="default" w:ascii="Times New Roman" w:hAnsi="Times New Roman" w:cs="Times New Roman"/>
                <w:b/>
                <w:bCs w:val="0"/>
                <w:color w:val="auto"/>
                <w:szCs w:val="21"/>
              </w:rPr>
              <w:fldChar w:fldCharType="begin"/>
            </w:r>
            <w:r>
              <w:rPr>
                <w:rFonts w:hint="default" w:ascii="Times New Roman" w:hAnsi="Times New Roman" w:cs="Times New Roman"/>
                <w:b/>
                <w:bCs w:val="0"/>
                <w:color w:val="auto"/>
                <w:szCs w:val="21"/>
              </w:rPr>
              <w:instrText xml:space="preserve"> = 2 \* GB3 \* MERGEFORMAT </w:instrText>
            </w:r>
            <w:r>
              <w:rPr>
                <w:rFonts w:hint="default" w:ascii="Times New Roman" w:hAnsi="Times New Roman" w:cs="Times New Roman"/>
                <w:b/>
                <w:bCs w:val="0"/>
                <w:color w:val="auto"/>
                <w:szCs w:val="21"/>
              </w:rPr>
              <w:fldChar w:fldCharType="separate"/>
            </w:r>
            <w:r>
              <w:rPr>
                <w:rFonts w:hint="default" w:ascii="Times New Roman" w:hAnsi="Times New Roman" w:cs="Times New Roman"/>
                <w:b/>
                <w:bCs w:val="0"/>
                <w:color w:val="auto"/>
                <w:szCs w:val="21"/>
              </w:rPr>
              <w:t>②</w:t>
            </w:r>
            <w:r>
              <w:rPr>
                <w:rFonts w:hint="default" w:ascii="Times New Roman" w:hAnsi="Times New Roman" w:cs="Times New Roman"/>
                <w:b/>
                <w:bCs w:val="0"/>
                <w:color w:val="auto"/>
                <w:szCs w:val="21"/>
              </w:rPr>
              <w:fldChar w:fldCharType="end"/>
            </w:r>
          </w:p>
        </w:tc>
        <w:tc>
          <w:tcPr>
            <w:tcW w:w="1683" w:type="dxa"/>
            <w:noWrap w:val="0"/>
            <w:tcMar>
              <w:left w:w="28" w:type="dxa"/>
              <w:right w:w="28" w:type="dxa"/>
            </w:tcMar>
            <w:vAlign w:val="center"/>
          </w:tcPr>
          <w:p w14:paraId="68C639CA">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在建工程</w:t>
            </w:r>
          </w:p>
          <w:p w14:paraId="473E60E5">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排放量（固体废物产生量）</w:t>
            </w:r>
            <w:r>
              <w:rPr>
                <w:rFonts w:hint="default" w:ascii="Times New Roman" w:hAnsi="Times New Roman" w:cs="Times New Roman"/>
                <w:b/>
                <w:bCs w:val="0"/>
                <w:color w:val="auto"/>
                <w:szCs w:val="21"/>
              </w:rPr>
              <w:fldChar w:fldCharType="begin"/>
            </w:r>
            <w:r>
              <w:rPr>
                <w:rFonts w:hint="default" w:ascii="Times New Roman" w:hAnsi="Times New Roman" w:cs="Times New Roman"/>
                <w:b/>
                <w:bCs w:val="0"/>
                <w:color w:val="auto"/>
                <w:szCs w:val="21"/>
              </w:rPr>
              <w:instrText xml:space="preserve"> = 3 \* GB3 \* MERGEFORMAT </w:instrText>
            </w:r>
            <w:r>
              <w:rPr>
                <w:rFonts w:hint="default" w:ascii="Times New Roman" w:hAnsi="Times New Roman" w:cs="Times New Roman"/>
                <w:b/>
                <w:bCs w:val="0"/>
                <w:color w:val="auto"/>
                <w:szCs w:val="21"/>
              </w:rPr>
              <w:fldChar w:fldCharType="separate"/>
            </w:r>
            <w:r>
              <w:rPr>
                <w:rFonts w:hint="default" w:ascii="Times New Roman" w:hAnsi="Times New Roman" w:cs="Times New Roman"/>
                <w:b/>
                <w:bCs w:val="0"/>
                <w:color w:val="auto"/>
                <w:szCs w:val="21"/>
              </w:rPr>
              <w:t>③</w:t>
            </w:r>
            <w:r>
              <w:rPr>
                <w:rFonts w:hint="default" w:ascii="Times New Roman" w:hAnsi="Times New Roman" w:cs="Times New Roman"/>
                <w:b/>
                <w:bCs w:val="0"/>
                <w:color w:val="auto"/>
                <w:szCs w:val="21"/>
              </w:rPr>
              <w:fldChar w:fldCharType="end"/>
            </w:r>
          </w:p>
        </w:tc>
        <w:tc>
          <w:tcPr>
            <w:tcW w:w="1617" w:type="dxa"/>
            <w:noWrap w:val="0"/>
            <w:tcMar>
              <w:left w:w="28" w:type="dxa"/>
              <w:right w:w="28" w:type="dxa"/>
            </w:tcMar>
            <w:vAlign w:val="center"/>
          </w:tcPr>
          <w:p w14:paraId="45418754">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本项目</w:t>
            </w:r>
          </w:p>
          <w:p w14:paraId="31E006C7">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排放量（固体废物产生量）</w:t>
            </w:r>
            <w:r>
              <w:rPr>
                <w:rFonts w:hint="default" w:ascii="Times New Roman" w:hAnsi="Times New Roman" w:cs="Times New Roman"/>
                <w:b/>
                <w:bCs w:val="0"/>
                <w:color w:val="auto"/>
                <w:szCs w:val="21"/>
              </w:rPr>
              <w:fldChar w:fldCharType="begin"/>
            </w:r>
            <w:r>
              <w:rPr>
                <w:rFonts w:hint="default" w:ascii="Times New Roman" w:hAnsi="Times New Roman" w:cs="Times New Roman"/>
                <w:b/>
                <w:bCs w:val="0"/>
                <w:color w:val="auto"/>
                <w:szCs w:val="21"/>
              </w:rPr>
              <w:instrText xml:space="preserve"> = 4 \* GB3 \* MERGEFORMAT </w:instrText>
            </w:r>
            <w:r>
              <w:rPr>
                <w:rFonts w:hint="default" w:ascii="Times New Roman" w:hAnsi="Times New Roman" w:cs="Times New Roman"/>
                <w:b/>
                <w:bCs w:val="0"/>
                <w:color w:val="auto"/>
                <w:szCs w:val="21"/>
              </w:rPr>
              <w:fldChar w:fldCharType="separate"/>
            </w:r>
            <w:r>
              <w:rPr>
                <w:rFonts w:hint="default" w:ascii="Times New Roman" w:hAnsi="Times New Roman" w:cs="Times New Roman"/>
                <w:b/>
                <w:bCs w:val="0"/>
                <w:color w:val="auto"/>
                <w:szCs w:val="21"/>
              </w:rPr>
              <w:t>④</w:t>
            </w:r>
            <w:r>
              <w:rPr>
                <w:rFonts w:hint="default" w:ascii="Times New Roman" w:hAnsi="Times New Roman" w:cs="Times New Roman"/>
                <w:b/>
                <w:bCs w:val="0"/>
                <w:color w:val="auto"/>
                <w:szCs w:val="21"/>
              </w:rPr>
              <w:fldChar w:fldCharType="end"/>
            </w:r>
          </w:p>
        </w:tc>
        <w:tc>
          <w:tcPr>
            <w:tcW w:w="1617" w:type="dxa"/>
            <w:noWrap w:val="0"/>
            <w:tcMar>
              <w:left w:w="28" w:type="dxa"/>
              <w:right w:w="28" w:type="dxa"/>
            </w:tcMar>
            <w:vAlign w:val="center"/>
          </w:tcPr>
          <w:p w14:paraId="2273F283">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以新带老削减量</w:t>
            </w:r>
          </w:p>
          <w:p w14:paraId="54CF390E">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（新建项目不填）</w:t>
            </w:r>
            <w:r>
              <w:rPr>
                <w:rFonts w:hint="default" w:ascii="Times New Roman" w:hAnsi="Times New Roman" w:cs="Times New Roman"/>
                <w:b/>
                <w:bCs w:val="0"/>
                <w:color w:val="auto"/>
                <w:szCs w:val="21"/>
              </w:rPr>
              <w:fldChar w:fldCharType="begin"/>
            </w:r>
            <w:r>
              <w:rPr>
                <w:rFonts w:hint="default" w:ascii="Times New Roman" w:hAnsi="Times New Roman" w:cs="Times New Roman"/>
                <w:b/>
                <w:bCs w:val="0"/>
                <w:color w:val="auto"/>
                <w:szCs w:val="21"/>
              </w:rPr>
              <w:instrText xml:space="preserve"> = 5 \* GB3 \* MERGEFORMAT </w:instrText>
            </w:r>
            <w:r>
              <w:rPr>
                <w:rFonts w:hint="default" w:ascii="Times New Roman" w:hAnsi="Times New Roman" w:cs="Times New Roman"/>
                <w:b/>
                <w:bCs w:val="0"/>
                <w:color w:val="auto"/>
                <w:szCs w:val="21"/>
              </w:rPr>
              <w:fldChar w:fldCharType="separate"/>
            </w:r>
            <w:r>
              <w:rPr>
                <w:rFonts w:hint="default" w:ascii="Times New Roman" w:hAnsi="Times New Roman" w:cs="Times New Roman"/>
                <w:b/>
                <w:bCs w:val="0"/>
                <w:color w:val="auto"/>
                <w:szCs w:val="21"/>
              </w:rPr>
              <w:t>⑤</w:t>
            </w:r>
            <w:r>
              <w:rPr>
                <w:rFonts w:hint="default" w:ascii="Times New Roman" w:hAnsi="Times New Roman" w:cs="Times New Roman"/>
                <w:b/>
                <w:bCs w:val="0"/>
                <w:color w:val="auto"/>
                <w:szCs w:val="21"/>
              </w:rPr>
              <w:fldChar w:fldCharType="end"/>
            </w:r>
          </w:p>
        </w:tc>
        <w:tc>
          <w:tcPr>
            <w:tcW w:w="1716" w:type="dxa"/>
            <w:noWrap w:val="0"/>
            <w:tcMar>
              <w:left w:w="28" w:type="dxa"/>
              <w:right w:w="28" w:type="dxa"/>
            </w:tcMar>
            <w:vAlign w:val="center"/>
          </w:tcPr>
          <w:p w14:paraId="721ED144">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本项目建成后</w:t>
            </w:r>
          </w:p>
          <w:p w14:paraId="4958C042">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全厂排放量（固体废物产生量）</w:t>
            </w:r>
            <w:r>
              <w:rPr>
                <w:rFonts w:hint="default" w:ascii="Times New Roman" w:hAnsi="Times New Roman" w:cs="Times New Roman"/>
                <w:b/>
                <w:bCs w:val="0"/>
                <w:color w:val="auto"/>
                <w:szCs w:val="21"/>
              </w:rPr>
              <w:fldChar w:fldCharType="begin"/>
            </w:r>
            <w:r>
              <w:rPr>
                <w:rFonts w:hint="default" w:ascii="Times New Roman" w:hAnsi="Times New Roman" w:cs="Times New Roman"/>
                <w:b/>
                <w:bCs w:val="0"/>
                <w:color w:val="auto"/>
                <w:szCs w:val="21"/>
              </w:rPr>
              <w:instrText xml:space="preserve"> = 6 \* GB3 \* MERGEFORMAT </w:instrText>
            </w:r>
            <w:r>
              <w:rPr>
                <w:rFonts w:hint="default" w:ascii="Times New Roman" w:hAnsi="Times New Roman" w:cs="Times New Roman"/>
                <w:b/>
                <w:bCs w:val="0"/>
                <w:color w:val="auto"/>
                <w:szCs w:val="21"/>
              </w:rPr>
              <w:fldChar w:fldCharType="separate"/>
            </w:r>
            <w:r>
              <w:rPr>
                <w:rFonts w:hint="default" w:ascii="Times New Roman" w:hAnsi="Times New Roman" w:cs="Times New Roman"/>
                <w:b/>
                <w:bCs w:val="0"/>
                <w:color w:val="auto"/>
                <w:szCs w:val="21"/>
              </w:rPr>
              <w:t>⑥</w:t>
            </w:r>
            <w:r>
              <w:rPr>
                <w:rFonts w:hint="default" w:ascii="Times New Roman" w:hAnsi="Times New Roman" w:cs="Times New Roman"/>
                <w:b/>
                <w:bCs w:val="0"/>
                <w:color w:val="auto"/>
                <w:szCs w:val="21"/>
              </w:rPr>
              <w:fldChar w:fldCharType="end"/>
            </w:r>
          </w:p>
        </w:tc>
        <w:tc>
          <w:tcPr>
            <w:tcW w:w="1430" w:type="dxa"/>
            <w:noWrap w:val="0"/>
            <w:tcMar>
              <w:left w:w="28" w:type="dxa"/>
              <w:right w:w="28" w:type="dxa"/>
            </w:tcMar>
            <w:vAlign w:val="center"/>
          </w:tcPr>
          <w:p w14:paraId="44FD08E5">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变化量</w:t>
            </w:r>
          </w:p>
          <w:p w14:paraId="1A706B2C">
            <w:pPr>
              <w:pStyle w:val="36"/>
              <w:keepNext w:val="0"/>
              <w:keepLines w:val="0"/>
              <w:suppressLineNumbers w:val="0"/>
              <w:spacing w:before="0" w:beforeAutospacing="0" w:after="0" w:afterAutospacing="0"/>
              <w:ind w:left="0" w:right="0"/>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fldChar w:fldCharType="begin"/>
            </w:r>
            <w:r>
              <w:rPr>
                <w:rFonts w:hint="default" w:ascii="Times New Roman" w:hAnsi="Times New Roman" w:cs="Times New Roman"/>
                <w:b/>
                <w:bCs w:val="0"/>
                <w:color w:val="auto"/>
                <w:szCs w:val="21"/>
              </w:rPr>
              <w:instrText xml:space="preserve"> = 7 \* GB3 \* MERGEFORMAT </w:instrText>
            </w:r>
            <w:r>
              <w:rPr>
                <w:rFonts w:hint="default" w:ascii="Times New Roman" w:hAnsi="Times New Roman" w:cs="Times New Roman"/>
                <w:b/>
                <w:bCs w:val="0"/>
                <w:color w:val="auto"/>
                <w:szCs w:val="21"/>
              </w:rPr>
              <w:fldChar w:fldCharType="separate"/>
            </w:r>
            <w:r>
              <w:rPr>
                <w:rFonts w:hint="default" w:ascii="Times New Roman" w:hAnsi="Times New Roman" w:cs="Times New Roman"/>
                <w:b/>
                <w:bCs w:val="0"/>
                <w:color w:val="auto"/>
                <w:szCs w:val="21"/>
              </w:rPr>
              <w:t>⑦</w:t>
            </w:r>
            <w:r>
              <w:rPr>
                <w:rFonts w:hint="default" w:ascii="Times New Roman" w:hAnsi="Times New Roman" w:cs="Times New Roman"/>
                <w:b/>
                <w:bCs w:val="0"/>
                <w:color w:val="auto"/>
                <w:szCs w:val="21"/>
              </w:rPr>
              <w:fldChar w:fldCharType="end"/>
            </w:r>
          </w:p>
        </w:tc>
      </w:tr>
      <w:tr w14:paraId="61999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restart"/>
            <w:noWrap w:val="0"/>
            <w:vAlign w:val="center"/>
          </w:tcPr>
          <w:p w14:paraId="7A40FBC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废气</w:t>
            </w:r>
          </w:p>
        </w:tc>
        <w:tc>
          <w:tcPr>
            <w:tcW w:w="2419" w:type="dxa"/>
            <w:noWrap w:val="0"/>
            <w:vAlign w:val="center"/>
          </w:tcPr>
          <w:p w14:paraId="19E7F4E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颗粒物</w:t>
            </w:r>
          </w:p>
        </w:tc>
        <w:tc>
          <w:tcPr>
            <w:tcW w:w="1575" w:type="dxa"/>
            <w:noWrap w:val="0"/>
            <w:vAlign w:val="center"/>
          </w:tcPr>
          <w:p w14:paraId="003BFB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4D2FE0A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3EB68C8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3946CA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cs="Times New Roman"/>
                <w:i w:val="0"/>
                <w:iCs w:val="0"/>
                <w:color w:val="000000"/>
                <w:kern w:val="0"/>
                <w:sz w:val="21"/>
                <w:szCs w:val="21"/>
                <w:u w:val="none"/>
                <w:lang w:val="en-US" w:eastAsia="zh-CN" w:bidi="ar"/>
              </w:rPr>
              <w:t>0.416</w:t>
            </w:r>
          </w:p>
        </w:tc>
        <w:tc>
          <w:tcPr>
            <w:tcW w:w="1617" w:type="dxa"/>
            <w:noWrap w:val="0"/>
            <w:vAlign w:val="center"/>
          </w:tcPr>
          <w:p w14:paraId="00E1615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115829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cs="Times New Roman"/>
                <w:i w:val="0"/>
                <w:iCs w:val="0"/>
                <w:color w:val="000000"/>
                <w:kern w:val="0"/>
                <w:sz w:val="21"/>
                <w:szCs w:val="21"/>
                <w:u w:val="none"/>
                <w:lang w:val="en-US" w:eastAsia="zh-CN" w:bidi="ar"/>
              </w:rPr>
              <w:t>0.416</w:t>
            </w:r>
          </w:p>
        </w:tc>
        <w:tc>
          <w:tcPr>
            <w:tcW w:w="1430" w:type="dxa"/>
            <w:noWrap w:val="0"/>
            <w:vAlign w:val="center"/>
          </w:tcPr>
          <w:p w14:paraId="271801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0.416</w:t>
            </w:r>
          </w:p>
        </w:tc>
      </w:tr>
      <w:tr w14:paraId="2EB9D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680D5A6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49577C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VOCs</w:t>
            </w:r>
          </w:p>
        </w:tc>
        <w:tc>
          <w:tcPr>
            <w:tcW w:w="1575" w:type="dxa"/>
            <w:noWrap w:val="0"/>
            <w:vAlign w:val="center"/>
          </w:tcPr>
          <w:p w14:paraId="16842F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58CD3C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36E7B9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28301E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0.1062</w:t>
            </w:r>
          </w:p>
        </w:tc>
        <w:tc>
          <w:tcPr>
            <w:tcW w:w="1617" w:type="dxa"/>
            <w:noWrap w:val="0"/>
            <w:vAlign w:val="center"/>
          </w:tcPr>
          <w:p w14:paraId="36FE0B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63F359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0.1062</w:t>
            </w:r>
          </w:p>
        </w:tc>
        <w:tc>
          <w:tcPr>
            <w:tcW w:w="1430" w:type="dxa"/>
            <w:noWrap w:val="0"/>
            <w:vAlign w:val="center"/>
          </w:tcPr>
          <w:p w14:paraId="7E8C96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0.1062</w:t>
            </w:r>
          </w:p>
        </w:tc>
      </w:tr>
      <w:tr w14:paraId="41AE2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227025B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13830C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油烟</w:t>
            </w:r>
          </w:p>
        </w:tc>
        <w:tc>
          <w:tcPr>
            <w:tcW w:w="1575" w:type="dxa"/>
            <w:noWrap w:val="0"/>
            <w:vAlign w:val="center"/>
          </w:tcPr>
          <w:p w14:paraId="429C7F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64F25E7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223101E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2F8290F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0.00158</w:t>
            </w:r>
          </w:p>
        </w:tc>
        <w:tc>
          <w:tcPr>
            <w:tcW w:w="1617" w:type="dxa"/>
            <w:noWrap w:val="0"/>
            <w:vAlign w:val="center"/>
          </w:tcPr>
          <w:p w14:paraId="4922CA0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042DFB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0.00158</w:t>
            </w:r>
          </w:p>
        </w:tc>
        <w:tc>
          <w:tcPr>
            <w:tcW w:w="1430" w:type="dxa"/>
            <w:noWrap w:val="0"/>
            <w:vAlign w:val="center"/>
          </w:tcPr>
          <w:p w14:paraId="1C9DA892">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0.00158</w:t>
            </w:r>
          </w:p>
        </w:tc>
      </w:tr>
      <w:tr w14:paraId="71EF8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restart"/>
            <w:noWrap w:val="0"/>
            <w:vAlign w:val="center"/>
          </w:tcPr>
          <w:p w14:paraId="393FF35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废水</w:t>
            </w:r>
          </w:p>
        </w:tc>
        <w:tc>
          <w:tcPr>
            <w:tcW w:w="2419" w:type="dxa"/>
            <w:noWrap w:val="0"/>
            <w:vAlign w:val="center"/>
          </w:tcPr>
          <w:p w14:paraId="79E01E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COD</w:t>
            </w:r>
          </w:p>
        </w:tc>
        <w:tc>
          <w:tcPr>
            <w:tcW w:w="1575" w:type="dxa"/>
            <w:noWrap w:val="0"/>
            <w:vAlign w:val="center"/>
          </w:tcPr>
          <w:p w14:paraId="511D685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52160A6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7C7F8CC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1D08C62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0.1512</w:t>
            </w:r>
          </w:p>
        </w:tc>
        <w:tc>
          <w:tcPr>
            <w:tcW w:w="1617" w:type="dxa"/>
            <w:noWrap w:val="0"/>
            <w:vAlign w:val="center"/>
          </w:tcPr>
          <w:p w14:paraId="0DF3223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508CAF4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0.1512</w:t>
            </w:r>
          </w:p>
        </w:tc>
        <w:tc>
          <w:tcPr>
            <w:tcW w:w="1430" w:type="dxa"/>
            <w:noWrap w:val="0"/>
            <w:vAlign w:val="center"/>
          </w:tcPr>
          <w:p w14:paraId="6CE3AC67">
            <w:pPr>
              <w:keepNext w:val="0"/>
              <w:keepLines w:val="0"/>
              <w:widowControl/>
              <w:suppressLineNumbers w:val="0"/>
              <w:spacing w:before="0" w:beforeAutospacing="0" w:after="0" w:afterAutospacing="0"/>
              <w:ind w:left="0" w:right="0"/>
              <w:jc w:val="center"/>
              <w:textAlignment w:val="center"/>
              <w:rPr>
                <w:rFonts w:hint="default" w:cs="Times New Roman"/>
                <w:color w:val="auto"/>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0.1512</w:t>
            </w:r>
          </w:p>
        </w:tc>
      </w:tr>
      <w:tr w14:paraId="4CC27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6831AF1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2419" w:type="dxa"/>
            <w:noWrap w:val="0"/>
            <w:vAlign w:val="center"/>
          </w:tcPr>
          <w:p w14:paraId="4A2DEFB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p>
        </w:tc>
        <w:tc>
          <w:tcPr>
            <w:tcW w:w="1575" w:type="dxa"/>
            <w:noWrap w:val="0"/>
            <w:vAlign w:val="center"/>
          </w:tcPr>
          <w:p w14:paraId="062EDEF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0AC9261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6FAE072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53803CC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0.0756</w:t>
            </w:r>
          </w:p>
        </w:tc>
        <w:tc>
          <w:tcPr>
            <w:tcW w:w="1617" w:type="dxa"/>
            <w:noWrap w:val="0"/>
            <w:vAlign w:val="center"/>
          </w:tcPr>
          <w:p w14:paraId="0FFB1FD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7AE98A7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0.0756</w:t>
            </w:r>
          </w:p>
        </w:tc>
        <w:tc>
          <w:tcPr>
            <w:tcW w:w="1430" w:type="dxa"/>
            <w:noWrap w:val="0"/>
            <w:vAlign w:val="center"/>
          </w:tcPr>
          <w:p w14:paraId="03A476B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0.0756</w:t>
            </w:r>
          </w:p>
        </w:tc>
      </w:tr>
      <w:tr w14:paraId="764E2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0008D77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55A8D9A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NH</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-N</w:t>
            </w:r>
          </w:p>
        </w:tc>
        <w:tc>
          <w:tcPr>
            <w:tcW w:w="1575" w:type="dxa"/>
            <w:noWrap w:val="0"/>
            <w:vAlign w:val="center"/>
          </w:tcPr>
          <w:p w14:paraId="17DF0A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1AF5BE3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139AD9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5846F8F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0.01512</w:t>
            </w:r>
          </w:p>
        </w:tc>
        <w:tc>
          <w:tcPr>
            <w:tcW w:w="1617" w:type="dxa"/>
            <w:noWrap w:val="0"/>
            <w:vAlign w:val="center"/>
          </w:tcPr>
          <w:p w14:paraId="238B089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068F360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0.01512</w:t>
            </w:r>
          </w:p>
        </w:tc>
        <w:tc>
          <w:tcPr>
            <w:tcW w:w="1430" w:type="dxa"/>
            <w:noWrap w:val="0"/>
            <w:vAlign w:val="center"/>
          </w:tcPr>
          <w:p w14:paraId="56ED929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0.01512</w:t>
            </w:r>
          </w:p>
        </w:tc>
      </w:tr>
      <w:tr w14:paraId="4035D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343D2C7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0C0A957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SS</w:t>
            </w:r>
          </w:p>
        </w:tc>
        <w:tc>
          <w:tcPr>
            <w:tcW w:w="1575" w:type="dxa"/>
            <w:noWrap w:val="0"/>
            <w:vAlign w:val="center"/>
          </w:tcPr>
          <w:p w14:paraId="5A007B1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3E3FD80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6E2F261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086AB9D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0.0756</w:t>
            </w:r>
          </w:p>
        </w:tc>
        <w:tc>
          <w:tcPr>
            <w:tcW w:w="1617" w:type="dxa"/>
            <w:noWrap w:val="0"/>
            <w:vAlign w:val="center"/>
          </w:tcPr>
          <w:p w14:paraId="0814F6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604C712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0.0756</w:t>
            </w:r>
          </w:p>
        </w:tc>
        <w:tc>
          <w:tcPr>
            <w:tcW w:w="1430" w:type="dxa"/>
            <w:noWrap w:val="0"/>
            <w:vAlign w:val="center"/>
          </w:tcPr>
          <w:p w14:paraId="13F3811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0.0756</w:t>
            </w:r>
          </w:p>
        </w:tc>
      </w:tr>
      <w:tr w14:paraId="493B6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39D3515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1AC45BB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动植物油</w:t>
            </w:r>
          </w:p>
        </w:tc>
        <w:tc>
          <w:tcPr>
            <w:tcW w:w="1575" w:type="dxa"/>
            <w:noWrap w:val="0"/>
            <w:vAlign w:val="center"/>
          </w:tcPr>
          <w:p w14:paraId="3EBD81B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0F5E233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21B579D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16F9E2C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0.00756</w:t>
            </w:r>
          </w:p>
        </w:tc>
        <w:tc>
          <w:tcPr>
            <w:tcW w:w="1617" w:type="dxa"/>
            <w:noWrap w:val="0"/>
            <w:vAlign w:val="center"/>
          </w:tcPr>
          <w:p w14:paraId="349FAE0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53F65F3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0.00756</w:t>
            </w:r>
          </w:p>
        </w:tc>
        <w:tc>
          <w:tcPr>
            <w:tcW w:w="1430" w:type="dxa"/>
            <w:noWrap w:val="0"/>
            <w:vAlign w:val="center"/>
          </w:tcPr>
          <w:p w14:paraId="0AF476A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0.00756</w:t>
            </w:r>
          </w:p>
        </w:tc>
      </w:tr>
      <w:tr w14:paraId="4AD79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restart"/>
            <w:noWrap w:val="0"/>
            <w:vAlign w:val="center"/>
          </w:tcPr>
          <w:p w14:paraId="702900A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固体废物</w:t>
            </w:r>
          </w:p>
        </w:tc>
        <w:tc>
          <w:tcPr>
            <w:tcW w:w="2419" w:type="dxa"/>
            <w:noWrap w:val="0"/>
            <w:vAlign w:val="center"/>
          </w:tcPr>
          <w:p w14:paraId="18A243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金属废屑和金属边角料</w:t>
            </w:r>
          </w:p>
        </w:tc>
        <w:tc>
          <w:tcPr>
            <w:tcW w:w="1575" w:type="dxa"/>
            <w:noWrap w:val="0"/>
            <w:vAlign w:val="center"/>
          </w:tcPr>
          <w:p w14:paraId="469324B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7E7AC94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43D7EBE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4F2053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1617" w:type="dxa"/>
            <w:noWrap w:val="0"/>
            <w:vAlign w:val="center"/>
          </w:tcPr>
          <w:p w14:paraId="5692E7F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279565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1430" w:type="dxa"/>
            <w:noWrap w:val="0"/>
            <w:vAlign w:val="center"/>
          </w:tcPr>
          <w:p w14:paraId="27A81766">
            <w:pPr>
              <w:keepNext w:val="0"/>
              <w:keepLines w:val="0"/>
              <w:widowControl/>
              <w:suppressLineNumbers w:val="0"/>
              <w:spacing w:before="0" w:beforeAutospacing="0" w:after="0" w:afterAutospacing="0"/>
              <w:ind w:left="0" w:right="0"/>
              <w:jc w:val="center"/>
              <w:textAlignment w:val="center"/>
              <w:rPr>
                <w:rFonts w:hint="eastAsi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1.88</w:t>
            </w:r>
          </w:p>
        </w:tc>
      </w:tr>
      <w:tr w14:paraId="38A23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1D2A26F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13DC0EF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焊渣及废焊条</w:t>
            </w:r>
          </w:p>
        </w:tc>
        <w:tc>
          <w:tcPr>
            <w:tcW w:w="1575" w:type="dxa"/>
            <w:noWrap w:val="0"/>
            <w:vAlign w:val="center"/>
          </w:tcPr>
          <w:p w14:paraId="5C71AD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711531D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455EBA8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593EB2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1617" w:type="dxa"/>
            <w:noWrap w:val="0"/>
            <w:vAlign w:val="center"/>
          </w:tcPr>
          <w:p w14:paraId="7E63090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26F736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1430" w:type="dxa"/>
            <w:noWrap w:val="0"/>
            <w:vAlign w:val="center"/>
          </w:tcPr>
          <w:p w14:paraId="1C20733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0.005</w:t>
            </w:r>
          </w:p>
        </w:tc>
      </w:tr>
      <w:tr w14:paraId="4250D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5E1F859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1C9DE6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废包装材料</w:t>
            </w:r>
          </w:p>
        </w:tc>
        <w:tc>
          <w:tcPr>
            <w:tcW w:w="1575" w:type="dxa"/>
            <w:noWrap w:val="0"/>
            <w:vAlign w:val="center"/>
          </w:tcPr>
          <w:p w14:paraId="488A8F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2525F9E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776593B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51CAEFB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1617" w:type="dxa"/>
            <w:noWrap w:val="0"/>
            <w:vAlign w:val="center"/>
          </w:tcPr>
          <w:p w14:paraId="3AE21F7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1466E41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1430" w:type="dxa"/>
            <w:noWrap w:val="0"/>
            <w:vAlign w:val="center"/>
          </w:tcPr>
          <w:p w14:paraId="1A6EACC7">
            <w:pPr>
              <w:keepNext w:val="0"/>
              <w:keepLines w:val="0"/>
              <w:widowControl/>
              <w:suppressLineNumbers w:val="0"/>
              <w:spacing w:before="0" w:beforeAutospacing="0" w:after="0" w:afterAutospacing="0"/>
              <w:ind w:left="0" w:right="0"/>
              <w:jc w:val="center"/>
              <w:textAlignment w:val="center"/>
              <w:rPr>
                <w:rFonts w:hint="eastAsia" w:eastAsia="宋体" w:cs="Times New Roman"/>
                <w:i w:val="0"/>
                <w:color w:val="auto"/>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w:t>
            </w:r>
          </w:p>
        </w:tc>
      </w:tr>
      <w:tr w14:paraId="4CCB0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2F23F1E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655612E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漆渣</w:t>
            </w:r>
          </w:p>
        </w:tc>
        <w:tc>
          <w:tcPr>
            <w:tcW w:w="1575" w:type="dxa"/>
            <w:noWrap w:val="0"/>
            <w:vAlign w:val="center"/>
          </w:tcPr>
          <w:p w14:paraId="7C87D6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0ECD243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211A942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211E643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0.0248</w:t>
            </w:r>
          </w:p>
        </w:tc>
        <w:tc>
          <w:tcPr>
            <w:tcW w:w="1617" w:type="dxa"/>
            <w:noWrap w:val="0"/>
            <w:vAlign w:val="center"/>
          </w:tcPr>
          <w:p w14:paraId="799AB1E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0C84AEF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0.0248</w:t>
            </w:r>
          </w:p>
        </w:tc>
        <w:tc>
          <w:tcPr>
            <w:tcW w:w="1430" w:type="dxa"/>
            <w:noWrap w:val="0"/>
            <w:vAlign w:val="center"/>
          </w:tcPr>
          <w:p w14:paraId="58E35007">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0.0248</w:t>
            </w:r>
          </w:p>
        </w:tc>
      </w:tr>
      <w:tr w14:paraId="36168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7CC314A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1078AC3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废漆桶</w:t>
            </w:r>
          </w:p>
        </w:tc>
        <w:tc>
          <w:tcPr>
            <w:tcW w:w="1575" w:type="dxa"/>
            <w:noWrap w:val="0"/>
            <w:vAlign w:val="center"/>
          </w:tcPr>
          <w:p w14:paraId="759E1BDB">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rPr>
            </w:pPr>
            <w:r>
              <w:rPr>
                <w:rFonts w:hint="eastAsia"/>
              </w:rPr>
              <w:t>/</w:t>
            </w:r>
          </w:p>
        </w:tc>
        <w:tc>
          <w:tcPr>
            <w:tcW w:w="1036" w:type="dxa"/>
            <w:noWrap w:val="0"/>
            <w:vAlign w:val="center"/>
          </w:tcPr>
          <w:p w14:paraId="440E8B88">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rPr>
              <w:t>/</w:t>
            </w:r>
          </w:p>
        </w:tc>
        <w:tc>
          <w:tcPr>
            <w:tcW w:w="1683" w:type="dxa"/>
            <w:noWrap w:val="0"/>
            <w:vAlign w:val="center"/>
          </w:tcPr>
          <w:p w14:paraId="6C770F11">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rPr>
              <w:t>/</w:t>
            </w:r>
          </w:p>
        </w:tc>
        <w:tc>
          <w:tcPr>
            <w:tcW w:w="1617" w:type="dxa"/>
            <w:noWrap w:val="0"/>
            <w:vAlign w:val="center"/>
          </w:tcPr>
          <w:p w14:paraId="0706FA0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1617" w:type="dxa"/>
            <w:noWrap w:val="0"/>
            <w:vAlign w:val="center"/>
          </w:tcPr>
          <w:p w14:paraId="1C0D2B8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eastAsia"/>
              </w:rPr>
              <w:t>/</w:t>
            </w:r>
          </w:p>
        </w:tc>
        <w:tc>
          <w:tcPr>
            <w:tcW w:w="1716" w:type="dxa"/>
            <w:noWrap w:val="0"/>
            <w:vAlign w:val="center"/>
          </w:tcPr>
          <w:p w14:paraId="0360EC4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1430" w:type="dxa"/>
            <w:noWrap w:val="0"/>
            <w:vAlign w:val="center"/>
          </w:tcPr>
          <w:p w14:paraId="718EAA54">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w:t>
            </w:r>
          </w:p>
        </w:tc>
      </w:tr>
      <w:tr w14:paraId="5EAD6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7900BC3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4772555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废活性炭</w:t>
            </w:r>
          </w:p>
        </w:tc>
        <w:tc>
          <w:tcPr>
            <w:tcW w:w="1575" w:type="dxa"/>
            <w:noWrap w:val="0"/>
            <w:vAlign w:val="center"/>
          </w:tcPr>
          <w:p w14:paraId="0EE39483">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rPr>
              <w:t>/</w:t>
            </w:r>
          </w:p>
        </w:tc>
        <w:tc>
          <w:tcPr>
            <w:tcW w:w="1036" w:type="dxa"/>
            <w:noWrap w:val="0"/>
            <w:vAlign w:val="center"/>
          </w:tcPr>
          <w:p w14:paraId="173C157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683" w:type="dxa"/>
            <w:noWrap w:val="0"/>
            <w:vAlign w:val="center"/>
          </w:tcPr>
          <w:p w14:paraId="6B3029D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617" w:type="dxa"/>
            <w:noWrap w:val="0"/>
            <w:vAlign w:val="center"/>
          </w:tcPr>
          <w:p w14:paraId="60D408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0.5</w:t>
            </w:r>
          </w:p>
        </w:tc>
        <w:tc>
          <w:tcPr>
            <w:tcW w:w="1617" w:type="dxa"/>
            <w:noWrap w:val="0"/>
            <w:vAlign w:val="center"/>
          </w:tcPr>
          <w:p w14:paraId="3C8AE4C4">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rPr>
              <w:t>/</w:t>
            </w:r>
          </w:p>
        </w:tc>
        <w:tc>
          <w:tcPr>
            <w:tcW w:w="1716" w:type="dxa"/>
            <w:noWrap w:val="0"/>
            <w:vAlign w:val="center"/>
          </w:tcPr>
          <w:p w14:paraId="0679B9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0.5</w:t>
            </w:r>
          </w:p>
        </w:tc>
        <w:tc>
          <w:tcPr>
            <w:tcW w:w="1430" w:type="dxa"/>
            <w:noWrap w:val="0"/>
            <w:vAlign w:val="center"/>
          </w:tcPr>
          <w:p w14:paraId="02A40CC2">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0.5</w:t>
            </w:r>
          </w:p>
        </w:tc>
      </w:tr>
      <w:tr w14:paraId="1ECD8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46E3D6E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6380659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废过滤棉</w:t>
            </w:r>
          </w:p>
        </w:tc>
        <w:tc>
          <w:tcPr>
            <w:tcW w:w="1575" w:type="dxa"/>
            <w:noWrap w:val="0"/>
            <w:vAlign w:val="center"/>
          </w:tcPr>
          <w:p w14:paraId="57D4C5AF">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rPr>
              <w:t>/</w:t>
            </w:r>
          </w:p>
        </w:tc>
        <w:tc>
          <w:tcPr>
            <w:tcW w:w="1036" w:type="dxa"/>
            <w:noWrap w:val="0"/>
            <w:vAlign w:val="center"/>
          </w:tcPr>
          <w:p w14:paraId="2E9069E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683" w:type="dxa"/>
            <w:noWrap w:val="0"/>
            <w:vAlign w:val="center"/>
          </w:tcPr>
          <w:p w14:paraId="638587D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617" w:type="dxa"/>
            <w:noWrap w:val="0"/>
            <w:vAlign w:val="center"/>
          </w:tcPr>
          <w:p w14:paraId="1E0390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0.36</w:t>
            </w:r>
          </w:p>
        </w:tc>
        <w:tc>
          <w:tcPr>
            <w:tcW w:w="1617" w:type="dxa"/>
            <w:noWrap w:val="0"/>
            <w:vAlign w:val="center"/>
          </w:tcPr>
          <w:p w14:paraId="25A561F7">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rPr>
              <w:t>/</w:t>
            </w:r>
          </w:p>
        </w:tc>
        <w:tc>
          <w:tcPr>
            <w:tcW w:w="1716" w:type="dxa"/>
            <w:noWrap w:val="0"/>
            <w:vAlign w:val="center"/>
          </w:tcPr>
          <w:p w14:paraId="1AFC10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0.36</w:t>
            </w:r>
          </w:p>
        </w:tc>
        <w:tc>
          <w:tcPr>
            <w:tcW w:w="1430" w:type="dxa"/>
            <w:noWrap w:val="0"/>
            <w:vAlign w:val="center"/>
          </w:tcPr>
          <w:p w14:paraId="5112784C">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0.36</w:t>
            </w:r>
          </w:p>
        </w:tc>
      </w:tr>
      <w:tr w14:paraId="6FB50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74D8D20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307141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含油废包装桶</w:t>
            </w:r>
          </w:p>
        </w:tc>
        <w:tc>
          <w:tcPr>
            <w:tcW w:w="1575" w:type="dxa"/>
            <w:noWrap w:val="0"/>
            <w:vAlign w:val="center"/>
          </w:tcPr>
          <w:p w14:paraId="288C7FA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036" w:type="dxa"/>
            <w:noWrap w:val="0"/>
            <w:vAlign w:val="center"/>
          </w:tcPr>
          <w:p w14:paraId="6A25DBA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683" w:type="dxa"/>
            <w:noWrap w:val="0"/>
            <w:vAlign w:val="center"/>
          </w:tcPr>
          <w:p w14:paraId="304E95D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617" w:type="dxa"/>
            <w:noWrap w:val="0"/>
            <w:vAlign w:val="center"/>
          </w:tcPr>
          <w:p w14:paraId="74E932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1617" w:type="dxa"/>
            <w:noWrap w:val="0"/>
            <w:vAlign w:val="center"/>
          </w:tcPr>
          <w:p w14:paraId="38615F6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rPr>
              <w:t>/</w:t>
            </w:r>
          </w:p>
        </w:tc>
        <w:tc>
          <w:tcPr>
            <w:tcW w:w="1716" w:type="dxa"/>
            <w:noWrap w:val="0"/>
            <w:vAlign w:val="center"/>
          </w:tcPr>
          <w:p w14:paraId="1C616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1430" w:type="dxa"/>
            <w:noWrap w:val="0"/>
            <w:vAlign w:val="center"/>
          </w:tcPr>
          <w:p w14:paraId="55F9C56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0.005</w:t>
            </w:r>
          </w:p>
        </w:tc>
      </w:tr>
      <w:tr w14:paraId="49695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4840852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0D25D6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废抹布、废手套和废棉布等废弃物</w:t>
            </w:r>
          </w:p>
        </w:tc>
        <w:tc>
          <w:tcPr>
            <w:tcW w:w="1575" w:type="dxa"/>
            <w:noWrap w:val="0"/>
            <w:vAlign w:val="center"/>
          </w:tcPr>
          <w:p w14:paraId="7C2688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62D655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057223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3A8DE3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1617" w:type="dxa"/>
            <w:noWrap w:val="0"/>
            <w:vAlign w:val="center"/>
          </w:tcPr>
          <w:p w14:paraId="3B54DF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16FCE7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1430" w:type="dxa"/>
            <w:noWrap w:val="0"/>
            <w:vAlign w:val="center"/>
          </w:tcPr>
          <w:p w14:paraId="30D8A1D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0.05</w:t>
            </w:r>
          </w:p>
        </w:tc>
      </w:tr>
      <w:tr w14:paraId="484D0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0" w:hRule="atLeast"/>
          <w:jc w:val="center"/>
        </w:trPr>
        <w:tc>
          <w:tcPr>
            <w:tcW w:w="695" w:type="dxa"/>
            <w:vMerge w:val="continue"/>
            <w:noWrap w:val="0"/>
            <w:vAlign w:val="center"/>
          </w:tcPr>
          <w:p w14:paraId="1386379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419" w:type="dxa"/>
            <w:noWrap w:val="0"/>
            <w:vAlign w:val="center"/>
          </w:tcPr>
          <w:p w14:paraId="0AE9A9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生活垃圾</w:t>
            </w:r>
          </w:p>
        </w:tc>
        <w:tc>
          <w:tcPr>
            <w:tcW w:w="1575" w:type="dxa"/>
            <w:noWrap w:val="0"/>
            <w:vAlign w:val="center"/>
          </w:tcPr>
          <w:p w14:paraId="5044E2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36" w:type="dxa"/>
            <w:noWrap w:val="0"/>
            <w:vAlign w:val="center"/>
          </w:tcPr>
          <w:p w14:paraId="3752A8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83" w:type="dxa"/>
            <w:noWrap w:val="0"/>
            <w:vAlign w:val="center"/>
          </w:tcPr>
          <w:p w14:paraId="29C4D1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7" w:type="dxa"/>
            <w:noWrap w:val="0"/>
            <w:vAlign w:val="center"/>
          </w:tcPr>
          <w:p w14:paraId="755687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5.25</w:t>
            </w:r>
          </w:p>
        </w:tc>
        <w:tc>
          <w:tcPr>
            <w:tcW w:w="1617" w:type="dxa"/>
            <w:noWrap w:val="0"/>
            <w:vAlign w:val="center"/>
          </w:tcPr>
          <w:p w14:paraId="6B352C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noWrap w:val="0"/>
            <w:vAlign w:val="center"/>
          </w:tcPr>
          <w:p w14:paraId="27B74E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5.25</w:t>
            </w:r>
          </w:p>
        </w:tc>
        <w:tc>
          <w:tcPr>
            <w:tcW w:w="1430" w:type="dxa"/>
            <w:noWrap w:val="0"/>
            <w:vAlign w:val="center"/>
          </w:tcPr>
          <w:p w14:paraId="3409FAA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5.25</w:t>
            </w:r>
          </w:p>
        </w:tc>
      </w:tr>
    </w:tbl>
    <w:p w14:paraId="16C9B00D">
      <w:pPr>
        <w:adjustRightInd w:val="0"/>
        <w:snapToGrid w:val="0"/>
        <w:spacing w:line="360" w:lineRule="auto"/>
        <w:ind w:firstLine="840" w:firstLineChars="400"/>
      </w:pPr>
      <w:r>
        <w:rPr>
          <w:rFonts w:ascii="Times New Roman"/>
          <w:snapToGrid w:val="0"/>
          <w:color w:val="auto"/>
          <w:szCs w:val="21"/>
        </w:rPr>
        <w:t>注：</w:t>
      </w:r>
      <w:r>
        <w:rPr>
          <w:rFonts w:ascii="Times New Roman"/>
          <w:snapToGrid w:val="0"/>
          <w:color w:val="auto"/>
          <w:szCs w:val="21"/>
        </w:rPr>
        <w:fldChar w:fldCharType="begin"/>
      </w:r>
      <w:r>
        <w:rPr>
          <w:rFonts w:ascii="Times New Roman"/>
          <w:snapToGrid w:val="0"/>
          <w:color w:val="auto"/>
          <w:szCs w:val="21"/>
        </w:rPr>
        <w:instrText xml:space="preserve"> = 6 \* GB3 \* MERGEFORMAT </w:instrText>
      </w:r>
      <w:r>
        <w:rPr>
          <w:rFonts w:ascii="Times New Roman"/>
          <w:snapToGrid w:val="0"/>
          <w:color w:val="auto"/>
          <w:szCs w:val="21"/>
        </w:rPr>
        <w:fldChar w:fldCharType="separate"/>
      </w:r>
      <w:r>
        <w:rPr>
          <w:rFonts w:hint="eastAsia" w:hAnsi="宋体" w:cs="宋体"/>
          <w:snapToGrid w:val="0"/>
          <w:color w:val="auto"/>
          <w:szCs w:val="21"/>
        </w:rPr>
        <w:t>⑥</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1 \* GB3 \* MERGEFORMAT </w:instrText>
      </w:r>
      <w:r>
        <w:rPr>
          <w:rFonts w:ascii="Times New Roman"/>
          <w:snapToGrid w:val="0"/>
          <w:color w:val="auto"/>
          <w:szCs w:val="21"/>
        </w:rPr>
        <w:fldChar w:fldCharType="separate"/>
      </w:r>
      <w:r>
        <w:rPr>
          <w:rFonts w:hint="eastAsia" w:hAnsi="宋体" w:cs="宋体"/>
          <w:snapToGrid w:val="0"/>
          <w:color w:val="auto"/>
          <w:szCs w:val="21"/>
        </w:rPr>
        <w:t>①</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3 \* GB3 \* MERGEFORMAT </w:instrText>
      </w:r>
      <w:r>
        <w:rPr>
          <w:rFonts w:ascii="Times New Roman"/>
          <w:snapToGrid w:val="0"/>
          <w:color w:val="auto"/>
          <w:szCs w:val="21"/>
        </w:rPr>
        <w:fldChar w:fldCharType="separate"/>
      </w:r>
      <w:r>
        <w:rPr>
          <w:rFonts w:hint="eastAsia" w:hAnsi="宋体" w:cs="宋体"/>
          <w:snapToGrid w:val="0"/>
          <w:color w:val="auto"/>
          <w:szCs w:val="21"/>
        </w:rPr>
        <w:t>③</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4 \* GB3 \* MERGEFORMAT </w:instrText>
      </w:r>
      <w:r>
        <w:rPr>
          <w:rFonts w:ascii="Times New Roman"/>
          <w:snapToGrid w:val="0"/>
          <w:color w:val="auto"/>
          <w:szCs w:val="21"/>
        </w:rPr>
        <w:fldChar w:fldCharType="separate"/>
      </w:r>
      <w:r>
        <w:rPr>
          <w:rFonts w:hint="eastAsia" w:hAnsi="宋体" w:cs="宋体"/>
          <w:snapToGrid w:val="0"/>
          <w:color w:val="auto"/>
          <w:szCs w:val="21"/>
        </w:rPr>
        <w:t>④</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5 \* GB3 \* MERGEFORMAT </w:instrText>
      </w:r>
      <w:r>
        <w:rPr>
          <w:rFonts w:ascii="Times New Roman"/>
          <w:snapToGrid w:val="0"/>
          <w:color w:val="auto"/>
          <w:szCs w:val="21"/>
        </w:rPr>
        <w:fldChar w:fldCharType="separate"/>
      </w:r>
      <w:r>
        <w:rPr>
          <w:rFonts w:hint="eastAsia" w:hAnsi="宋体" w:cs="宋体"/>
          <w:snapToGrid w:val="0"/>
          <w:color w:val="auto"/>
          <w:szCs w:val="21"/>
        </w:rPr>
        <w:t>⑤</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7 \* GB3 \* MERGEFORMAT </w:instrText>
      </w:r>
      <w:r>
        <w:rPr>
          <w:rFonts w:ascii="Times New Roman"/>
          <w:snapToGrid w:val="0"/>
          <w:color w:val="auto"/>
          <w:szCs w:val="21"/>
        </w:rPr>
        <w:fldChar w:fldCharType="separate"/>
      </w:r>
      <w:r>
        <w:rPr>
          <w:rFonts w:hint="eastAsia" w:hAnsi="宋体" w:cs="宋体"/>
          <w:snapToGrid w:val="0"/>
          <w:color w:val="auto"/>
          <w:szCs w:val="21"/>
        </w:rPr>
        <w:t>⑦</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6 \* GB3 \* MERGEFORMAT </w:instrText>
      </w:r>
      <w:r>
        <w:rPr>
          <w:rFonts w:ascii="Times New Roman"/>
          <w:snapToGrid w:val="0"/>
          <w:color w:val="auto"/>
          <w:szCs w:val="21"/>
        </w:rPr>
        <w:fldChar w:fldCharType="separate"/>
      </w:r>
      <w:r>
        <w:rPr>
          <w:rFonts w:hint="eastAsia" w:hAnsi="宋体" w:cs="宋体"/>
          <w:snapToGrid w:val="0"/>
          <w:color w:val="auto"/>
          <w:szCs w:val="21"/>
        </w:rPr>
        <w:t>⑥</w:t>
      </w:r>
      <w:r>
        <w:rPr>
          <w:rFonts w:ascii="Times New Roman"/>
          <w:snapToGrid w:val="0"/>
          <w:color w:val="auto"/>
          <w:szCs w:val="21"/>
        </w:rPr>
        <w:fldChar w:fldCharType="end"/>
      </w:r>
      <w:r>
        <w:rPr>
          <w:rFonts w:ascii="Times New Roman"/>
          <w:snapToGrid w:val="0"/>
          <w:color w:val="auto"/>
          <w:szCs w:val="21"/>
        </w:rPr>
        <w:t>-</w:t>
      </w:r>
      <w:r>
        <w:rPr>
          <w:rFonts w:ascii="Times New Roman"/>
          <w:snapToGrid w:val="0"/>
          <w:color w:val="auto"/>
          <w:szCs w:val="21"/>
        </w:rPr>
        <w:fldChar w:fldCharType="begin"/>
      </w:r>
      <w:r>
        <w:rPr>
          <w:rFonts w:ascii="Times New Roman"/>
          <w:snapToGrid w:val="0"/>
          <w:color w:val="auto"/>
          <w:szCs w:val="21"/>
        </w:rPr>
        <w:instrText xml:space="preserve"> = 1 \* GB3 \* MERGEFORMAT </w:instrText>
      </w:r>
      <w:r>
        <w:rPr>
          <w:rFonts w:ascii="Times New Roman"/>
          <w:snapToGrid w:val="0"/>
          <w:color w:val="auto"/>
          <w:szCs w:val="21"/>
        </w:rPr>
        <w:fldChar w:fldCharType="separate"/>
      </w:r>
      <w:r>
        <w:rPr>
          <w:rFonts w:hint="eastAsia" w:hAnsi="宋体" w:cs="宋体"/>
          <w:snapToGrid w:val="0"/>
          <w:color w:val="auto"/>
          <w:szCs w:val="21"/>
        </w:rPr>
        <w:t>①</w:t>
      </w:r>
      <w:r>
        <w:rPr>
          <w:rFonts w:ascii="Times New Roman"/>
          <w:snapToGrid w:val="0"/>
          <w:color w:val="auto"/>
          <w:szCs w:val="21"/>
        </w:rPr>
        <w:fldChar w:fldCharType="end"/>
      </w:r>
    </w:p>
    <w:p w14:paraId="40D1E0CA">
      <w:pPr>
        <w:sectPr>
          <w:footerReference r:id="rId5" w:type="default"/>
          <w:type w:val="continuous"/>
          <w:pgSz w:w="16838" w:h="11906" w:orient="landscape"/>
          <w:pgMar w:top="720" w:right="720" w:bottom="720" w:left="720" w:header="851" w:footer="851" w:gutter="0"/>
          <w:pgNumType w:fmt="decimal"/>
          <w:cols w:space="720" w:num="1"/>
          <w:docGrid w:linePitch="312" w:charSpace="0"/>
        </w:sectPr>
      </w:pPr>
    </w:p>
    <w:p w14:paraId="3CC530BF">
      <w:pPr>
        <w:jc w:val="center"/>
      </w:pPr>
      <w:bookmarkStart w:id="23" w:name="_GoBack"/>
      <w:bookmarkEnd w:id="23"/>
    </w:p>
    <w:sectPr>
      <w:type w:val="continuous"/>
      <w:pgSz w:w="16838" w:h="11906" w:orient="landscape"/>
      <w:pgMar w:top="720" w:right="720" w:bottom="720" w:left="72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书宋">
    <w:altName w:val="宋体"/>
    <w:panose1 w:val="00000000000000000000"/>
    <w:charset w:val="86"/>
    <w:family w:val="modern"/>
    <w:pitch w:val="default"/>
    <w:sig w:usb0="00000000" w:usb1="00000000" w:usb2="0000001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TimesNewRomanPSMT">
    <w:altName w:val="Times New Roman"/>
    <w:panose1 w:val="02020703060505090304"/>
    <w:charset w:val="00"/>
    <w:family w:val="roman"/>
    <w:pitch w:val="default"/>
    <w:sig w:usb0="00000000" w:usb1="00000000" w:usb2="00000001" w:usb3="00000000" w:csb0="400001BF" w:csb1="DFF7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23D1">
    <w:pPr>
      <w:pStyle w:val="1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60A7">
    <w:pPr>
      <w:pStyle w:val="14"/>
      <w:ind w:firstLine="480"/>
      <w:jc w:val="center"/>
      <w:rPr>
        <w:sz w:val="24"/>
        <w:szCs w:val="28"/>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65E56">
                          <w:pPr>
                            <w:pStyle w:val="14"/>
                            <w:ind w:firstLine="480"/>
                            <w:jc w:val="center"/>
                          </w:pP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24</w:t>
                          </w:r>
                          <w:r>
                            <w:rPr>
                              <w:sz w:val="24"/>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17465E56">
                    <w:pPr>
                      <w:pStyle w:val="14"/>
                      <w:ind w:firstLine="480"/>
                      <w:jc w:val="center"/>
                    </w:pP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24</w:t>
                    </w:r>
                    <w:r>
                      <w:rPr>
                        <w:sz w:val="24"/>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C939">
    <w:pPr>
      <w:pStyle w:val="14"/>
      <w:ind w:firstLine="480"/>
      <w:jc w:val="left"/>
      <w:rPr>
        <w:sz w:val="24"/>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538B2"/>
    <w:multiLevelType w:val="singleLevel"/>
    <w:tmpl w:val="C21538B2"/>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00000001"/>
    <w:multiLevelType w:val="multilevel"/>
    <w:tmpl w:val="00000001"/>
    <w:lvl w:ilvl="0" w:tentative="0">
      <w:start w:val="1"/>
      <w:numFmt w:val="decimal"/>
      <w:pStyle w:val="105"/>
      <w:lvlText w:val="表%1 "/>
      <w:lvlJc w:val="left"/>
      <w:pPr>
        <w:ind w:left="4105" w:hanging="420"/>
      </w:pPr>
      <w:rPr>
        <w:rFonts w:hint="default" w:ascii="Times New Roman" w:hAnsi="Times New Roman" w:cs="Times New Roman"/>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MzQ2YTYwZjFiNjNmMWE4OWNmMWM1NTA4YTJmNDQifQ=="/>
    <w:docVar w:name="KSO_WPS_MARK_KEY" w:val="056b5b50-63cf-40cf-82ec-bb21a0a8b8f9"/>
  </w:docVars>
  <w:rsids>
    <w:rsidRoot w:val="00172A27"/>
    <w:rsid w:val="00000CF9"/>
    <w:rsid w:val="00002804"/>
    <w:rsid w:val="000037C6"/>
    <w:rsid w:val="000060B3"/>
    <w:rsid w:val="000062F7"/>
    <w:rsid w:val="00007F2A"/>
    <w:rsid w:val="0001501E"/>
    <w:rsid w:val="00017538"/>
    <w:rsid w:val="000179AB"/>
    <w:rsid w:val="00023931"/>
    <w:rsid w:val="00024ADD"/>
    <w:rsid w:val="00025724"/>
    <w:rsid w:val="000308C2"/>
    <w:rsid w:val="00031406"/>
    <w:rsid w:val="00035FC7"/>
    <w:rsid w:val="00040114"/>
    <w:rsid w:val="00043647"/>
    <w:rsid w:val="0004364B"/>
    <w:rsid w:val="00044E76"/>
    <w:rsid w:val="00045FC6"/>
    <w:rsid w:val="000468F8"/>
    <w:rsid w:val="00046A4E"/>
    <w:rsid w:val="00047466"/>
    <w:rsid w:val="00051CA3"/>
    <w:rsid w:val="0005398E"/>
    <w:rsid w:val="00054E0A"/>
    <w:rsid w:val="00056818"/>
    <w:rsid w:val="000571E1"/>
    <w:rsid w:val="00060FDC"/>
    <w:rsid w:val="0006186A"/>
    <w:rsid w:val="00061B1F"/>
    <w:rsid w:val="00067095"/>
    <w:rsid w:val="00071037"/>
    <w:rsid w:val="00071E8F"/>
    <w:rsid w:val="000733C4"/>
    <w:rsid w:val="00074783"/>
    <w:rsid w:val="00074F64"/>
    <w:rsid w:val="00077376"/>
    <w:rsid w:val="0007751C"/>
    <w:rsid w:val="000776DF"/>
    <w:rsid w:val="00077987"/>
    <w:rsid w:val="0008070B"/>
    <w:rsid w:val="000810AC"/>
    <w:rsid w:val="00081A02"/>
    <w:rsid w:val="00082231"/>
    <w:rsid w:val="000831EC"/>
    <w:rsid w:val="000843A2"/>
    <w:rsid w:val="0008542C"/>
    <w:rsid w:val="00092D38"/>
    <w:rsid w:val="0009377B"/>
    <w:rsid w:val="00097E3E"/>
    <w:rsid w:val="000A20C9"/>
    <w:rsid w:val="000A2BA3"/>
    <w:rsid w:val="000A7548"/>
    <w:rsid w:val="000B058F"/>
    <w:rsid w:val="000B07E5"/>
    <w:rsid w:val="000B121A"/>
    <w:rsid w:val="000B1B3C"/>
    <w:rsid w:val="000B4467"/>
    <w:rsid w:val="000B4DB9"/>
    <w:rsid w:val="000B5284"/>
    <w:rsid w:val="000C09AC"/>
    <w:rsid w:val="000C135A"/>
    <w:rsid w:val="000C3ECA"/>
    <w:rsid w:val="000C5EA1"/>
    <w:rsid w:val="000C767F"/>
    <w:rsid w:val="000D02E5"/>
    <w:rsid w:val="000D0B92"/>
    <w:rsid w:val="000D38B0"/>
    <w:rsid w:val="000D5A44"/>
    <w:rsid w:val="000D6C3F"/>
    <w:rsid w:val="000D7409"/>
    <w:rsid w:val="000D75AB"/>
    <w:rsid w:val="000E3ED2"/>
    <w:rsid w:val="000E6428"/>
    <w:rsid w:val="000E69C0"/>
    <w:rsid w:val="000F10F7"/>
    <w:rsid w:val="000F1B92"/>
    <w:rsid w:val="000F47C1"/>
    <w:rsid w:val="000F7425"/>
    <w:rsid w:val="000F7B20"/>
    <w:rsid w:val="001001BA"/>
    <w:rsid w:val="00104633"/>
    <w:rsid w:val="00105C60"/>
    <w:rsid w:val="0010724D"/>
    <w:rsid w:val="001123F1"/>
    <w:rsid w:val="0011732E"/>
    <w:rsid w:val="00120BA2"/>
    <w:rsid w:val="0012260A"/>
    <w:rsid w:val="00124271"/>
    <w:rsid w:val="0012440C"/>
    <w:rsid w:val="001277F0"/>
    <w:rsid w:val="00131F32"/>
    <w:rsid w:val="00131F42"/>
    <w:rsid w:val="001329A9"/>
    <w:rsid w:val="00134C54"/>
    <w:rsid w:val="001357F1"/>
    <w:rsid w:val="00135EAF"/>
    <w:rsid w:val="001364A9"/>
    <w:rsid w:val="00140FA8"/>
    <w:rsid w:val="00142FEB"/>
    <w:rsid w:val="00143A2D"/>
    <w:rsid w:val="00145A41"/>
    <w:rsid w:val="001478D5"/>
    <w:rsid w:val="00151675"/>
    <w:rsid w:val="00152198"/>
    <w:rsid w:val="00153268"/>
    <w:rsid w:val="00153788"/>
    <w:rsid w:val="0015417A"/>
    <w:rsid w:val="00155419"/>
    <w:rsid w:val="00157435"/>
    <w:rsid w:val="001578BA"/>
    <w:rsid w:val="00161088"/>
    <w:rsid w:val="001622B6"/>
    <w:rsid w:val="00173B23"/>
    <w:rsid w:val="0017504D"/>
    <w:rsid w:val="00175D05"/>
    <w:rsid w:val="0017650F"/>
    <w:rsid w:val="0017671A"/>
    <w:rsid w:val="00177422"/>
    <w:rsid w:val="00177878"/>
    <w:rsid w:val="0018139C"/>
    <w:rsid w:val="001814BA"/>
    <w:rsid w:val="00181814"/>
    <w:rsid w:val="00181992"/>
    <w:rsid w:val="0018337F"/>
    <w:rsid w:val="00184590"/>
    <w:rsid w:val="00184694"/>
    <w:rsid w:val="00184B78"/>
    <w:rsid w:val="00184DAC"/>
    <w:rsid w:val="001850EE"/>
    <w:rsid w:val="001855B6"/>
    <w:rsid w:val="001870D1"/>
    <w:rsid w:val="0018781E"/>
    <w:rsid w:val="0019015C"/>
    <w:rsid w:val="0019262D"/>
    <w:rsid w:val="00193728"/>
    <w:rsid w:val="00195620"/>
    <w:rsid w:val="001961FA"/>
    <w:rsid w:val="001977F2"/>
    <w:rsid w:val="001A1B35"/>
    <w:rsid w:val="001A30CE"/>
    <w:rsid w:val="001A48A2"/>
    <w:rsid w:val="001A6906"/>
    <w:rsid w:val="001A6F61"/>
    <w:rsid w:val="001A769D"/>
    <w:rsid w:val="001B72B8"/>
    <w:rsid w:val="001C0A16"/>
    <w:rsid w:val="001C62C5"/>
    <w:rsid w:val="001C69B3"/>
    <w:rsid w:val="001C6D59"/>
    <w:rsid w:val="001C7DC4"/>
    <w:rsid w:val="001D5595"/>
    <w:rsid w:val="001D6E93"/>
    <w:rsid w:val="001D7874"/>
    <w:rsid w:val="001D7F22"/>
    <w:rsid w:val="001E4699"/>
    <w:rsid w:val="001E6E2A"/>
    <w:rsid w:val="001F00D3"/>
    <w:rsid w:val="001F0F17"/>
    <w:rsid w:val="001F24E3"/>
    <w:rsid w:val="001F2AB0"/>
    <w:rsid w:val="001F3347"/>
    <w:rsid w:val="001F43CD"/>
    <w:rsid w:val="001F6146"/>
    <w:rsid w:val="001F69E4"/>
    <w:rsid w:val="001F765A"/>
    <w:rsid w:val="002002C6"/>
    <w:rsid w:val="00201567"/>
    <w:rsid w:val="00201943"/>
    <w:rsid w:val="0020387A"/>
    <w:rsid w:val="00206D2C"/>
    <w:rsid w:val="00210076"/>
    <w:rsid w:val="00212312"/>
    <w:rsid w:val="002125B4"/>
    <w:rsid w:val="002155B8"/>
    <w:rsid w:val="00217829"/>
    <w:rsid w:val="0022021E"/>
    <w:rsid w:val="00220AA6"/>
    <w:rsid w:val="00224839"/>
    <w:rsid w:val="002249B2"/>
    <w:rsid w:val="0022562D"/>
    <w:rsid w:val="002259A0"/>
    <w:rsid w:val="00225A36"/>
    <w:rsid w:val="00226574"/>
    <w:rsid w:val="002278EC"/>
    <w:rsid w:val="0023280E"/>
    <w:rsid w:val="002336DD"/>
    <w:rsid w:val="00233A88"/>
    <w:rsid w:val="00234E06"/>
    <w:rsid w:val="0023644C"/>
    <w:rsid w:val="00236EE4"/>
    <w:rsid w:val="002377D1"/>
    <w:rsid w:val="00242D65"/>
    <w:rsid w:val="00243F87"/>
    <w:rsid w:val="0024773A"/>
    <w:rsid w:val="002506BC"/>
    <w:rsid w:val="002506E3"/>
    <w:rsid w:val="00251137"/>
    <w:rsid w:val="00254345"/>
    <w:rsid w:val="00256E10"/>
    <w:rsid w:val="00261284"/>
    <w:rsid w:val="00262404"/>
    <w:rsid w:val="002633DF"/>
    <w:rsid w:val="002633F8"/>
    <w:rsid w:val="00264557"/>
    <w:rsid w:val="00264698"/>
    <w:rsid w:val="002658B0"/>
    <w:rsid w:val="00266E9B"/>
    <w:rsid w:val="002701B2"/>
    <w:rsid w:val="00271501"/>
    <w:rsid w:val="00271B4A"/>
    <w:rsid w:val="0027311B"/>
    <w:rsid w:val="00273A0E"/>
    <w:rsid w:val="002805AB"/>
    <w:rsid w:val="00282A66"/>
    <w:rsid w:val="00282FB2"/>
    <w:rsid w:val="00283BD3"/>
    <w:rsid w:val="00284204"/>
    <w:rsid w:val="00285BD0"/>
    <w:rsid w:val="002875F8"/>
    <w:rsid w:val="00287846"/>
    <w:rsid w:val="00291773"/>
    <w:rsid w:val="00293A4A"/>
    <w:rsid w:val="00294040"/>
    <w:rsid w:val="00294D6C"/>
    <w:rsid w:val="002A168C"/>
    <w:rsid w:val="002A2179"/>
    <w:rsid w:val="002A3DC7"/>
    <w:rsid w:val="002A4667"/>
    <w:rsid w:val="002A4F1F"/>
    <w:rsid w:val="002A72A5"/>
    <w:rsid w:val="002B2EFC"/>
    <w:rsid w:val="002B448D"/>
    <w:rsid w:val="002B49E2"/>
    <w:rsid w:val="002B6215"/>
    <w:rsid w:val="002B78FA"/>
    <w:rsid w:val="002B7B00"/>
    <w:rsid w:val="002B7C44"/>
    <w:rsid w:val="002C04E9"/>
    <w:rsid w:val="002C0F51"/>
    <w:rsid w:val="002C2B17"/>
    <w:rsid w:val="002C427A"/>
    <w:rsid w:val="002C67A5"/>
    <w:rsid w:val="002C7BBC"/>
    <w:rsid w:val="002D144A"/>
    <w:rsid w:val="002D3356"/>
    <w:rsid w:val="002D3B2C"/>
    <w:rsid w:val="002D3DD0"/>
    <w:rsid w:val="002D50D2"/>
    <w:rsid w:val="002E173F"/>
    <w:rsid w:val="002E1F3A"/>
    <w:rsid w:val="002E298A"/>
    <w:rsid w:val="002E38EA"/>
    <w:rsid w:val="002E4494"/>
    <w:rsid w:val="002E72A1"/>
    <w:rsid w:val="002E7468"/>
    <w:rsid w:val="002E79FD"/>
    <w:rsid w:val="002F1FDB"/>
    <w:rsid w:val="002F313A"/>
    <w:rsid w:val="00300F48"/>
    <w:rsid w:val="00301978"/>
    <w:rsid w:val="0030332C"/>
    <w:rsid w:val="003051C2"/>
    <w:rsid w:val="0031127E"/>
    <w:rsid w:val="00312296"/>
    <w:rsid w:val="00312C99"/>
    <w:rsid w:val="00312D3C"/>
    <w:rsid w:val="003139ED"/>
    <w:rsid w:val="003148AA"/>
    <w:rsid w:val="00314D2D"/>
    <w:rsid w:val="00314F0E"/>
    <w:rsid w:val="003154D0"/>
    <w:rsid w:val="0031607A"/>
    <w:rsid w:val="00320FF6"/>
    <w:rsid w:val="00321D8E"/>
    <w:rsid w:val="00324488"/>
    <w:rsid w:val="00325928"/>
    <w:rsid w:val="00327BE6"/>
    <w:rsid w:val="00331728"/>
    <w:rsid w:val="00332863"/>
    <w:rsid w:val="00333CF2"/>
    <w:rsid w:val="003344F1"/>
    <w:rsid w:val="00335523"/>
    <w:rsid w:val="0033684D"/>
    <w:rsid w:val="00337B42"/>
    <w:rsid w:val="00341B42"/>
    <w:rsid w:val="0034348F"/>
    <w:rsid w:val="00343A4B"/>
    <w:rsid w:val="00343D5A"/>
    <w:rsid w:val="003449C2"/>
    <w:rsid w:val="0035537F"/>
    <w:rsid w:val="00356653"/>
    <w:rsid w:val="0035690E"/>
    <w:rsid w:val="0035743F"/>
    <w:rsid w:val="0035787E"/>
    <w:rsid w:val="00357BE2"/>
    <w:rsid w:val="0036170C"/>
    <w:rsid w:val="00366229"/>
    <w:rsid w:val="0036654B"/>
    <w:rsid w:val="00366E0F"/>
    <w:rsid w:val="003678AD"/>
    <w:rsid w:val="00367BE5"/>
    <w:rsid w:val="00367E04"/>
    <w:rsid w:val="0037405C"/>
    <w:rsid w:val="00374324"/>
    <w:rsid w:val="00381014"/>
    <w:rsid w:val="00381A72"/>
    <w:rsid w:val="003824D7"/>
    <w:rsid w:val="00384676"/>
    <w:rsid w:val="00385483"/>
    <w:rsid w:val="00386345"/>
    <w:rsid w:val="00386B75"/>
    <w:rsid w:val="0039042E"/>
    <w:rsid w:val="00390857"/>
    <w:rsid w:val="003916DB"/>
    <w:rsid w:val="00391A77"/>
    <w:rsid w:val="00397077"/>
    <w:rsid w:val="003A0305"/>
    <w:rsid w:val="003A3994"/>
    <w:rsid w:val="003A4BF3"/>
    <w:rsid w:val="003A4C18"/>
    <w:rsid w:val="003A5807"/>
    <w:rsid w:val="003B420D"/>
    <w:rsid w:val="003B5E70"/>
    <w:rsid w:val="003B624A"/>
    <w:rsid w:val="003B76EC"/>
    <w:rsid w:val="003C0C21"/>
    <w:rsid w:val="003C372C"/>
    <w:rsid w:val="003C3E93"/>
    <w:rsid w:val="003C5B6B"/>
    <w:rsid w:val="003C6C16"/>
    <w:rsid w:val="003D359D"/>
    <w:rsid w:val="003D4FF8"/>
    <w:rsid w:val="003D794D"/>
    <w:rsid w:val="003E1954"/>
    <w:rsid w:val="003E2438"/>
    <w:rsid w:val="003E2F03"/>
    <w:rsid w:val="003E3058"/>
    <w:rsid w:val="003E3C88"/>
    <w:rsid w:val="003E5FC4"/>
    <w:rsid w:val="003E650C"/>
    <w:rsid w:val="003E76A9"/>
    <w:rsid w:val="003F0809"/>
    <w:rsid w:val="003F2DFB"/>
    <w:rsid w:val="003F3326"/>
    <w:rsid w:val="003F50BE"/>
    <w:rsid w:val="003F5DE8"/>
    <w:rsid w:val="003F6A8C"/>
    <w:rsid w:val="003F755C"/>
    <w:rsid w:val="00400A5F"/>
    <w:rsid w:val="00400AEC"/>
    <w:rsid w:val="00401D41"/>
    <w:rsid w:val="00406F01"/>
    <w:rsid w:val="00416C4B"/>
    <w:rsid w:val="00416D50"/>
    <w:rsid w:val="00416FD5"/>
    <w:rsid w:val="00417772"/>
    <w:rsid w:val="00417F7D"/>
    <w:rsid w:val="00420415"/>
    <w:rsid w:val="00420E6A"/>
    <w:rsid w:val="00421906"/>
    <w:rsid w:val="00422573"/>
    <w:rsid w:val="00425A9E"/>
    <w:rsid w:val="00426D6B"/>
    <w:rsid w:val="0043000B"/>
    <w:rsid w:val="00431E6C"/>
    <w:rsid w:val="00433CE7"/>
    <w:rsid w:val="0043675E"/>
    <w:rsid w:val="004429D5"/>
    <w:rsid w:val="0045230D"/>
    <w:rsid w:val="00452738"/>
    <w:rsid w:val="00453DBD"/>
    <w:rsid w:val="00456091"/>
    <w:rsid w:val="00456EF8"/>
    <w:rsid w:val="004641AE"/>
    <w:rsid w:val="00464544"/>
    <w:rsid w:val="004654C0"/>
    <w:rsid w:val="004656C7"/>
    <w:rsid w:val="00466321"/>
    <w:rsid w:val="00466CA7"/>
    <w:rsid w:val="0047091A"/>
    <w:rsid w:val="004710E9"/>
    <w:rsid w:val="004764DC"/>
    <w:rsid w:val="00484498"/>
    <w:rsid w:val="00484AF9"/>
    <w:rsid w:val="00484B9B"/>
    <w:rsid w:val="004855F6"/>
    <w:rsid w:val="0048661E"/>
    <w:rsid w:val="00491588"/>
    <w:rsid w:val="00494670"/>
    <w:rsid w:val="004A080B"/>
    <w:rsid w:val="004A3823"/>
    <w:rsid w:val="004A5860"/>
    <w:rsid w:val="004A683D"/>
    <w:rsid w:val="004A696A"/>
    <w:rsid w:val="004B4EF7"/>
    <w:rsid w:val="004B78A5"/>
    <w:rsid w:val="004C0647"/>
    <w:rsid w:val="004C2ACF"/>
    <w:rsid w:val="004C3CE4"/>
    <w:rsid w:val="004C5878"/>
    <w:rsid w:val="004D0369"/>
    <w:rsid w:val="004D0F46"/>
    <w:rsid w:val="004D15EF"/>
    <w:rsid w:val="004D27EA"/>
    <w:rsid w:val="004D37F3"/>
    <w:rsid w:val="004E044E"/>
    <w:rsid w:val="004E1CEC"/>
    <w:rsid w:val="004E23CE"/>
    <w:rsid w:val="004E6946"/>
    <w:rsid w:val="004E7D03"/>
    <w:rsid w:val="004F1AD8"/>
    <w:rsid w:val="004F20C3"/>
    <w:rsid w:val="004F2916"/>
    <w:rsid w:val="004F3A75"/>
    <w:rsid w:val="004F71F3"/>
    <w:rsid w:val="004F73C4"/>
    <w:rsid w:val="005039CB"/>
    <w:rsid w:val="0050558F"/>
    <w:rsid w:val="00506286"/>
    <w:rsid w:val="00507BBC"/>
    <w:rsid w:val="00510813"/>
    <w:rsid w:val="00510EF8"/>
    <w:rsid w:val="00511359"/>
    <w:rsid w:val="00511990"/>
    <w:rsid w:val="00511BA0"/>
    <w:rsid w:val="00511DE0"/>
    <w:rsid w:val="0051209D"/>
    <w:rsid w:val="0051255C"/>
    <w:rsid w:val="00514186"/>
    <w:rsid w:val="00514870"/>
    <w:rsid w:val="00514B9B"/>
    <w:rsid w:val="00517F02"/>
    <w:rsid w:val="00523126"/>
    <w:rsid w:val="00524166"/>
    <w:rsid w:val="00524303"/>
    <w:rsid w:val="005258A2"/>
    <w:rsid w:val="00525C7D"/>
    <w:rsid w:val="00530BAD"/>
    <w:rsid w:val="00532D25"/>
    <w:rsid w:val="005401AE"/>
    <w:rsid w:val="00540C41"/>
    <w:rsid w:val="00542E07"/>
    <w:rsid w:val="00545424"/>
    <w:rsid w:val="00547C02"/>
    <w:rsid w:val="00553EF4"/>
    <w:rsid w:val="00554A7B"/>
    <w:rsid w:val="0055572C"/>
    <w:rsid w:val="0056031A"/>
    <w:rsid w:val="0056106A"/>
    <w:rsid w:val="00563B50"/>
    <w:rsid w:val="00564AEA"/>
    <w:rsid w:val="005669A7"/>
    <w:rsid w:val="0057168F"/>
    <w:rsid w:val="005720AE"/>
    <w:rsid w:val="005720CF"/>
    <w:rsid w:val="0057215B"/>
    <w:rsid w:val="00572245"/>
    <w:rsid w:val="0057427F"/>
    <w:rsid w:val="00581E3E"/>
    <w:rsid w:val="00584424"/>
    <w:rsid w:val="00586868"/>
    <w:rsid w:val="00586DBD"/>
    <w:rsid w:val="00594D77"/>
    <w:rsid w:val="00594F5D"/>
    <w:rsid w:val="005963D2"/>
    <w:rsid w:val="005969E4"/>
    <w:rsid w:val="005A05D4"/>
    <w:rsid w:val="005A06B7"/>
    <w:rsid w:val="005A1759"/>
    <w:rsid w:val="005A35EF"/>
    <w:rsid w:val="005A55D0"/>
    <w:rsid w:val="005A68A7"/>
    <w:rsid w:val="005A70D0"/>
    <w:rsid w:val="005B480D"/>
    <w:rsid w:val="005B4A23"/>
    <w:rsid w:val="005B59C1"/>
    <w:rsid w:val="005C2E23"/>
    <w:rsid w:val="005C3DC1"/>
    <w:rsid w:val="005C436B"/>
    <w:rsid w:val="005C7D6F"/>
    <w:rsid w:val="005D36AB"/>
    <w:rsid w:val="005D3702"/>
    <w:rsid w:val="005D7491"/>
    <w:rsid w:val="005E17E5"/>
    <w:rsid w:val="005E230A"/>
    <w:rsid w:val="005E2DBC"/>
    <w:rsid w:val="005E2FD2"/>
    <w:rsid w:val="005E5F07"/>
    <w:rsid w:val="005E794D"/>
    <w:rsid w:val="005F0259"/>
    <w:rsid w:val="005F5760"/>
    <w:rsid w:val="005F7CD7"/>
    <w:rsid w:val="0060046E"/>
    <w:rsid w:val="00605035"/>
    <w:rsid w:val="0060572B"/>
    <w:rsid w:val="00606CDE"/>
    <w:rsid w:val="006070B9"/>
    <w:rsid w:val="00610C9C"/>
    <w:rsid w:val="00611D30"/>
    <w:rsid w:val="006127D9"/>
    <w:rsid w:val="00613C59"/>
    <w:rsid w:val="00616E16"/>
    <w:rsid w:val="00617CC3"/>
    <w:rsid w:val="006215C4"/>
    <w:rsid w:val="00621615"/>
    <w:rsid w:val="00621EBD"/>
    <w:rsid w:val="00627510"/>
    <w:rsid w:val="00627F33"/>
    <w:rsid w:val="00632C1C"/>
    <w:rsid w:val="00633104"/>
    <w:rsid w:val="00633606"/>
    <w:rsid w:val="00635BB1"/>
    <w:rsid w:val="00637773"/>
    <w:rsid w:val="006377A6"/>
    <w:rsid w:val="00637A3D"/>
    <w:rsid w:val="006411EF"/>
    <w:rsid w:val="0064231D"/>
    <w:rsid w:val="00643228"/>
    <w:rsid w:val="00643AD7"/>
    <w:rsid w:val="00643E2A"/>
    <w:rsid w:val="006442C3"/>
    <w:rsid w:val="0064498D"/>
    <w:rsid w:val="006458AE"/>
    <w:rsid w:val="00647B82"/>
    <w:rsid w:val="006505DF"/>
    <w:rsid w:val="00651488"/>
    <w:rsid w:val="006538E1"/>
    <w:rsid w:val="006557BB"/>
    <w:rsid w:val="006601F1"/>
    <w:rsid w:val="006606C1"/>
    <w:rsid w:val="006619C1"/>
    <w:rsid w:val="00662686"/>
    <w:rsid w:val="00662DA8"/>
    <w:rsid w:val="00663B7C"/>
    <w:rsid w:val="00670E84"/>
    <w:rsid w:val="006746B1"/>
    <w:rsid w:val="006748B8"/>
    <w:rsid w:val="006763E1"/>
    <w:rsid w:val="0067684E"/>
    <w:rsid w:val="006775C3"/>
    <w:rsid w:val="00680AA8"/>
    <w:rsid w:val="0068161C"/>
    <w:rsid w:val="006836DD"/>
    <w:rsid w:val="00685A45"/>
    <w:rsid w:val="00686FB3"/>
    <w:rsid w:val="0068762A"/>
    <w:rsid w:val="00687808"/>
    <w:rsid w:val="006920F8"/>
    <w:rsid w:val="0069290A"/>
    <w:rsid w:val="0069409E"/>
    <w:rsid w:val="006942CD"/>
    <w:rsid w:val="0069775A"/>
    <w:rsid w:val="00697813"/>
    <w:rsid w:val="0069784E"/>
    <w:rsid w:val="006A3EE8"/>
    <w:rsid w:val="006A6093"/>
    <w:rsid w:val="006A64AA"/>
    <w:rsid w:val="006A72BF"/>
    <w:rsid w:val="006A74B2"/>
    <w:rsid w:val="006B03F2"/>
    <w:rsid w:val="006B25B1"/>
    <w:rsid w:val="006B2E39"/>
    <w:rsid w:val="006B37DC"/>
    <w:rsid w:val="006B43E2"/>
    <w:rsid w:val="006B4F68"/>
    <w:rsid w:val="006B79D4"/>
    <w:rsid w:val="006B7A6C"/>
    <w:rsid w:val="006C0592"/>
    <w:rsid w:val="006C1378"/>
    <w:rsid w:val="006C272E"/>
    <w:rsid w:val="006C5479"/>
    <w:rsid w:val="006C7272"/>
    <w:rsid w:val="006D13B5"/>
    <w:rsid w:val="006E00C7"/>
    <w:rsid w:val="006E10E6"/>
    <w:rsid w:val="006E12FF"/>
    <w:rsid w:val="006E1B3B"/>
    <w:rsid w:val="006E3B47"/>
    <w:rsid w:val="006E607E"/>
    <w:rsid w:val="006F037F"/>
    <w:rsid w:val="006F04A4"/>
    <w:rsid w:val="006F1EFA"/>
    <w:rsid w:val="006F23FC"/>
    <w:rsid w:val="006F2DB0"/>
    <w:rsid w:val="006F7075"/>
    <w:rsid w:val="00700DCE"/>
    <w:rsid w:val="00704EE4"/>
    <w:rsid w:val="007050E3"/>
    <w:rsid w:val="0070662F"/>
    <w:rsid w:val="00706C5D"/>
    <w:rsid w:val="00707A5B"/>
    <w:rsid w:val="00712F5C"/>
    <w:rsid w:val="0071390B"/>
    <w:rsid w:val="00726A16"/>
    <w:rsid w:val="00732922"/>
    <w:rsid w:val="0074105C"/>
    <w:rsid w:val="007458E3"/>
    <w:rsid w:val="00747BB8"/>
    <w:rsid w:val="00750506"/>
    <w:rsid w:val="0075162E"/>
    <w:rsid w:val="00754034"/>
    <w:rsid w:val="007552E5"/>
    <w:rsid w:val="00756556"/>
    <w:rsid w:val="007618C4"/>
    <w:rsid w:val="00764C55"/>
    <w:rsid w:val="00767980"/>
    <w:rsid w:val="00770B19"/>
    <w:rsid w:val="00773E1C"/>
    <w:rsid w:val="0077463F"/>
    <w:rsid w:val="007754A9"/>
    <w:rsid w:val="007809F8"/>
    <w:rsid w:val="00782DC5"/>
    <w:rsid w:val="00783429"/>
    <w:rsid w:val="007836EA"/>
    <w:rsid w:val="00783F6C"/>
    <w:rsid w:val="00784CDA"/>
    <w:rsid w:val="007906C4"/>
    <w:rsid w:val="00791A43"/>
    <w:rsid w:val="00792A1F"/>
    <w:rsid w:val="007940DC"/>
    <w:rsid w:val="007940EA"/>
    <w:rsid w:val="007964D3"/>
    <w:rsid w:val="007967E8"/>
    <w:rsid w:val="00797C6E"/>
    <w:rsid w:val="007A0713"/>
    <w:rsid w:val="007A2170"/>
    <w:rsid w:val="007A22BF"/>
    <w:rsid w:val="007A2B9B"/>
    <w:rsid w:val="007A2EA1"/>
    <w:rsid w:val="007A3323"/>
    <w:rsid w:val="007A3A35"/>
    <w:rsid w:val="007A51CC"/>
    <w:rsid w:val="007A5E6F"/>
    <w:rsid w:val="007A6868"/>
    <w:rsid w:val="007A6B09"/>
    <w:rsid w:val="007B434F"/>
    <w:rsid w:val="007B4E52"/>
    <w:rsid w:val="007B61A7"/>
    <w:rsid w:val="007B72B8"/>
    <w:rsid w:val="007B7A58"/>
    <w:rsid w:val="007C21B5"/>
    <w:rsid w:val="007C604F"/>
    <w:rsid w:val="007C716D"/>
    <w:rsid w:val="007D26DB"/>
    <w:rsid w:val="007D70C1"/>
    <w:rsid w:val="007D7AD8"/>
    <w:rsid w:val="007E2032"/>
    <w:rsid w:val="007E2097"/>
    <w:rsid w:val="007E2608"/>
    <w:rsid w:val="007E4BD2"/>
    <w:rsid w:val="007E4D05"/>
    <w:rsid w:val="007E55B0"/>
    <w:rsid w:val="007E6CDF"/>
    <w:rsid w:val="007F0B00"/>
    <w:rsid w:val="007F1226"/>
    <w:rsid w:val="007F37B2"/>
    <w:rsid w:val="007F621F"/>
    <w:rsid w:val="007F7988"/>
    <w:rsid w:val="0080016B"/>
    <w:rsid w:val="00801393"/>
    <w:rsid w:val="00802F88"/>
    <w:rsid w:val="008068C3"/>
    <w:rsid w:val="0080691C"/>
    <w:rsid w:val="00807310"/>
    <w:rsid w:val="00807AE8"/>
    <w:rsid w:val="0081293E"/>
    <w:rsid w:val="0081367F"/>
    <w:rsid w:val="00815465"/>
    <w:rsid w:val="0081737C"/>
    <w:rsid w:val="00817E9A"/>
    <w:rsid w:val="00821757"/>
    <w:rsid w:val="00823F0A"/>
    <w:rsid w:val="00824965"/>
    <w:rsid w:val="00824F3E"/>
    <w:rsid w:val="00826FE3"/>
    <w:rsid w:val="008300D8"/>
    <w:rsid w:val="008306BD"/>
    <w:rsid w:val="00831A80"/>
    <w:rsid w:val="008334E9"/>
    <w:rsid w:val="00833743"/>
    <w:rsid w:val="008340A4"/>
    <w:rsid w:val="00834FD8"/>
    <w:rsid w:val="008379C0"/>
    <w:rsid w:val="00840F15"/>
    <w:rsid w:val="0084288B"/>
    <w:rsid w:val="008463AB"/>
    <w:rsid w:val="00846A87"/>
    <w:rsid w:val="00854241"/>
    <w:rsid w:val="00856B3E"/>
    <w:rsid w:val="00860A4E"/>
    <w:rsid w:val="00862BD6"/>
    <w:rsid w:val="00867017"/>
    <w:rsid w:val="00867DD1"/>
    <w:rsid w:val="00870614"/>
    <w:rsid w:val="0087135F"/>
    <w:rsid w:val="00872D94"/>
    <w:rsid w:val="00873165"/>
    <w:rsid w:val="00874419"/>
    <w:rsid w:val="00876FBE"/>
    <w:rsid w:val="00880364"/>
    <w:rsid w:val="00891592"/>
    <w:rsid w:val="00891E9E"/>
    <w:rsid w:val="00892609"/>
    <w:rsid w:val="00897A8A"/>
    <w:rsid w:val="008A2F68"/>
    <w:rsid w:val="008A3132"/>
    <w:rsid w:val="008B0A99"/>
    <w:rsid w:val="008B24AD"/>
    <w:rsid w:val="008B2B88"/>
    <w:rsid w:val="008B3EBC"/>
    <w:rsid w:val="008B4FA6"/>
    <w:rsid w:val="008B5282"/>
    <w:rsid w:val="008B7C17"/>
    <w:rsid w:val="008C1A23"/>
    <w:rsid w:val="008C1DD6"/>
    <w:rsid w:val="008C2D01"/>
    <w:rsid w:val="008C40C7"/>
    <w:rsid w:val="008C40E6"/>
    <w:rsid w:val="008C4887"/>
    <w:rsid w:val="008D0F7A"/>
    <w:rsid w:val="008D1652"/>
    <w:rsid w:val="008D4DB2"/>
    <w:rsid w:val="008D5F4C"/>
    <w:rsid w:val="008D68E4"/>
    <w:rsid w:val="008E0506"/>
    <w:rsid w:val="008E0CFF"/>
    <w:rsid w:val="008E3923"/>
    <w:rsid w:val="008E3B48"/>
    <w:rsid w:val="008E3C43"/>
    <w:rsid w:val="008E3EB1"/>
    <w:rsid w:val="008E5D6B"/>
    <w:rsid w:val="008E76F0"/>
    <w:rsid w:val="008E7CC7"/>
    <w:rsid w:val="008F04AB"/>
    <w:rsid w:val="008F15FE"/>
    <w:rsid w:val="008F2D29"/>
    <w:rsid w:val="008F3EC3"/>
    <w:rsid w:val="008F5187"/>
    <w:rsid w:val="008F5331"/>
    <w:rsid w:val="008F60D8"/>
    <w:rsid w:val="00902727"/>
    <w:rsid w:val="0090312B"/>
    <w:rsid w:val="00904995"/>
    <w:rsid w:val="00907450"/>
    <w:rsid w:val="00910BCB"/>
    <w:rsid w:val="00910C2D"/>
    <w:rsid w:val="009156F7"/>
    <w:rsid w:val="00916BDA"/>
    <w:rsid w:val="0091736D"/>
    <w:rsid w:val="00924183"/>
    <w:rsid w:val="0092605A"/>
    <w:rsid w:val="0093037A"/>
    <w:rsid w:val="009314A7"/>
    <w:rsid w:val="00937FF4"/>
    <w:rsid w:val="0094154D"/>
    <w:rsid w:val="00941DBA"/>
    <w:rsid w:val="00941DFA"/>
    <w:rsid w:val="009448CB"/>
    <w:rsid w:val="00946313"/>
    <w:rsid w:val="0095155F"/>
    <w:rsid w:val="00951C9D"/>
    <w:rsid w:val="00954429"/>
    <w:rsid w:val="00955A73"/>
    <w:rsid w:val="009563CE"/>
    <w:rsid w:val="00957A91"/>
    <w:rsid w:val="00964CD0"/>
    <w:rsid w:val="009652DE"/>
    <w:rsid w:val="00970C39"/>
    <w:rsid w:val="00973079"/>
    <w:rsid w:val="0097322E"/>
    <w:rsid w:val="00975506"/>
    <w:rsid w:val="009757F9"/>
    <w:rsid w:val="00976328"/>
    <w:rsid w:val="0097680D"/>
    <w:rsid w:val="00976865"/>
    <w:rsid w:val="00980B4C"/>
    <w:rsid w:val="00982438"/>
    <w:rsid w:val="0098404C"/>
    <w:rsid w:val="0098437E"/>
    <w:rsid w:val="00985283"/>
    <w:rsid w:val="00986B65"/>
    <w:rsid w:val="00992618"/>
    <w:rsid w:val="00995992"/>
    <w:rsid w:val="00996EA3"/>
    <w:rsid w:val="00997D30"/>
    <w:rsid w:val="009A03E5"/>
    <w:rsid w:val="009A0F3B"/>
    <w:rsid w:val="009A1BB4"/>
    <w:rsid w:val="009A2628"/>
    <w:rsid w:val="009A2630"/>
    <w:rsid w:val="009A3200"/>
    <w:rsid w:val="009A6252"/>
    <w:rsid w:val="009A7503"/>
    <w:rsid w:val="009A7E5F"/>
    <w:rsid w:val="009B0885"/>
    <w:rsid w:val="009B0897"/>
    <w:rsid w:val="009B19AC"/>
    <w:rsid w:val="009B2C13"/>
    <w:rsid w:val="009B3920"/>
    <w:rsid w:val="009B5EA9"/>
    <w:rsid w:val="009B798C"/>
    <w:rsid w:val="009B7BD9"/>
    <w:rsid w:val="009C6F8A"/>
    <w:rsid w:val="009C7DD5"/>
    <w:rsid w:val="009D3AC1"/>
    <w:rsid w:val="009D4FB0"/>
    <w:rsid w:val="009E0D63"/>
    <w:rsid w:val="009E227D"/>
    <w:rsid w:val="009E477E"/>
    <w:rsid w:val="009E5019"/>
    <w:rsid w:val="009E79A0"/>
    <w:rsid w:val="009F0705"/>
    <w:rsid w:val="009F1485"/>
    <w:rsid w:val="009F5E9D"/>
    <w:rsid w:val="009F74C7"/>
    <w:rsid w:val="009F759D"/>
    <w:rsid w:val="00A04F1B"/>
    <w:rsid w:val="00A0501B"/>
    <w:rsid w:val="00A058D3"/>
    <w:rsid w:val="00A05C73"/>
    <w:rsid w:val="00A0771B"/>
    <w:rsid w:val="00A10A70"/>
    <w:rsid w:val="00A11C45"/>
    <w:rsid w:val="00A14947"/>
    <w:rsid w:val="00A15E8B"/>
    <w:rsid w:val="00A167C8"/>
    <w:rsid w:val="00A25BCC"/>
    <w:rsid w:val="00A26EE6"/>
    <w:rsid w:val="00A32A83"/>
    <w:rsid w:val="00A34AD9"/>
    <w:rsid w:val="00A35BF2"/>
    <w:rsid w:val="00A3666C"/>
    <w:rsid w:val="00A368DB"/>
    <w:rsid w:val="00A369A4"/>
    <w:rsid w:val="00A41254"/>
    <w:rsid w:val="00A423AA"/>
    <w:rsid w:val="00A4368E"/>
    <w:rsid w:val="00A44EE6"/>
    <w:rsid w:val="00A47014"/>
    <w:rsid w:val="00A532BA"/>
    <w:rsid w:val="00A53DC2"/>
    <w:rsid w:val="00A53EC6"/>
    <w:rsid w:val="00A54CF4"/>
    <w:rsid w:val="00A55C0F"/>
    <w:rsid w:val="00A56821"/>
    <w:rsid w:val="00A57163"/>
    <w:rsid w:val="00A64722"/>
    <w:rsid w:val="00A650DF"/>
    <w:rsid w:val="00A6552F"/>
    <w:rsid w:val="00A671FC"/>
    <w:rsid w:val="00A70F79"/>
    <w:rsid w:val="00A762AD"/>
    <w:rsid w:val="00A81EC1"/>
    <w:rsid w:val="00A82A47"/>
    <w:rsid w:val="00A82D13"/>
    <w:rsid w:val="00A840C5"/>
    <w:rsid w:val="00A8556A"/>
    <w:rsid w:val="00A8713F"/>
    <w:rsid w:val="00A90BA1"/>
    <w:rsid w:val="00A91596"/>
    <w:rsid w:val="00A92B65"/>
    <w:rsid w:val="00A97A9A"/>
    <w:rsid w:val="00A97AF0"/>
    <w:rsid w:val="00AA0671"/>
    <w:rsid w:val="00AA0856"/>
    <w:rsid w:val="00AA2531"/>
    <w:rsid w:val="00AA6BED"/>
    <w:rsid w:val="00AB0056"/>
    <w:rsid w:val="00AB0BA9"/>
    <w:rsid w:val="00AB1E09"/>
    <w:rsid w:val="00AB5330"/>
    <w:rsid w:val="00AB622C"/>
    <w:rsid w:val="00AB7398"/>
    <w:rsid w:val="00AB7747"/>
    <w:rsid w:val="00AC14CE"/>
    <w:rsid w:val="00AC2A56"/>
    <w:rsid w:val="00AD01A1"/>
    <w:rsid w:val="00AD055E"/>
    <w:rsid w:val="00AD14E8"/>
    <w:rsid w:val="00AD2681"/>
    <w:rsid w:val="00AD2CDD"/>
    <w:rsid w:val="00AD333E"/>
    <w:rsid w:val="00AD47A7"/>
    <w:rsid w:val="00AD4E66"/>
    <w:rsid w:val="00AE3274"/>
    <w:rsid w:val="00AE34C7"/>
    <w:rsid w:val="00AE4828"/>
    <w:rsid w:val="00AE74BD"/>
    <w:rsid w:val="00AF076F"/>
    <w:rsid w:val="00AF0AD0"/>
    <w:rsid w:val="00AF0CBF"/>
    <w:rsid w:val="00AF1A85"/>
    <w:rsid w:val="00AF257F"/>
    <w:rsid w:val="00AF33CF"/>
    <w:rsid w:val="00AF38F1"/>
    <w:rsid w:val="00AF49AA"/>
    <w:rsid w:val="00AF4D50"/>
    <w:rsid w:val="00AF6179"/>
    <w:rsid w:val="00AF720C"/>
    <w:rsid w:val="00B044D9"/>
    <w:rsid w:val="00B055C5"/>
    <w:rsid w:val="00B061C8"/>
    <w:rsid w:val="00B0745C"/>
    <w:rsid w:val="00B11667"/>
    <w:rsid w:val="00B1295A"/>
    <w:rsid w:val="00B12B60"/>
    <w:rsid w:val="00B13F97"/>
    <w:rsid w:val="00B15C37"/>
    <w:rsid w:val="00B1636E"/>
    <w:rsid w:val="00B20A45"/>
    <w:rsid w:val="00B20FA6"/>
    <w:rsid w:val="00B22C5C"/>
    <w:rsid w:val="00B23809"/>
    <w:rsid w:val="00B24F30"/>
    <w:rsid w:val="00B27041"/>
    <w:rsid w:val="00B279FC"/>
    <w:rsid w:val="00B300CC"/>
    <w:rsid w:val="00B3096A"/>
    <w:rsid w:val="00B31ABF"/>
    <w:rsid w:val="00B33BE3"/>
    <w:rsid w:val="00B33CDB"/>
    <w:rsid w:val="00B35E55"/>
    <w:rsid w:val="00B37814"/>
    <w:rsid w:val="00B50B67"/>
    <w:rsid w:val="00B50BF2"/>
    <w:rsid w:val="00B53268"/>
    <w:rsid w:val="00B53B5D"/>
    <w:rsid w:val="00B55DCF"/>
    <w:rsid w:val="00B56553"/>
    <w:rsid w:val="00B5738F"/>
    <w:rsid w:val="00B57580"/>
    <w:rsid w:val="00B6055E"/>
    <w:rsid w:val="00B60600"/>
    <w:rsid w:val="00B619A0"/>
    <w:rsid w:val="00B6317D"/>
    <w:rsid w:val="00B65F70"/>
    <w:rsid w:val="00B75DF2"/>
    <w:rsid w:val="00B7723F"/>
    <w:rsid w:val="00B80534"/>
    <w:rsid w:val="00B807F2"/>
    <w:rsid w:val="00B80FED"/>
    <w:rsid w:val="00B8433C"/>
    <w:rsid w:val="00B87491"/>
    <w:rsid w:val="00B91ED5"/>
    <w:rsid w:val="00B92349"/>
    <w:rsid w:val="00B96064"/>
    <w:rsid w:val="00B96B20"/>
    <w:rsid w:val="00B97657"/>
    <w:rsid w:val="00BA29E9"/>
    <w:rsid w:val="00BA4CBE"/>
    <w:rsid w:val="00BA5143"/>
    <w:rsid w:val="00BA54B8"/>
    <w:rsid w:val="00BA7142"/>
    <w:rsid w:val="00BB0E91"/>
    <w:rsid w:val="00BB237C"/>
    <w:rsid w:val="00BB2753"/>
    <w:rsid w:val="00BB2F8D"/>
    <w:rsid w:val="00BB41A3"/>
    <w:rsid w:val="00BB692F"/>
    <w:rsid w:val="00BB74AC"/>
    <w:rsid w:val="00BC32DC"/>
    <w:rsid w:val="00BC35AB"/>
    <w:rsid w:val="00BC35B6"/>
    <w:rsid w:val="00BC449E"/>
    <w:rsid w:val="00BD1B51"/>
    <w:rsid w:val="00BD4596"/>
    <w:rsid w:val="00BE1405"/>
    <w:rsid w:val="00BE312D"/>
    <w:rsid w:val="00BE5F74"/>
    <w:rsid w:val="00BF1C20"/>
    <w:rsid w:val="00BF29A6"/>
    <w:rsid w:val="00BF2C2F"/>
    <w:rsid w:val="00BF2E14"/>
    <w:rsid w:val="00C052E8"/>
    <w:rsid w:val="00C054BE"/>
    <w:rsid w:val="00C06154"/>
    <w:rsid w:val="00C06B44"/>
    <w:rsid w:val="00C06EFF"/>
    <w:rsid w:val="00C10578"/>
    <w:rsid w:val="00C11535"/>
    <w:rsid w:val="00C127D0"/>
    <w:rsid w:val="00C135BC"/>
    <w:rsid w:val="00C13F5A"/>
    <w:rsid w:val="00C157E3"/>
    <w:rsid w:val="00C15C95"/>
    <w:rsid w:val="00C15E62"/>
    <w:rsid w:val="00C165FD"/>
    <w:rsid w:val="00C166DC"/>
    <w:rsid w:val="00C20605"/>
    <w:rsid w:val="00C22B9F"/>
    <w:rsid w:val="00C24EBF"/>
    <w:rsid w:val="00C2596A"/>
    <w:rsid w:val="00C27537"/>
    <w:rsid w:val="00C300E1"/>
    <w:rsid w:val="00C3206C"/>
    <w:rsid w:val="00C328FE"/>
    <w:rsid w:val="00C33507"/>
    <w:rsid w:val="00C403EE"/>
    <w:rsid w:val="00C4175F"/>
    <w:rsid w:val="00C43E17"/>
    <w:rsid w:val="00C4409D"/>
    <w:rsid w:val="00C44E72"/>
    <w:rsid w:val="00C45A06"/>
    <w:rsid w:val="00C4682A"/>
    <w:rsid w:val="00C47E5B"/>
    <w:rsid w:val="00C52D43"/>
    <w:rsid w:val="00C532A8"/>
    <w:rsid w:val="00C61E4B"/>
    <w:rsid w:val="00C64BFF"/>
    <w:rsid w:val="00C67417"/>
    <w:rsid w:val="00C67D9C"/>
    <w:rsid w:val="00C67EC4"/>
    <w:rsid w:val="00C704E9"/>
    <w:rsid w:val="00C708D5"/>
    <w:rsid w:val="00C734EF"/>
    <w:rsid w:val="00C74CA4"/>
    <w:rsid w:val="00C763C9"/>
    <w:rsid w:val="00C80057"/>
    <w:rsid w:val="00C82232"/>
    <w:rsid w:val="00C82913"/>
    <w:rsid w:val="00C838E5"/>
    <w:rsid w:val="00C83CA4"/>
    <w:rsid w:val="00C849BE"/>
    <w:rsid w:val="00C8748D"/>
    <w:rsid w:val="00C93613"/>
    <w:rsid w:val="00C93BA2"/>
    <w:rsid w:val="00C93C13"/>
    <w:rsid w:val="00C93ECA"/>
    <w:rsid w:val="00C958EF"/>
    <w:rsid w:val="00C961FB"/>
    <w:rsid w:val="00C96271"/>
    <w:rsid w:val="00C972B1"/>
    <w:rsid w:val="00C97834"/>
    <w:rsid w:val="00CA0209"/>
    <w:rsid w:val="00CA065E"/>
    <w:rsid w:val="00CA1E5B"/>
    <w:rsid w:val="00CA1F86"/>
    <w:rsid w:val="00CA2B54"/>
    <w:rsid w:val="00CA2CCE"/>
    <w:rsid w:val="00CA396E"/>
    <w:rsid w:val="00CA4149"/>
    <w:rsid w:val="00CA43FD"/>
    <w:rsid w:val="00CA49E3"/>
    <w:rsid w:val="00CA6575"/>
    <w:rsid w:val="00CA7EF8"/>
    <w:rsid w:val="00CB055A"/>
    <w:rsid w:val="00CB10D7"/>
    <w:rsid w:val="00CC3CBF"/>
    <w:rsid w:val="00CC489B"/>
    <w:rsid w:val="00CC65A7"/>
    <w:rsid w:val="00CD2BCD"/>
    <w:rsid w:val="00CD3A4C"/>
    <w:rsid w:val="00CD694B"/>
    <w:rsid w:val="00CD6E25"/>
    <w:rsid w:val="00CD7892"/>
    <w:rsid w:val="00CE10E9"/>
    <w:rsid w:val="00CE1F13"/>
    <w:rsid w:val="00CE2910"/>
    <w:rsid w:val="00CE402A"/>
    <w:rsid w:val="00CE5393"/>
    <w:rsid w:val="00CE5EE7"/>
    <w:rsid w:val="00CF17A7"/>
    <w:rsid w:val="00CF2B02"/>
    <w:rsid w:val="00CF35B7"/>
    <w:rsid w:val="00CF36BE"/>
    <w:rsid w:val="00CF5825"/>
    <w:rsid w:val="00CF6000"/>
    <w:rsid w:val="00CF6F09"/>
    <w:rsid w:val="00D003F3"/>
    <w:rsid w:val="00D013F4"/>
    <w:rsid w:val="00D0364F"/>
    <w:rsid w:val="00D06207"/>
    <w:rsid w:val="00D0636A"/>
    <w:rsid w:val="00D06834"/>
    <w:rsid w:val="00D07EF9"/>
    <w:rsid w:val="00D158A1"/>
    <w:rsid w:val="00D2611D"/>
    <w:rsid w:val="00D26732"/>
    <w:rsid w:val="00D308ED"/>
    <w:rsid w:val="00D3379D"/>
    <w:rsid w:val="00D34048"/>
    <w:rsid w:val="00D34C3E"/>
    <w:rsid w:val="00D3544A"/>
    <w:rsid w:val="00D3695F"/>
    <w:rsid w:val="00D36D86"/>
    <w:rsid w:val="00D37659"/>
    <w:rsid w:val="00D403BE"/>
    <w:rsid w:val="00D428AA"/>
    <w:rsid w:val="00D4376A"/>
    <w:rsid w:val="00D50A34"/>
    <w:rsid w:val="00D5226E"/>
    <w:rsid w:val="00D52343"/>
    <w:rsid w:val="00D52A37"/>
    <w:rsid w:val="00D53EFA"/>
    <w:rsid w:val="00D552A7"/>
    <w:rsid w:val="00D57C71"/>
    <w:rsid w:val="00D603F8"/>
    <w:rsid w:val="00D620B1"/>
    <w:rsid w:val="00D622F3"/>
    <w:rsid w:val="00D63E4D"/>
    <w:rsid w:val="00D64C09"/>
    <w:rsid w:val="00D674D7"/>
    <w:rsid w:val="00D7179F"/>
    <w:rsid w:val="00D717F5"/>
    <w:rsid w:val="00D71C6B"/>
    <w:rsid w:val="00D80F43"/>
    <w:rsid w:val="00D94A7C"/>
    <w:rsid w:val="00D95896"/>
    <w:rsid w:val="00D96C50"/>
    <w:rsid w:val="00DA0311"/>
    <w:rsid w:val="00DA17FE"/>
    <w:rsid w:val="00DA26D4"/>
    <w:rsid w:val="00DA3966"/>
    <w:rsid w:val="00DA7292"/>
    <w:rsid w:val="00DA73C0"/>
    <w:rsid w:val="00DB0768"/>
    <w:rsid w:val="00DB1ECF"/>
    <w:rsid w:val="00DB2983"/>
    <w:rsid w:val="00DB3B40"/>
    <w:rsid w:val="00DB66A7"/>
    <w:rsid w:val="00DB70B1"/>
    <w:rsid w:val="00DC1257"/>
    <w:rsid w:val="00DC196A"/>
    <w:rsid w:val="00DC2DDC"/>
    <w:rsid w:val="00DC3DC0"/>
    <w:rsid w:val="00DC510F"/>
    <w:rsid w:val="00DC5B2B"/>
    <w:rsid w:val="00DC693B"/>
    <w:rsid w:val="00DC6DE3"/>
    <w:rsid w:val="00DC77BF"/>
    <w:rsid w:val="00DD07CC"/>
    <w:rsid w:val="00DD2172"/>
    <w:rsid w:val="00DD318D"/>
    <w:rsid w:val="00DD43D5"/>
    <w:rsid w:val="00DD533D"/>
    <w:rsid w:val="00DD540D"/>
    <w:rsid w:val="00DD5ECB"/>
    <w:rsid w:val="00DD6E69"/>
    <w:rsid w:val="00DE11C1"/>
    <w:rsid w:val="00DE225C"/>
    <w:rsid w:val="00DE2F31"/>
    <w:rsid w:val="00DE3386"/>
    <w:rsid w:val="00DE4286"/>
    <w:rsid w:val="00DE56ED"/>
    <w:rsid w:val="00DE601A"/>
    <w:rsid w:val="00DE7001"/>
    <w:rsid w:val="00DE7157"/>
    <w:rsid w:val="00DF0EDD"/>
    <w:rsid w:val="00DF2E12"/>
    <w:rsid w:val="00DF514A"/>
    <w:rsid w:val="00DF6690"/>
    <w:rsid w:val="00DF6804"/>
    <w:rsid w:val="00E014D9"/>
    <w:rsid w:val="00E016D2"/>
    <w:rsid w:val="00E01C7E"/>
    <w:rsid w:val="00E01CD2"/>
    <w:rsid w:val="00E02713"/>
    <w:rsid w:val="00E0358D"/>
    <w:rsid w:val="00E04323"/>
    <w:rsid w:val="00E0691F"/>
    <w:rsid w:val="00E070A2"/>
    <w:rsid w:val="00E16FF1"/>
    <w:rsid w:val="00E171AE"/>
    <w:rsid w:val="00E20370"/>
    <w:rsid w:val="00E2281A"/>
    <w:rsid w:val="00E25A05"/>
    <w:rsid w:val="00E2656A"/>
    <w:rsid w:val="00E26878"/>
    <w:rsid w:val="00E26A16"/>
    <w:rsid w:val="00E2773B"/>
    <w:rsid w:val="00E30D23"/>
    <w:rsid w:val="00E311BA"/>
    <w:rsid w:val="00E317CC"/>
    <w:rsid w:val="00E37C80"/>
    <w:rsid w:val="00E412D0"/>
    <w:rsid w:val="00E43C53"/>
    <w:rsid w:val="00E56322"/>
    <w:rsid w:val="00E60166"/>
    <w:rsid w:val="00E60982"/>
    <w:rsid w:val="00E628FB"/>
    <w:rsid w:val="00E62AD1"/>
    <w:rsid w:val="00E62B97"/>
    <w:rsid w:val="00E62C62"/>
    <w:rsid w:val="00E63469"/>
    <w:rsid w:val="00E654C1"/>
    <w:rsid w:val="00E65D97"/>
    <w:rsid w:val="00E67968"/>
    <w:rsid w:val="00E72A09"/>
    <w:rsid w:val="00E72A5A"/>
    <w:rsid w:val="00E73354"/>
    <w:rsid w:val="00E741A7"/>
    <w:rsid w:val="00E74CEE"/>
    <w:rsid w:val="00E83D0F"/>
    <w:rsid w:val="00E87B03"/>
    <w:rsid w:val="00E906D3"/>
    <w:rsid w:val="00E9242D"/>
    <w:rsid w:val="00E97912"/>
    <w:rsid w:val="00EA03F0"/>
    <w:rsid w:val="00EA511E"/>
    <w:rsid w:val="00EA5CF4"/>
    <w:rsid w:val="00EA7E31"/>
    <w:rsid w:val="00EB5255"/>
    <w:rsid w:val="00EB5C47"/>
    <w:rsid w:val="00EB6F77"/>
    <w:rsid w:val="00EB77CE"/>
    <w:rsid w:val="00EC2E5F"/>
    <w:rsid w:val="00EC6B89"/>
    <w:rsid w:val="00ED0639"/>
    <w:rsid w:val="00ED3B61"/>
    <w:rsid w:val="00ED595A"/>
    <w:rsid w:val="00ED6772"/>
    <w:rsid w:val="00ED74CF"/>
    <w:rsid w:val="00EE2ADE"/>
    <w:rsid w:val="00EE3522"/>
    <w:rsid w:val="00EE64A8"/>
    <w:rsid w:val="00EE6A76"/>
    <w:rsid w:val="00EE6B03"/>
    <w:rsid w:val="00EF1089"/>
    <w:rsid w:val="00EF4755"/>
    <w:rsid w:val="00EF5B27"/>
    <w:rsid w:val="00EF6EF9"/>
    <w:rsid w:val="00EF7135"/>
    <w:rsid w:val="00EF79CB"/>
    <w:rsid w:val="00F027DB"/>
    <w:rsid w:val="00F02E3F"/>
    <w:rsid w:val="00F0512F"/>
    <w:rsid w:val="00F065DC"/>
    <w:rsid w:val="00F10D17"/>
    <w:rsid w:val="00F14A7A"/>
    <w:rsid w:val="00F15964"/>
    <w:rsid w:val="00F16407"/>
    <w:rsid w:val="00F207A3"/>
    <w:rsid w:val="00F22985"/>
    <w:rsid w:val="00F3245A"/>
    <w:rsid w:val="00F328B5"/>
    <w:rsid w:val="00F3345A"/>
    <w:rsid w:val="00F3383E"/>
    <w:rsid w:val="00F339BF"/>
    <w:rsid w:val="00F36A65"/>
    <w:rsid w:val="00F37E1A"/>
    <w:rsid w:val="00F40919"/>
    <w:rsid w:val="00F41417"/>
    <w:rsid w:val="00F42ADD"/>
    <w:rsid w:val="00F44D52"/>
    <w:rsid w:val="00F465A7"/>
    <w:rsid w:val="00F46BB5"/>
    <w:rsid w:val="00F47869"/>
    <w:rsid w:val="00F479FC"/>
    <w:rsid w:val="00F47EB6"/>
    <w:rsid w:val="00F47FC5"/>
    <w:rsid w:val="00F50B7C"/>
    <w:rsid w:val="00F550E6"/>
    <w:rsid w:val="00F55BAB"/>
    <w:rsid w:val="00F60360"/>
    <w:rsid w:val="00F71576"/>
    <w:rsid w:val="00F72CE0"/>
    <w:rsid w:val="00F74345"/>
    <w:rsid w:val="00F772D2"/>
    <w:rsid w:val="00F80865"/>
    <w:rsid w:val="00F80A0A"/>
    <w:rsid w:val="00F80DF4"/>
    <w:rsid w:val="00F82B19"/>
    <w:rsid w:val="00F83D92"/>
    <w:rsid w:val="00F85332"/>
    <w:rsid w:val="00F8713F"/>
    <w:rsid w:val="00F87593"/>
    <w:rsid w:val="00F9203E"/>
    <w:rsid w:val="00F9212D"/>
    <w:rsid w:val="00F92A35"/>
    <w:rsid w:val="00F92E47"/>
    <w:rsid w:val="00F9585E"/>
    <w:rsid w:val="00F965DA"/>
    <w:rsid w:val="00FA05E0"/>
    <w:rsid w:val="00FA406A"/>
    <w:rsid w:val="00FA618B"/>
    <w:rsid w:val="00FB503A"/>
    <w:rsid w:val="00FB516C"/>
    <w:rsid w:val="00FB60D9"/>
    <w:rsid w:val="00FB74DE"/>
    <w:rsid w:val="00FB7B6B"/>
    <w:rsid w:val="00FC2CB6"/>
    <w:rsid w:val="00FD0236"/>
    <w:rsid w:val="00FD0AFF"/>
    <w:rsid w:val="00FD18F4"/>
    <w:rsid w:val="00FD49F0"/>
    <w:rsid w:val="00FD4B79"/>
    <w:rsid w:val="00FD54DB"/>
    <w:rsid w:val="00FD619F"/>
    <w:rsid w:val="00FD6960"/>
    <w:rsid w:val="00FE14F7"/>
    <w:rsid w:val="00FE2D37"/>
    <w:rsid w:val="00FE6607"/>
    <w:rsid w:val="00FE73C3"/>
    <w:rsid w:val="00FF12D2"/>
    <w:rsid w:val="00FF20F2"/>
    <w:rsid w:val="00FF6D54"/>
    <w:rsid w:val="010333FC"/>
    <w:rsid w:val="010812F7"/>
    <w:rsid w:val="011604AB"/>
    <w:rsid w:val="01170EAC"/>
    <w:rsid w:val="01290F7E"/>
    <w:rsid w:val="01395374"/>
    <w:rsid w:val="014C13BD"/>
    <w:rsid w:val="015319A0"/>
    <w:rsid w:val="015C1929"/>
    <w:rsid w:val="015D1E09"/>
    <w:rsid w:val="0168387C"/>
    <w:rsid w:val="01787E78"/>
    <w:rsid w:val="018D7D3C"/>
    <w:rsid w:val="0194631B"/>
    <w:rsid w:val="01952B5B"/>
    <w:rsid w:val="019B3E10"/>
    <w:rsid w:val="019E35CE"/>
    <w:rsid w:val="01CA5CC8"/>
    <w:rsid w:val="01F57C8E"/>
    <w:rsid w:val="01FF5B72"/>
    <w:rsid w:val="02283016"/>
    <w:rsid w:val="022D24DC"/>
    <w:rsid w:val="023E35EA"/>
    <w:rsid w:val="02443CCC"/>
    <w:rsid w:val="0250592D"/>
    <w:rsid w:val="02697903"/>
    <w:rsid w:val="02781BC8"/>
    <w:rsid w:val="02C3091A"/>
    <w:rsid w:val="02E07079"/>
    <w:rsid w:val="02F96569"/>
    <w:rsid w:val="02FA0872"/>
    <w:rsid w:val="02FC0103"/>
    <w:rsid w:val="03534586"/>
    <w:rsid w:val="03585147"/>
    <w:rsid w:val="035F251C"/>
    <w:rsid w:val="03767EB5"/>
    <w:rsid w:val="03AC1F6E"/>
    <w:rsid w:val="03BF786C"/>
    <w:rsid w:val="03EA03D6"/>
    <w:rsid w:val="03EA7B21"/>
    <w:rsid w:val="03F14851"/>
    <w:rsid w:val="03F913CB"/>
    <w:rsid w:val="03F94C14"/>
    <w:rsid w:val="0410030A"/>
    <w:rsid w:val="04134741"/>
    <w:rsid w:val="04231669"/>
    <w:rsid w:val="04307776"/>
    <w:rsid w:val="043A7135"/>
    <w:rsid w:val="04402271"/>
    <w:rsid w:val="044955CA"/>
    <w:rsid w:val="047343F5"/>
    <w:rsid w:val="047B0377"/>
    <w:rsid w:val="047E5665"/>
    <w:rsid w:val="049525BD"/>
    <w:rsid w:val="04A2256B"/>
    <w:rsid w:val="04B13E18"/>
    <w:rsid w:val="04BA7143"/>
    <w:rsid w:val="04C17856"/>
    <w:rsid w:val="04E52404"/>
    <w:rsid w:val="04E62470"/>
    <w:rsid w:val="04F406A4"/>
    <w:rsid w:val="053B4BE5"/>
    <w:rsid w:val="056D178C"/>
    <w:rsid w:val="05957D83"/>
    <w:rsid w:val="05A24658"/>
    <w:rsid w:val="05B64EE1"/>
    <w:rsid w:val="05D23CE5"/>
    <w:rsid w:val="05D40A37"/>
    <w:rsid w:val="05F83EAE"/>
    <w:rsid w:val="062B2E31"/>
    <w:rsid w:val="063E7D85"/>
    <w:rsid w:val="06400A0E"/>
    <w:rsid w:val="064D2E31"/>
    <w:rsid w:val="0669117F"/>
    <w:rsid w:val="0670399A"/>
    <w:rsid w:val="068816CB"/>
    <w:rsid w:val="069778EF"/>
    <w:rsid w:val="06AD1268"/>
    <w:rsid w:val="06D2659B"/>
    <w:rsid w:val="06DB0FA6"/>
    <w:rsid w:val="06FB0D9D"/>
    <w:rsid w:val="071754BC"/>
    <w:rsid w:val="07293586"/>
    <w:rsid w:val="07295285"/>
    <w:rsid w:val="072F4F4B"/>
    <w:rsid w:val="07375AE7"/>
    <w:rsid w:val="073E6F3C"/>
    <w:rsid w:val="07530F5E"/>
    <w:rsid w:val="07636392"/>
    <w:rsid w:val="07700824"/>
    <w:rsid w:val="07746E01"/>
    <w:rsid w:val="07765CF4"/>
    <w:rsid w:val="07770C56"/>
    <w:rsid w:val="0777297F"/>
    <w:rsid w:val="07B27493"/>
    <w:rsid w:val="07B9004D"/>
    <w:rsid w:val="07C1191B"/>
    <w:rsid w:val="07E3300B"/>
    <w:rsid w:val="08053120"/>
    <w:rsid w:val="08273B42"/>
    <w:rsid w:val="08281B06"/>
    <w:rsid w:val="082B69FB"/>
    <w:rsid w:val="082C727E"/>
    <w:rsid w:val="08387E2F"/>
    <w:rsid w:val="08566507"/>
    <w:rsid w:val="085D5270"/>
    <w:rsid w:val="08704C2C"/>
    <w:rsid w:val="08BB7EF0"/>
    <w:rsid w:val="08D0103C"/>
    <w:rsid w:val="08DD09D6"/>
    <w:rsid w:val="08F875BE"/>
    <w:rsid w:val="091306C6"/>
    <w:rsid w:val="091C12AF"/>
    <w:rsid w:val="091D7025"/>
    <w:rsid w:val="092217DD"/>
    <w:rsid w:val="0930266D"/>
    <w:rsid w:val="093A7294"/>
    <w:rsid w:val="093C394F"/>
    <w:rsid w:val="09617AF7"/>
    <w:rsid w:val="099851DC"/>
    <w:rsid w:val="09A26EB0"/>
    <w:rsid w:val="09AB2883"/>
    <w:rsid w:val="09AC4B12"/>
    <w:rsid w:val="09CB275C"/>
    <w:rsid w:val="09D9119E"/>
    <w:rsid w:val="09DA7580"/>
    <w:rsid w:val="09E25C48"/>
    <w:rsid w:val="09EB2C7F"/>
    <w:rsid w:val="0A215F73"/>
    <w:rsid w:val="0A263993"/>
    <w:rsid w:val="0A29073E"/>
    <w:rsid w:val="0A2D3AC2"/>
    <w:rsid w:val="0A68580C"/>
    <w:rsid w:val="0A6E12A0"/>
    <w:rsid w:val="0A757080"/>
    <w:rsid w:val="0A851326"/>
    <w:rsid w:val="0A9A734E"/>
    <w:rsid w:val="0A9D21CB"/>
    <w:rsid w:val="0AA42B08"/>
    <w:rsid w:val="0AA755DF"/>
    <w:rsid w:val="0AB17EFF"/>
    <w:rsid w:val="0AC91212"/>
    <w:rsid w:val="0AD814EA"/>
    <w:rsid w:val="0AEC1624"/>
    <w:rsid w:val="0AFE08BE"/>
    <w:rsid w:val="0AFF3FBE"/>
    <w:rsid w:val="0B0C1411"/>
    <w:rsid w:val="0B120D44"/>
    <w:rsid w:val="0B277C61"/>
    <w:rsid w:val="0B2D7AF1"/>
    <w:rsid w:val="0B3E7143"/>
    <w:rsid w:val="0B411C71"/>
    <w:rsid w:val="0B500E65"/>
    <w:rsid w:val="0B605A40"/>
    <w:rsid w:val="0B666A61"/>
    <w:rsid w:val="0B7B2AE7"/>
    <w:rsid w:val="0B8638A6"/>
    <w:rsid w:val="0B8D0904"/>
    <w:rsid w:val="0B8E5C30"/>
    <w:rsid w:val="0B9A495D"/>
    <w:rsid w:val="0BB7572E"/>
    <w:rsid w:val="0BB93035"/>
    <w:rsid w:val="0BC7245A"/>
    <w:rsid w:val="0BC81721"/>
    <w:rsid w:val="0BD240F7"/>
    <w:rsid w:val="0BD27BF6"/>
    <w:rsid w:val="0BE853EC"/>
    <w:rsid w:val="0C12186B"/>
    <w:rsid w:val="0C14470F"/>
    <w:rsid w:val="0C19598C"/>
    <w:rsid w:val="0C33191D"/>
    <w:rsid w:val="0C335C1D"/>
    <w:rsid w:val="0C3B3C7D"/>
    <w:rsid w:val="0C7734F2"/>
    <w:rsid w:val="0CAB2EAE"/>
    <w:rsid w:val="0CCC34EB"/>
    <w:rsid w:val="0CCD6258"/>
    <w:rsid w:val="0CEB3CB9"/>
    <w:rsid w:val="0CEB5D78"/>
    <w:rsid w:val="0CF126F8"/>
    <w:rsid w:val="0D533465"/>
    <w:rsid w:val="0D5663E8"/>
    <w:rsid w:val="0D621C7D"/>
    <w:rsid w:val="0D647EB5"/>
    <w:rsid w:val="0D8B543F"/>
    <w:rsid w:val="0DA508B3"/>
    <w:rsid w:val="0DBC26D5"/>
    <w:rsid w:val="0DCD5735"/>
    <w:rsid w:val="0DCF025F"/>
    <w:rsid w:val="0DD56120"/>
    <w:rsid w:val="0DE6032D"/>
    <w:rsid w:val="0DF000F9"/>
    <w:rsid w:val="0DF13D05"/>
    <w:rsid w:val="0E022EE5"/>
    <w:rsid w:val="0E056A47"/>
    <w:rsid w:val="0E2710B4"/>
    <w:rsid w:val="0E2826F4"/>
    <w:rsid w:val="0E4F5B98"/>
    <w:rsid w:val="0E73034D"/>
    <w:rsid w:val="0E767779"/>
    <w:rsid w:val="0E8536A2"/>
    <w:rsid w:val="0E8A0CB9"/>
    <w:rsid w:val="0EB304D7"/>
    <w:rsid w:val="0EB971F7"/>
    <w:rsid w:val="0ECC12D1"/>
    <w:rsid w:val="0ED4568F"/>
    <w:rsid w:val="0EDE4050"/>
    <w:rsid w:val="0F0D6E97"/>
    <w:rsid w:val="0F13775A"/>
    <w:rsid w:val="0F2C3D8A"/>
    <w:rsid w:val="0F31382A"/>
    <w:rsid w:val="0F397F2A"/>
    <w:rsid w:val="0F5F45FE"/>
    <w:rsid w:val="0F7A7415"/>
    <w:rsid w:val="0F9A112B"/>
    <w:rsid w:val="0F9C4D7E"/>
    <w:rsid w:val="0FC00A88"/>
    <w:rsid w:val="0FE4316A"/>
    <w:rsid w:val="0FE86DCD"/>
    <w:rsid w:val="0FF51C45"/>
    <w:rsid w:val="103340BD"/>
    <w:rsid w:val="10393A3D"/>
    <w:rsid w:val="105862A5"/>
    <w:rsid w:val="105C6357"/>
    <w:rsid w:val="106D2F64"/>
    <w:rsid w:val="10806F05"/>
    <w:rsid w:val="109658E9"/>
    <w:rsid w:val="10B63710"/>
    <w:rsid w:val="10CC347C"/>
    <w:rsid w:val="10F10820"/>
    <w:rsid w:val="10FA04DE"/>
    <w:rsid w:val="11066BCA"/>
    <w:rsid w:val="111C2F7A"/>
    <w:rsid w:val="112F6066"/>
    <w:rsid w:val="11665CA1"/>
    <w:rsid w:val="116C28F7"/>
    <w:rsid w:val="11823EC9"/>
    <w:rsid w:val="118E07A0"/>
    <w:rsid w:val="11915970"/>
    <w:rsid w:val="11936D76"/>
    <w:rsid w:val="11A24898"/>
    <w:rsid w:val="11BA6328"/>
    <w:rsid w:val="11E85E78"/>
    <w:rsid w:val="11F56D91"/>
    <w:rsid w:val="120F5F6A"/>
    <w:rsid w:val="12174036"/>
    <w:rsid w:val="121D3BF2"/>
    <w:rsid w:val="124F1B0A"/>
    <w:rsid w:val="12601E40"/>
    <w:rsid w:val="12D152D7"/>
    <w:rsid w:val="12F11306"/>
    <w:rsid w:val="130E627A"/>
    <w:rsid w:val="131012E1"/>
    <w:rsid w:val="132578F5"/>
    <w:rsid w:val="133E6515"/>
    <w:rsid w:val="13951726"/>
    <w:rsid w:val="13987B5B"/>
    <w:rsid w:val="139F3FB5"/>
    <w:rsid w:val="13B57660"/>
    <w:rsid w:val="13B67FBA"/>
    <w:rsid w:val="13C3429C"/>
    <w:rsid w:val="13CA5D74"/>
    <w:rsid w:val="13D1264A"/>
    <w:rsid w:val="13F16DF3"/>
    <w:rsid w:val="13FD7792"/>
    <w:rsid w:val="14072DAB"/>
    <w:rsid w:val="14307B9A"/>
    <w:rsid w:val="14396509"/>
    <w:rsid w:val="146E02DE"/>
    <w:rsid w:val="1472347A"/>
    <w:rsid w:val="147343AE"/>
    <w:rsid w:val="14B36679"/>
    <w:rsid w:val="14BC76F2"/>
    <w:rsid w:val="14DD2C3C"/>
    <w:rsid w:val="14E60DAF"/>
    <w:rsid w:val="14E82BDD"/>
    <w:rsid w:val="15113FCA"/>
    <w:rsid w:val="151B0AA1"/>
    <w:rsid w:val="154172A3"/>
    <w:rsid w:val="15463216"/>
    <w:rsid w:val="15877D00"/>
    <w:rsid w:val="15921E9C"/>
    <w:rsid w:val="15C24D00"/>
    <w:rsid w:val="15CD1A82"/>
    <w:rsid w:val="15D010C6"/>
    <w:rsid w:val="15D96BDF"/>
    <w:rsid w:val="15DF24B6"/>
    <w:rsid w:val="16087E1D"/>
    <w:rsid w:val="16240849"/>
    <w:rsid w:val="16BE3BF5"/>
    <w:rsid w:val="16DE10A3"/>
    <w:rsid w:val="16DE781D"/>
    <w:rsid w:val="170946CE"/>
    <w:rsid w:val="17263548"/>
    <w:rsid w:val="174A3399"/>
    <w:rsid w:val="174F2A9F"/>
    <w:rsid w:val="17544559"/>
    <w:rsid w:val="17677B00"/>
    <w:rsid w:val="17696E04"/>
    <w:rsid w:val="17701D14"/>
    <w:rsid w:val="17735226"/>
    <w:rsid w:val="1782570F"/>
    <w:rsid w:val="179B7A92"/>
    <w:rsid w:val="17BB6B70"/>
    <w:rsid w:val="17C6463C"/>
    <w:rsid w:val="17F526AF"/>
    <w:rsid w:val="17F80BAB"/>
    <w:rsid w:val="181066D2"/>
    <w:rsid w:val="18161E65"/>
    <w:rsid w:val="182E2274"/>
    <w:rsid w:val="18316A29"/>
    <w:rsid w:val="1844637C"/>
    <w:rsid w:val="184904D0"/>
    <w:rsid w:val="18603563"/>
    <w:rsid w:val="186621CC"/>
    <w:rsid w:val="18697B91"/>
    <w:rsid w:val="186C142F"/>
    <w:rsid w:val="18822A00"/>
    <w:rsid w:val="189F624C"/>
    <w:rsid w:val="18B75247"/>
    <w:rsid w:val="18BD1802"/>
    <w:rsid w:val="18E65CD0"/>
    <w:rsid w:val="18F40A03"/>
    <w:rsid w:val="18FA70F0"/>
    <w:rsid w:val="1910625E"/>
    <w:rsid w:val="1919170B"/>
    <w:rsid w:val="195645B9"/>
    <w:rsid w:val="195E6FCA"/>
    <w:rsid w:val="197279CD"/>
    <w:rsid w:val="19843555"/>
    <w:rsid w:val="198C2730"/>
    <w:rsid w:val="19900B2A"/>
    <w:rsid w:val="199D315D"/>
    <w:rsid w:val="19A1216E"/>
    <w:rsid w:val="19BF16EC"/>
    <w:rsid w:val="1A0212DB"/>
    <w:rsid w:val="1A1C66C0"/>
    <w:rsid w:val="1A1F50E6"/>
    <w:rsid w:val="1A304FE1"/>
    <w:rsid w:val="1A42393B"/>
    <w:rsid w:val="1A676352"/>
    <w:rsid w:val="1A685E35"/>
    <w:rsid w:val="1AAD45DE"/>
    <w:rsid w:val="1AB07CF9"/>
    <w:rsid w:val="1ABA58D0"/>
    <w:rsid w:val="1AC6589A"/>
    <w:rsid w:val="1AD35795"/>
    <w:rsid w:val="1AF60BC2"/>
    <w:rsid w:val="1B046F80"/>
    <w:rsid w:val="1B100F1D"/>
    <w:rsid w:val="1B1316BD"/>
    <w:rsid w:val="1B3267B5"/>
    <w:rsid w:val="1B40161D"/>
    <w:rsid w:val="1B441859"/>
    <w:rsid w:val="1B587D83"/>
    <w:rsid w:val="1B6606B1"/>
    <w:rsid w:val="1B8A08DC"/>
    <w:rsid w:val="1BA15976"/>
    <w:rsid w:val="1BA54D07"/>
    <w:rsid w:val="1BB17C61"/>
    <w:rsid w:val="1BD7392C"/>
    <w:rsid w:val="1BD816E4"/>
    <w:rsid w:val="1BD93520"/>
    <w:rsid w:val="1C467810"/>
    <w:rsid w:val="1C5E7925"/>
    <w:rsid w:val="1CB30761"/>
    <w:rsid w:val="1CBC0DFC"/>
    <w:rsid w:val="1CC37203"/>
    <w:rsid w:val="1CE14ECD"/>
    <w:rsid w:val="1CFD070F"/>
    <w:rsid w:val="1D0306BB"/>
    <w:rsid w:val="1D3C1D18"/>
    <w:rsid w:val="1D431577"/>
    <w:rsid w:val="1D4D4C12"/>
    <w:rsid w:val="1D545505"/>
    <w:rsid w:val="1D5F6196"/>
    <w:rsid w:val="1D6132A5"/>
    <w:rsid w:val="1D7C5774"/>
    <w:rsid w:val="1D86175D"/>
    <w:rsid w:val="1D864D41"/>
    <w:rsid w:val="1D8D7CB8"/>
    <w:rsid w:val="1D8E56D5"/>
    <w:rsid w:val="1D924892"/>
    <w:rsid w:val="1D9B278E"/>
    <w:rsid w:val="1DA84DB8"/>
    <w:rsid w:val="1DAE630A"/>
    <w:rsid w:val="1DAF24EA"/>
    <w:rsid w:val="1DB07728"/>
    <w:rsid w:val="1DCC59C4"/>
    <w:rsid w:val="1DD434A9"/>
    <w:rsid w:val="1DD56215"/>
    <w:rsid w:val="1DFE6FCD"/>
    <w:rsid w:val="1E0B537C"/>
    <w:rsid w:val="1E114F2B"/>
    <w:rsid w:val="1E171EBE"/>
    <w:rsid w:val="1E1D74FC"/>
    <w:rsid w:val="1E223480"/>
    <w:rsid w:val="1E3E0603"/>
    <w:rsid w:val="1E543091"/>
    <w:rsid w:val="1E7A43DA"/>
    <w:rsid w:val="1EA93820"/>
    <w:rsid w:val="1EAB5D97"/>
    <w:rsid w:val="1EB853CE"/>
    <w:rsid w:val="1EBD2DA4"/>
    <w:rsid w:val="1EBD4D45"/>
    <w:rsid w:val="1EDB1D33"/>
    <w:rsid w:val="1F170F28"/>
    <w:rsid w:val="1F1B6F1C"/>
    <w:rsid w:val="1F2C0027"/>
    <w:rsid w:val="1FBC7E68"/>
    <w:rsid w:val="1FCB46CB"/>
    <w:rsid w:val="1FCC2B3C"/>
    <w:rsid w:val="1FE16B01"/>
    <w:rsid w:val="1FE7539E"/>
    <w:rsid w:val="20266C07"/>
    <w:rsid w:val="204D1B46"/>
    <w:rsid w:val="205009F2"/>
    <w:rsid w:val="20511636"/>
    <w:rsid w:val="20530A28"/>
    <w:rsid w:val="20671BE0"/>
    <w:rsid w:val="206E5B2D"/>
    <w:rsid w:val="20821A8D"/>
    <w:rsid w:val="20837719"/>
    <w:rsid w:val="20963CB8"/>
    <w:rsid w:val="20970B66"/>
    <w:rsid w:val="209E5AEC"/>
    <w:rsid w:val="20A274AF"/>
    <w:rsid w:val="20A81A1B"/>
    <w:rsid w:val="20B07FB6"/>
    <w:rsid w:val="20B646FB"/>
    <w:rsid w:val="20C71600"/>
    <w:rsid w:val="20C772B6"/>
    <w:rsid w:val="20DC7264"/>
    <w:rsid w:val="20F6042F"/>
    <w:rsid w:val="20F85F56"/>
    <w:rsid w:val="20FA78D3"/>
    <w:rsid w:val="21022930"/>
    <w:rsid w:val="212B4C2F"/>
    <w:rsid w:val="213B74B1"/>
    <w:rsid w:val="215A2310"/>
    <w:rsid w:val="21672734"/>
    <w:rsid w:val="217B4DDC"/>
    <w:rsid w:val="21B00053"/>
    <w:rsid w:val="21C47F1D"/>
    <w:rsid w:val="21D11538"/>
    <w:rsid w:val="21DE318A"/>
    <w:rsid w:val="21E5472C"/>
    <w:rsid w:val="21EF5B80"/>
    <w:rsid w:val="22065CB5"/>
    <w:rsid w:val="22135968"/>
    <w:rsid w:val="22183279"/>
    <w:rsid w:val="222A0391"/>
    <w:rsid w:val="22354FEC"/>
    <w:rsid w:val="22576990"/>
    <w:rsid w:val="2261030E"/>
    <w:rsid w:val="22A138EF"/>
    <w:rsid w:val="22EF7591"/>
    <w:rsid w:val="22F47480"/>
    <w:rsid w:val="233B037C"/>
    <w:rsid w:val="23430082"/>
    <w:rsid w:val="234F4C8E"/>
    <w:rsid w:val="23566F63"/>
    <w:rsid w:val="23671171"/>
    <w:rsid w:val="236D34B2"/>
    <w:rsid w:val="237B68B5"/>
    <w:rsid w:val="238008A5"/>
    <w:rsid w:val="238E0DF3"/>
    <w:rsid w:val="23B671AE"/>
    <w:rsid w:val="23D8790F"/>
    <w:rsid w:val="23DA1943"/>
    <w:rsid w:val="23DE1C48"/>
    <w:rsid w:val="23E03A87"/>
    <w:rsid w:val="23F971E3"/>
    <w:rsid w:val="23FC0A4F"/>
    <w:rsid w:val="240210CD"/>
    <w:rsid w:val="24042E63"/>
    <w:rsid w:val="241940BE"/>
    <w:rsid w:val="24305A06"/>
    <w:rsid w:val="243A61A2"/>
    <w:rsid w:val="24532A74"/>
    <w:rsid w:val="245F0535"/>
    <w:rsid w:val="247C5786"/>
    <w:rsid w:val="24BF09F7"/>
    <w:rsid w:val="24BF7B17"/>
    <w:rsid w:val="24C7367F"/>
    <w:rsid w:val="250753AC"/>
    <w:rsid w:val="250E06CE"/>
    <w:rsid w:val="25201F1F"/>
    <w:rsid w:val="252D53FE"/>
    <w:rsid w:val="253765A8"/>
    <w:rsid w:val="25402FF6"/>
    <w:rsid w:val="254065F4"/>
    <w:rsid w:val="25696BE9"/>
    <w:rsid w:val="25717EFE"/>
    <w:rsid w:val="257D111F"/>
    <w:rsid w:val="257F2A10"/>
    <w:rsid w:val="259565E6"/>
    <w:rsid w:val="25A6252E"/>
    <w:rsid w:val="25DE1BBE"/>
    <w:rsid w:val="25DE7328"/>
    <w:rsid w:val="25E116AE"/>
    <w:rsid w:val="25EC2D81"/>
    <w:rsid w:val="25F56B61"/>
    <w:rsid w:val="260E63E1"/>
    <w:rsid w:val="26527F8E"/>
    <w:rsid w:val="266A16A4"/>
    <w:rsid w:val="268D5392"/>
    <w:rsid w:val="26970B78"/>
    <w:rsid w:val="26B50445"/>
    <w:rsid w:val="26BB07E9"/>
    <w:rsid w:val="26BE217D"/>
    <w:rsid w:val="26CF1507"/>
    <w:rsid w:val="26E72305"/>
    <w:rsid w:val="26F31252"/>
    <w:rsid w:val="27020185"/>
    <w:rsid w:val="27163C18"/>
    <w:rsid w:val="27194E78"/>
    <w:rsid w:val="271B1257"/>
    <w:rsid w:val="27255CF0"/>
    <w:rsid w:val="272C779D"/>
    <w:rsid w:val="2739340E"/>
    <w:rsid w:val="273B4DEE"/>
    <w:rsid w:val="274A3DA9"/>
    <w:rsid w:val="274C5194"/>
    <w:rsid w:val="27541561"/>
    <w:rsid w:val="276800EE"/>
    <w:rsid w:val="276B6B5A"/>
    <w:rsid w:val="277057A2"/>
    <w:rsid w:val="27AC7B69"/>
    <w:rsid w:val="27BB5273"/>
    <w:rsid w:val="27CC59F9"/>
    <w:rsid w:val="27CF3423"/>
    <w:rsid w:val="27E92A9C"/>
    <w:rsid w:val="27EE1E60"/>
    <w:rsid w:val="27FF21DC"/>
    <w:rsid w:val="280817DB"/>
    <w:rsid w:val="2827051D"/>
    <w:rsid w:val="282F7411"/>
    <w:rsid w:val="285074E1"/>
    <w:rsid w:val="28557F3E"/>
    <w:rsid w:val="28584C54"/>
    <w:rsid w:val="285E6FE6"/>
    <w:rsid w:val="286D0FD7"/>
    <w:rsid w:val="287C34AB"/>
    <w:rsid w:val="2886653D"/>
    <w:rsid w:val="289608F7"/>
    <w:rsid w:val="289C18BC"/>
    <w:rsid w:val="28CE1A0F"/>
    <w:rsid w:val="28D76D98"/>
    <w:rsid w:val="28E7127D"/>
    <w:rsid w:val="28F37266"/>
    <w:rsid w:val="28FE4325"/>
    <w:rsid w:val="290E4317"/>
    <w:rsid w:val="29206EB8"/>
    <w:rsid w:val="2926017C"/>
    <w:rsid w:val="29296D11"/>
    <w:rsid w:val="2940493E"/>
    <w:rsid w:val="29513E76"/>
    <w:rsid w:val="29595666"/>
    <w:rsid w:val="29874881"/>
    <w:rsid w:val="299B7DC6"/>
    <w:rsid w:val="29A30A29"/>
    <w:rsid w:val="29AE1297"/>
    <w:rsid w:val="29D4741C"/>
    <w:rsid w:val="29E325E0"/>
    <w:rsid w:val="29E560E7"/>
    <w:rsid w:val="29EC6874"/>
    <w:rsid w:val="29FD45DD"/>
    <w:rsid w:val="2A0D2AEE"/>
    <w:rsid w:val="2A1B1BAE"/>
    <w:rsid w:val="2A391AB9"/>
    <w:rsid w:val="2A44220C"/>
    <w:rsid w:val="2A452503"/>
    <w:rsid w:val="2A994305"/>
    <w:rsid w:val="2AA63DE5"/>
    <w:rsid w:val="2AC161B5"/>
    <w:rsid w:val="2AF30B81"/>
    <w:rsid w:val="2B0A6F32"/>
    <w:rsid w:val="2B232A0B"/>
    <w:rsid w:val="2B285689"/>
    <w:rsid w:val="2B2B6F28"/>
    <w:rsid w:val="2B4B239A"/>
    <w:rsid w:val="2B507BDB"/>
    <w:rsid w:val="2B683CD8"/>
    <w:rsid w:val="2B7B309E"/>
    <w:rsid w:val="2B826DF9"/>
    <w:rsid w:val="2B9A23F9"/>
    <w:rsid w:val="2BA45493"/>
    <w:rsid w:val="2BA936A8"/>
    <w:rsid w:val="2BC25ADE"/>
    <w:rsid w:val="2BE062EC"/>
    <w:rsid w:val="2BF614E5"/>
    <w:rsid w:val="2C137767"/>
    <w:rsid w:val="2C22032B"/>
    <w:rsid w:val="2C2D6AA3"/>
    <w:rsid w:val="2C315A5A"/>
    <w:rsid w:val="2C38388E"/>
    <w:rsid w:val="2C4B1C25"/>
    <w:rsid w:val="2C591E3D"/>
    <w:rsid w:val="2C6F4E30"/>
    <w:rsid w:val="2C7A0FAA"/>
    <w:rsid w:val="2CAB4AEF"/>
    <w:rsid w:val="2CC619FE"/>
    <w:rsid w:val="2CDF5762"/>
    <w:rsid w:val="2CFF066C"/>
    <w:rsid w:val="2D142369"/>
    <w:rsid w:val="2D6B2FC8"/>
    <w:rsid w:val="2D9E56F5"/>
    <w:rsid w:val="2DBD655D"/>
    <w:rsid w:val="2DD51A60"/>
    <w:rsid w:val="2DF07504"/>
    <w:rsid w:val="2E09749C"/>
    <w:rsid w:val="2E1E446E"/>
    <w:rsid w:val="2E44254B"/>
    <w:rsid w:val="2E4E18AB"/>
    <w:rsid w:val="2E5F1AD9"/>
    <w:rsid w:val="2E667F96"/>
    <w:rsid w:val="2E7F1A64"/>
    <w:rsid w:val="2E8226AB"/>
    <w:rsid w:val="2E955746"/>
    <w:rsid w:val="2EA006DE"/>
    <w:rsid w:val="2EC1612A"/>
    <w:rsid w:val="2ECA18B0"/>
    <w:rsid w:val="2EEE21FE"/>
    <w:rsid w:val="2EF20488"/>
    <w:rsid w:val="2F24275C"/>
    <w:rsid w:val="2F340C40"/>
    <w:rsid w:val="2F3471F1"/>
    <w:rsid w:val="2F5B427F"/>
    <w:rsid w:val="2F5C677C"/>
    <w:rsid w:val="2F785653"/>
    <w:rsid w:val="2FA61993"/>
    <w:rsid w:val="2FAA7EAA"/>
    <w:rsid w:val="2FD065E6"/>
    <w:rsid w:val="2FD96870"/>
    <w:rsid w:val="2FFD47E1"/>
    <w:rsid w:val="2FFF2170"/>
    <w:rsid w:val="30047F23"/>
    <w:rsid w:val="30082C36"/>
    <w:rsid w:val="3009189D"/>
    <w:rsid w:val="301F34FF"/>
    <w:rsid w:val="3030775F"/>
    <w:rsid w:val="30580BC9"/>
    <w:rsid w:val="306877C4"/>
    <w:rsid w:val="3086532C"/>
    <w:rsid w:val="309F019C"/>
    <w:rsid w:val="30BA16C9"/>
    <w:rsid w:val="30DB5DAF"/>
    <w:rsid w:val="31054563"/>
    <w:rsid w:val="31174596"/>
    <w:rsid w:val="311E2ED7"/>
    <w:rsid w:val="31402441"/>
    <w:rsid w:val="31442564"/>
    <w:rsid w:val="314847DE"/>
    <w:rsid w:val="315619EE"/>
    <w:rsid w:val="315C449C"/>
    <w:rsid w:val="318B6972"/>
    <w:rsid w:val="31903F88"/>
    <w:rsid w:val="31A86B9A"/>
    <w:rsid w:val="31B82709"/>
    <w:rsid w:val="31B9703B"/>
    <w:rsid w:val="31BA35D9"/>
    <w:rsid w:val="31D05482"/>
    <w:rsid w:val="320603EC"/>
    <w:rsid w:val="32186458"/>
    <w:rsid w:val="32225867"/>
    <w:rsid w:val="32400B34"/>
    <w:rsid w:val="3241549D"/>
    <w:rsid w:val="32542B96"/>
    <w:rsid w:val="32804BD9"/>
    <w:rsid w:val="3294021E"/>
    <w:rsid w:val="329E6876"/>
    <w:rsid w:val="32BA76DC"/>
    <w:rsid w:val="32C043F9"/>
    <w:rsid w:val="32C96E3B"/>
    <w:rsid w:val="32F12805"/>
    <w:rsid w:val="331A7FAD"/>
    <w:rsid w:val="333015F2"/>
    <w:rsid w:val="334B6320"/>
    <w:rsid w:val="336B6A5B"/>
    <w:rsid w:val="337275F1"/>
    <w:rsid w:val="338B416D"/>
    <w:rsid w:val="3391475F"/>
    <w:rsid w:val="339D4D2B"/>
    <w:rsid w:val="339E298D"/>
    <w:rsid w:val="33AA4DCE"/>
    <w:rsid w:val="33D55002"/>
    <w:rsid w:val="33D934D4"/>
    <w:rsid w:val="33FE2F6A"/>
    <w:rsid w:val="34083F24"/>
    <w:rsid w:val="340A7BE9"/>
    <w:rsid w:val="340E07E5"/>
    <w:rsid w:val="341F1A77"/>
    <w:rsid w:val="34235BF7"/>
    <w:rsid w:val="34592D57"/>
    <w:rsid w:val="34732384"/>
    <w:rsid w:val="348E2A01"/>
    <w:rsid w:val="34A21725"/>
    <w:rsid w:val="34AF04BB"/>
    <w:rsid w:val="34B539B3"/>
    <w:rsid w:val="34BE2B9A"/>
    <w:rsid w:val="34BE5AC2"/>
    <w:rsid w:val="34CC61FA"/>
    <w:rsid w:val="34DE2FFE"/>
    <w:rsid w:val="34DF14AF"/>
    <w:rsid w:val="3502216E"/>
    <w:rsid w:val="350C6468"/>
    <w:rsid w:val="35143368"/>
    <w:rsid w:val="351A531B"/>
    <w:rsid w:val="351D3D85"/>
    <w:rsid w:val="35215623"/>
    <w:rsid w:val="35407383"/>
    <w:rsid w:val="354666CF"/>
    <w:rsid w:val="354E082E"/>
    <w:rsid w:val="3554612D"/>
    <w:rsid w:val="355748A5"/>
    <w:rsid w:val="357642D9"/>
    <w:rsid w:val="35777939"/>
    <w:rsid w:val="357865A4"/>
    <w:rsid w:val="357F3623"/>
    <w:rsid w:val="358C5FA8"/>
    <w:rsid w:val="35A97830"/>
    <w:rsid w:val="35AD693E"/>
    <w:rsid w:val="35C15DF1"/>
    <w:rsid w:val="35C92650"/>
    <w:rsid w:val="35E23BC6"/>
    <w:rsid w:val="35E92759"/>
    <w:rsid w:val="35EA5ED3"/>
    <w:rsid w:val="36074A7F"/>
    <w:rsid w:val="364B2AD9"/>
    <w:rsid w:val="364E0B69"/>
    <w:rsid w:val="3674681F"/>
    <w:rsid w:val="36757F2F"/>
    <w:rsid w:val="367717D3"/>
    <w:rsid w:val="367B16E9"/>
    <w:rsid w:val="36923549"/>
    <w:rsid w:val="36A419AC"/>
    <w:rsid w:val="36B75FBF"/>
    <w:rsid w:val="36BD0C45"/>
    <w:rsid w:val="36DB1B34"/>
    <w:rsid w:val="36DB26BF"/>
    <w:rsid w:val="36EC7EB3"/>
    <w:rsid w:val="36EF47D1"/>
    <w:rsid w:val="36F92790"/>
    <w:rsid w:val="371043AE"/>
    <w:rsid w:val="371922E6"/>
    <w:rsid w:val="372B5404"/>
    <w:rsid w:val="37434821"/>
    <w:rsid w:val="374C7633"/>
    <w:rsid w:val="374E0226"/>
    <w:rsid w:val="37755412"/>
    <w:rsid w:val="379540A7"/>
    <w:rsid w:val="379C5435"/>
    <w:rsid w:val="37A24437"/>
    <w:rsid w:val="37E00298"/>
    <w:rsid w:val="37EC6408"/>
    <w:rsid w:val="384E0EAF"/>
    <w:rsid w:val="38545A6F"/>
    <w:rsid w:val="385B7112"/>
    <w:rsid w:val="38616FD8"/>
    <w:rsid w:val="387654DC"/>
    <w:rsid w:val="3897356E"/>
    <w:rsid w:val="389A3E8E"/>
    <w:rsid w:val="389D76B7"/>
    <w:rsid w:val="389F2DA3"/>
    <w:rsid w:val="38A00F55"/>
    <w:rsid w:val="38AE23E8"/>
    <w:rsid w:val="38B302F9"/>
    <w:rsid w:val="38BE7C6B"/>
    <w:rsid w:val="38C20ECB"/>
    <w:rsid w:val="38C56B7A"/>
    <w:rsid w:val="38E3543E"/>
    <w:rsid w:val="38E70932"/>
    <w:rsid w:val="38F12CD3"/>
    <w:rsid w:val="38F94775"/>
    <w:rsid w:val="39057F32"/>
    <w:rsid w:val="39075F63"/>
    <w:rsid w:val="392971ED"/>
    <w:rsid w:val="392F6BA1"/>
    <w:rsid w:val="39325651"/>
    <w:rsid w:val="394E7BE1"/>
    <w:rsid w:val="3980776C"/>
    <w:rsid w:val="39B04CA7"/>
    <w:rsid w:val="39C45D41"/>
    <w:rsid w:val="39FC39DB"/>
    <w:rsid w:val="39FC70A9"/>
    <w:rsid w:val="3A0648DF"/>
    <w:rsid w:val="3A194374"/>
    <w:rsid w:val="3A1E4827"/>
    <w:rsid w:val="3A4C3A5A"/>
    <w:rsid w:val="3A56100C"/>
    <w:rsid w:val="3A563FC1"/>
    <w:rsid w:val="3A872856"/>
    <w:rsid w:val="3A8D7BE9"/>
    <w:rsid w:val="3A9801D1"/>
    <w:rsid w:val="3A9E2348"/>
    <w:rsid w:val="3AA0523C"/>
    <w:rsid w:val="3AB07A17"/>
    <w:rsid w:val="3AB24365"/>
    <w:rsid w:val="3ABA2179"/>
    <w:rsid w:val="3AF14B44"/>
    <w:rsid w:val="3B013183"/>
    <w:rsid w:val="3B3763D1"/>
    <w:rsid w:val="3B414646"/>
    <w:rsid w:val="3B5C3046"/>
    <w:rsid w:val="3B610DFA"/>
    <w:rsid w:val="3B8C3A12"/>
    <w:rsid w:val="3BAA4C75"/>
    <w:rsid w:val="3BB32E97"/>
    <w:rsid w:val="3BB549BB"/>
    <w:rsid w:val="3BBA227F"/>
    <w:rsid w:val="3BC2593D"/>
    <w:rsid w:val="3BCC3E0F"/>
    <w:rsid w:val="3BE9243E"/>
    <w:rsid w:val="3C025045"/>
    <w:rsid w:val="3C0B2E07"/>
    <w:rsid w:val="3C170FF2"/>
    <w:rsid w:val="3C2F6E1E"/>
    <w:rsid w:val="3C336278"/>
    <w:rsid w:val="3C441F4A"/>
    <w:rsid w:val="3C4F64BA"/>
    <w:rsid w:val="3C5948D0"/>
    <w:rsid w:val="3C664263"/>
    <w:rsid w:val="3C6D55F2"/>
    <w:rsid w:val="3C6E06AD"/>
    <w:rsid w:val="3C74703D"/>
    <w:rsid w:val="3CB43696"/>
    <w:rsid w:val="3CCF68DA"/>
    <w:rsid w:val="3CD609A5"/>
    <w:rsid w:val="3CDA245A"/>
    <w:rsid w:val="3CDC62D4"/>
    <w:rsid w:val="3CE06912"/>
    <w:rsid w:val="3CE73B00"/>
    <w:rsid w:val="3CED04E1"/>
    <w:rsid w:val="3D0C0967"/>
    <w:rsid w:val="3D1842DF"/>
    <w:rsid w:val="3D1E06B7"/>
    <w:rsid w:val="3D2C5764"/>
    <w:rsid w:val="3D3652BE"/>
    <w:rsid w:val="3D424AF1"/>
    <w:rsid w:val="3D5027E6"/>
    <w:rsid w:val="3D5073D6"/>
    <w:rsid w:val="3D6C7658"/>
    <w:rsid w:val="3D6F7148"/>
    <w:rsid w:val="3D7B06E8"/>
    <w:rsid w:val="3D864C3C"/>
    <w:rsid w:val="3D9077EA"/>
    <w:rsid w:val="3D970D3F"/>
    <w:rsid w:val="3DCB0822"/>
    <w:rsid w:val="3DE91409"/>
    <w:rsid w:val="3DEE38C5"/>
    <w:rsid w:val="3DFD41A8"/>
    <w:rsid w:val="3DFF1307"/>
    <w:rsid w:val="3E0D2619"/>
    <w:rsid w:val="3E110C9C"/>
    <w:rsid w:val="3E143AEF"/>
    <w:rsid w:val="3E1D33F0"/>
    <w:rsid w:val="3E287A22"/>
    <w:rsid w:val="3E520859"/>
    <w:rsid w:val="3EDA0523"/>
    <w:rsid w:val="3EF75647"/>
    <w:rsid w:val="3F0F2990"/>
    <w:rsid w:val="3F1D6742"/>
    <w:rsid w:val="3F53144F"/>
    <w:rsid w:val="3F955B40"/>
    <w:rsid w:val="3F975243"/>
    <w:rsid w:val="3F9A4950"/>
    <w:rsid w:val="3FAE41C0"/>
    <w:rsid w:val="3FB5178A"/>
    <w:rsid w:val="3FCC6A14"/>
    <w:rsid w:val="3FD5487C"/>
    <w:rsid w:val="3FD94FCD"/>
    <w:rsid w:val="3FF9372A"/>
    <w:rsid w:val="402E2320"/>
    <w:rsid w:val="405A5E8D"/>
    <w:rsid w:val="40644F5E"/>
    <w:rsid w:val="40662CCE"/>
    <w:rsid w:val="40664832"/>
    <w:rsid w:val="407A6407"/>
    <w:rsid w:val="407F05C4"/>
    <w:rsid w:val="40953369"/>
    <w:rsid w:val="40B803DC"/>
    <w:rsid w:val="40D01B4C"/>
    <w:rsid w:val="40F736DC"/>
    <w:rsid w:val="41090D39"/>
    <w:rsid w:val="41395206"/>
    <w:rsid w:val="41397C6F"/>
    <w:rsid w:val="414D77A0"/>
    <w:rsid w:val="415822AF"/>
    <w:rsid w:val="416A40EB"/>
    <w:rsid w:val="416A7A94"/>
    <w:rsid w:val="418B0A4C"/>
    <w:rsid w:val="418C02C8"/>
    <w:rsid w:val="419B482E"/>
    <w:rsid w:val="41A41110"/>
    <w:rsid w:val="41F43415"/>
    <w:rsid w:val="4200449D"/>
    <w:rsid w:val="42004C5D"/>
    <w:rsid w:val="42254279"/>
    <w:rsid w:val="422B173F"/>
    <w:rsid w:val="42312C1E"/>
    <w:rsid w:val="423A3BCC"/>
    <w:rsid w:val="424E57D2"/>
    <w:rsid w:val="425A3F23"/>
    <w:rsid w:val="426B19EB"/>
    <w:rsid w:val="42786A9F"/>
    <w:rsid w:val="428405B1"/>
    <w:rsid w:val="428723BA"/>
    <w:rsid w:val="42AA6F7C"/>
    <w:rsid w:val="42B26C49"/>
    <w:rsid w:val="42B5384F"/>
    <w:rsid w:val="42B76FFD"/>
    <w:rsid w:val="42C24FD0"/>
    <w:rsid w:val="42C3457F"/>
    <w:rsid w:val="42CB0F32"/>
    <w:rsid w:val="42CB3072"/>
    <w:rsid w:val="42CB7C9F"/>
    <w:rsid w:val="42D55E90"/>
    <w:rsid w:val="42F36125"/>
    <w:rsid w:val="433A6FE6"/>
    <w:rsid w:val="43443F29"/>
    <w:rsid w:val="434469BD"/>
    <w:rsid w:val="43454BD3"/>
    <w:rsid w:val="43480868"/>
    <w:rsid w:val="434E3C99"/>
    <w:rsid w:val="4350713C"/>
    <w:rsid w:val="436314B2"/>
    <w:rsid w:val="43653673"/>
    <w:rsid w:val="436653E0"/>
    <w:rsid w:val="436C7F85"/>
    <w:rsid w:val="437048E9"/>
    <w:rsid w:val="43A81C29"/>
    <w:rsid w:val="43BD4B4A"/>
    <w:rsid w:val="43C4431A"/>
    <w:rsid w:val="43F76536"/>
    <w:rsid w:val="44046A4D"/>
    <w:rsid w:val="44123C82"/>
    <w:rsid w:val="442E58DB"/>
    <w:rsid w:val="442F7A09"/>
    <w:rsid w:val="446A7047"/>
    <w:rsid w:val="447506F3"/>
    <w:rsid w:val="447667AA"/>
    <w:rsid w:val="44A86598"/>
    <w:rsid w:val="44B951CC"/>
    <w:rsid w:val="44BB0333"/>
    <w:rsid w:val="44C21BA5"/>
    <w:rsid w:val="44CD14E0"/>
    <w:rsid w:val="44D3507E"/>
    <w:rsid w:val="44D82BD2"/>
    <w:rsid w:val="44E977E0"/>
    <w:rsid w:val="44F07714"/>
    <w:rsid w:val="44F20B0B"/>
    <w:rsid w:val="44F231B6"/>
    <w:rsid w:val="44FE14DD"/>
    <w:rsid w:val="45104C53"/>
    <w:rsid w:val="45161D4D"/>
    <w:rsid w:val="45205A82"/>
    <w:rsid w:val="452E5F4C"/>
    <w:rsid w:val="45591B85"/>
    <w:rsid w:val="45612018"/>
    <w:rsid w:val="458946E9"/>
    <w:rsid w:val="458D0AB3"/>
    <w:rsid w:val="45921C25"/>
    <w:rsid w:val="45950612"/>
    <w:rsid w:val="45991206"/>
    <w:rsid w:val="459C1AB0"/>
    <w:rsid w:val="45A47C0E"/>
    <w:rsid w:val="45A73923"/>
    <w:rsid w:val="45C26072"/>
    <w:rsid w:val="45CF3D9C"/>
    <w:rsid w:val="45E05087"/>
    <w:rsid w:val="45FC3543"/>
    <w:rsid w:val="46116FEE"/>
    <w:rsid w:val="46136371"/>
    <w:rsid w:val="46354877"/>
    <w:rsid w:val="464342DE"/>
    <w:rsid w:val="46577FD6"/>
    <w:rsid w:val="4674649A"/>
    <w:rsid w:val="468E4409"/>
    <w:rsid w:val="46A4547A"/>
    <w:rsid w:val="46A95479"/>
    <w:rsid w:val="46AD3EE1"/>
    <w:rsid w:val="46BB7057"/>
    <w:rsid w:val="46D110ED"/>
    <w:rsid w:val="46D955A7"/>
    <w:rsid w:val="46F44F80"/>
    <w:rsid w:val="46FA72D2"/>
    <w:rsid w:val="47133957"/>
    <w:rsid w:val="475A49C5"/>
    <w:rsid w:val="47656A50"/>
    <w:rsid w:val="477517FF"/>
    <w:rsid w:val="479E48BC"/>
    <w:rsid w:val="47A07E0C"/>
    <w:rsid w:val="47C167F2"/>
    <w:rsid w:val="47D77DC3"/>
    <w:rsid w:val="47DC59BD"/>
    <w:rsid w:val="47DD23D5"/>
    <w:rsid w:val="48055ADB"/>
    <w:rsid w:val="480A0199"/>
    <w:rsid w:val="481561A7"/>
    <w:rsid w:val="48161839"/>
    <w:rsid w:val="481F4B6D"/>
    <w:rsid w:val="4851401A"/>
    <w:rsid w:val="48552DCE"/>
    <w:rsid w:val="485B72D1"/>
    <w:rsid w:val="48644656"/>
    <w:rsid w:val="4870272E"/>
    <w:rsid w:val="48855A71"/>
    <w:rsid w:val="48E31D4F"/>
    <w:rsid w:val="48F6379A"/>
    <w:rsid w:val="49184B37"/>
    <w:rsid w:val="49374FBE"/>
    <w:rsid w:val="49433B5F"/>
    <w:rsid w:val="49454519"/>
    <w:rsid w:val="494F12B8"/>
    <w:rsid w:val="496D78BD"/>
    <w:rsid w:val="49740F99"/>
    <w:rsid w:val="4976192A"/>
    <w:rsid w:val="4989728E"/>
    <w:rsid w:val="49926698"/>
    <w:rsid w:val="499927F6"/>
    <w:rsid w:val="499A051B"/>
    <w:rsid w:val="499C7517"/>
    <w:rsid w:val="49A10689"/>
    <w:rsid w:val="49AD6169"/>
    <w:rsid w:val="49C464EF"/>
    <w:rsid w:val="49DC6C17"/>
    <w:rsid w:val="49DC7715"/>
    <w:rsid w:val="49E75910"/>
    <w:rsid w:val="49F3696A"/>
    <w:rsid w:val="49FC1BD6"/>
    <w:rsid w:val="4A003F0A"/>
    <w:rsid w:val="4A023139"/>
    <w:rsid w:val="4A0A0924"/>
    <w:rsid w:val="4A123335"/>
    <w:rsid w:val="4A193677"/>
    <w:rsid w:val="4A302D79"/>
    <w:rsid w:val="4A477482"/>
    <w:rsid w:val="4A7B576F"/>
    <w:rsid w:val="4A8A46E4"/>
    <w:rsid w:val="4A977281"/>
    <w:rsid w:val="4AA819C9"/>
    <w:rsid w:val="4AAC5537"/>
    <w:rsid w:val="4ABB5476"/>
    <w:rsid w:val="4ABC2708"/>
    <w:rsid w:val="4ADB7BCB"/>
    <w:rsid w:val="4AF16034"/>
    <w:rsid w:val="4AF561A9"/>
    <w:rsid w:val="4AFB41ED"/>
    <w:rsid w:val="4AFC2B5B"/>
    <w:rsid w:val="4B072DA9"/>
    <w:rsid w:val="4B0D49FF"/>
    <w:rsid w:val="4B137937"/>
    <w:rsid w:val="4B222501"/>
    <w:rsid w:val="4B234401"/>
    <w:rsid w:val="4B4C343E"/>
    <w:rsid w:val="4B515E20"/>
    <w:rsid w:val="4B5C00D2"/>
    <w:rsid w:val="4B7F6B0A"/>
    <w:rsid w:val="4B88695D"/>
    <w:rsid w:val="4BB02E05"/>
    <w:rsid w:val="4BC43B9E"/>
    <w:rsid w:val="4BCD523E"/>
    <w:rsid w:val="4BE01DBA"/>
    <w:rsid w:val="4C2B74A2"/>
    <w:rsid w:val="4C3954FD"/>
    <w:rsid w:val="4C4A0649"/>
    <w:rsid w:val="4C59349D"/>
    <w:rsid w:val="4C612153"/>
    <w:rsid w:val="4C7E5ECA"/>
    <w:rsid w:val="4C876AA5"/>
    <w:rsid w:val="4C8D76CD"/>
    <w:rsid w:val="4C973285"/>
    <w:rsid w:val="4CB01775"/>
    <w:rsid w:val="4CF72D77"/>
    <w:rsid w:val="4D0751CD"/>
    <w:rsid w:val="4D0D498E"/>
    <w:rsid w:val="4D0E00FB"/>
    <w:rsid w:val="4D0E6CBC"/>
    <w:rsid w:val="4D176606"/>
    <w:rsid w:val="4D184030"/>
    <w:rsid w:val="4D1A13EA"/>
    <w:rsid w:val="4D6E4D26"/>
    <w:rsid w:val="4D8E3B27"/>
    <w:rsid w:val="4D9D560B"/>
    <w:rsid w:val="4DA80282"/>
    <w:rsid w:val="4DCE1994"/>
    <w:rsid w:val="4DCE41E9"/>
    <w:rsid w:val="4DDB77D3"/>
    <w:rsid w:val="4DEC4FB0"/>
    <w:rsid w:val="4DF969CD"/>
    <w:rsid w:val="4E075D8A"/>
    <w:rsid w:val="4E3B3C41"/>
    <w:rsid w:val="4E3D5ED8"/>
    <w:rsid w:val="4E4B32B9"/>
    <w:rsid w:val="4E77033A"/>
    <w:rsid w:val="4E892C94"/>
    <w:rsid w:val="4E8D7A21"/>
    <w:rsid w:val="4EA2287D"/>
    <w:rsid w:val="4EB313BE"/>
    <w:rsid w:val="4EC00FAD"/>
    <w:rsid w:val="4EC866B8"/>
    <w:rsid w:val="4EF075D0"/>
    <w:rsid w:val="4F2B1FE3"/>
    <w:rsid w:val="4F2D2ABA"/>
    <w:rsid w:val="4F567112"/>
    <w:rsid w:val="4F776DA1"/>
    <w:rsid w:val="4F9843DC"/>
    <w:rsid w:val="4FAE58AE"/>
    <w:rsid w:val="4FC62A8C"/>
    <w:rsid w:val="4FCC3F63"/>
    <w:rsid w:val="4FE20F0D"/>
    <w:rsid w:val="4FE51552"/>
    <w:rsid w:val="4FE76159"/>
    <w:rsid w:val="4FFE7B48"/>
    <w:rsid w:val="50027C2E"/>
    <w:rsid w:val="50041972"/>
    <w:rsid w:val="5004677A"/>
    <w:rsid w:val="500B4C4C"/>
    <w:rsid w:val="50377B74"/>
    <w:rsid w:val="50504C4B"/>
    <w:rsid w:val="505A5318"/>
    <w:rsid w:val="50621472"/>
    <w:rsid w:val="508309F9"/>
    <w:rsid w:val="508807F5"/>
    <w:rsid w:val="509C6E7C"/>
    <w:rsid w:val="50BE5FC4"/>
    <w:rsid w:val="50C60723"/>
    <w:rsid w:val="50E56E68"/>
    <w:rsid w:val="50EE31EC"/>
    <w:rsid w:val="50F00D29"/>
    <w:rsid w:val="51015FF5"/>
    <w:rsid w:val="51052F88"/>
    <w:rsid w:val="510936E3"/>
    <w:rsid w:val="51183927"/>
    <w:rsid w:val="51325367"/>
    <w:rsid w:val="51340035"/>
    <w:rsid w:val="513A17E6"/>
    <w:rsid w:val="513D54FB"/>
    <w:rsid w:val="5149564C"/>
    <w:rsid w:val="5152762B"/>
    <w:rsid w:val="515626A1"/>
    <w:rsid w:val="515A1C6E"/>
    <w:rsid w:val="5162104E"/>
    <w:rsid w:val="51707780"/>
    <w:rsid w:val="51B11EC7"/>
    <w:rsid w:val="51DC590C"/>
    <w:rsid w:val="51E31E2E"/>
    <w:rsid w:val="52292098"/>
    <w:rsid w:val="52336130"/>
    <w:rsid w:val="523659B0"/>
    <w:rsid w:val="5241595C"/>
    <w:rsid w:val="525070F0"/>
    <w:rsid w:val="52564F0B"/>
    <w:rsid w:val="529D1462"/>
    <w:rsid w:val="52C332B6"/>
    <w:rsid w:val="52CF183B"/>
    <w:rsid w:val="52D928C3"/>
    <w:rsid w:val="52DB2E5E"/>
    <w:rsid w:val="52F91536"/>
    <w:rsid w:val="53007FAE"/>
    <w:rsid w:val="5317516F"/>
    <w:rsid w:val="53190902"/>
    <w:rsid w:val="532742F5"/>
    <w:rsid w:val="533B1BB0"/>
    <w:rsid w:val="535D7D17"/>
    <w:rsid w:val="53646615"/>
    <w:rsid w:val="538C5F06"/>
    <w:rsid w:val="53A039CC"/>
    <w:rsid w:val="53A1505A"/>
    <w:rsid w:val="53CE651E"/>
    <w:rsid w:val="53E126F6"/>
    <w:rsid w:val="53E60A55"/>
    <w:rsid w:val="53EC09CF"/>
    <w:rsid w:val="53EE6BC1"/>
    <w:rsid w:val="53FA5565"/>
    <w:rsid w:val="54063E08"/>
    <w:rsid w:val="543437E8"/>
    <w:rsid w:val="543A0058"/>
    <w:rsid w:val="54492049"/>
    <w:rsid w:val="54617393"/>
    <w:rsid w:val="547E28E0"/>
    <w:rsid w:val="548608F6"/>
    <w:rsid w:val="548826F9"/>
    <w:rsid w:val="54E442F8"/>
    <w:rsid w:val="54EC75A4"/>
    <w:rsid w:val="54F268D9"/>
    <w:rsid w:val="54F73313"/>
    <w:rsid w:val="54F80955"/>
    <w:rsid w:val="551268DF"/>
    <w:rsid w:val="551E3FBA"/>
    <w:rsid w:val="55284354"/>
    <w:rsid w:val="553301C2"/>
    <w:rsid w:val="55342CF9"/>
    <w:rsid w:val="555170A7"/>
    <w:rsid w:val="55603AEE"/>
    <w:rsid w:val="55785A13"/>
    <w:rsid w:val="557D1DD1"/>
    <w:rsid w:val="5587536D"/>
    <w:rsid w:val="5592210F"/>
    <w:rsid w:val="55992B5C"/>
    <w:rsid w:val="559B174B"/>
    <w:rsid w:val="55C70542"/>
    <w:rsid w:val="55CE0CF4"/>
    <w:rsid w:val="55F81F79"/>
    <w:rsid w:val="56064695"/>
    <w:rsid w:val="560763AD"/>
    <w:rsid w:val="564068FB"/>
    <w:rsid w:val="564A5236"/>
    <w:rsid w:val="56535B31"/>
    <w:rsid w:val="566B44F9"/>
    <w:rsid w:val="56844B40"/>
    <w:rsid w:val="56B22A9C"/>
    <w:rsid w:val="56DF23E5"/>
    <w:rsid w:val="56E05DA1"/>
    <w:rsid w:val="56EC6D02"/>
    <w:rsid w:val="56EE1E25"/>
    <w:rsid w:val="5712019A"/>
    <w:rsid w:val="57174680"/>
    <w:rsid w:val="571B3881"/>
    <w:rsid w:val="574E5B20"/>
    <w:rsid w:val="577D745D"/>
    <w:rsid w:val="57875362"/>
    <w:rsid w:val="578F7D76"/>
    <w:rsid w:val="57907ABE"/>
    <w:rsid w:val="57996E43"/>
    <w:rsid w:val="579F69F6"/>
    <w:rsid w:val="57A06424"/>
    <w:rsid w:val="57AB02B3"/>
    <w:rsid w:val="57AD3169"/>
    <w:rsid w:val="57B72A76"/>
    <w:rsid w:val="57BC2D85"/>
    <w:rsid w:val="57C3426C"/>
    <w:rsid w:val="57CD6856"/>
    <w:rsid w:val="57CE1F93"/>
    <w:rsid w:val="57E30F93"/>
    <w:rsid w:val="57EA0E0D"/>
    <w:rsid w:val="57EF2F07"/>
    <w:rsid w:val="58252E20"/>
    <w:rsid w:val="582540F4"/>
    <w:rsid w:val="585950EC"/>
    <w:rsid w:val="58641783"/>
    <w:rsid w:val="588743D1"/>
    <w:rsid w:val="5887701A"/>
    <w:rsid w:val="589532DB"/>
    <w:rsid w:val="58CD5FDD"/>
    <w:rsid w:val="58E30CBE"/>
    <w:rsid w:val="59100298"/>
    <w:rsid w:val="5915580C"/>
    <w:rsid w:val="59175BCF"/>
    <w:rsid w:val="596B480F"/>
    <w:rsid w:val="598F3DF1"/>
    <w:rsid w:val="59C0439F"/>
    <w:rsid w:val="59D16D68"/>
    <w:rsid w:val="59DD395F"/>
    <w:rsid w:val="59E056FC"/>
    <w:rsid w:val="59E22CDF"/>
    <w:rsid w:val="59FB5E95"/>
    <w:rsid w:val="5A43433F"/>
    <w:rsid w:val="5A582FE6"/>
    <w:rsid w:val="5A6C3146"/>
    <w:rsid w:val="5A7D0393"/>
    <w:rsid w:val="5A8103A4"/>
    <w:rsid w:val="5A897643"/>
    <w:rsid w:val="5A92474A"/>
    <w:rsid w:val="5A951D45"/>
    <w:rsid w:val="5AB0741E"/>
    <w:rsid w:val="5ABE2233"/>
    <w:rsid w:val="5ACB77B0"/>
    <w:rsid w:val="5AD458E7"/>
    <w:rsid w:val="5ADB7043"/>
    <w:rsid w:val="5ADB7D78"/>
    <w:rsid w:val="5ADD34EB"/>
    <w:rsid w:val="5AE623A0"/>
    <w:rsid w:val="5B11139C"/>
    <w:rsid w:val="5B15176C"/>
    <w:rsid w:val="5B181D50"/>
    <w:rsid w:val="5B350EAF"/>
    <w:rsid w:val="5B360FBE"/>
    <w:rsid w:val="5B565D2E"/>
    <w:rsid w:val="5B6339F0"/>
    <w:rsid w:val="5B80531D"/>
    <w:rsid w:val="5B9230FA"/>
    <w:rsid w:val="5BB5490E"/>
    <w:rsid w:val="5BB6AF71"/>
    <w:rsid w:val="5BCA3FB3"/>
    <w:rsid w:val="5BD35166"/>
    <w:rsid w:val="5BD771F3"/>
    <w:rsid w:val="5BDF5D95"/>
    <w:rsid w:val="5BE230D7"/>
    <w:rsid w:val="5BE24730"/>
    <w:rsid w:val="5BFE7528"/>
    <w:rsid w:val="5C150505"/>
    <w:rsid w:val="5C2E7814"/>
    <w:rsid w:val="5C3A52A3"/>
    <w:rsid w:val="5C3D5E8E"/>
    <w:rsid w:val="5C3D6937"/>
    <w:rsid w:val="5C6E0D96"/>
    <w:rsid w:val="5C6F7F89"/>
    <w:rsid w:val="5C8271B2"/>
    <w:rsid w:val="5CAE15E3"/>
    <w:rsid w:val="5CB95BD3"/>
    <w:rsid w:val="5CDC11C0"/>
    <w:rsid w:val="5CDE0296"/>
    <w:rsid w:val="5D1F713F"/>
    <w:rsid w:val="5D3A4F0A"/>
    <w:rsid w:val="5D6950E1"/>
    <w:rsid w:val="5D7D09C8"/>
    <w:rsid w:val="5D8F6D1E"/>
    <w:rsid w:val="5DB82D9D"/>
    <w:rsid w:val="5DBF4D21"/>
    <w:rsid w:val="5DF43025"/>
    <w:rsid w:val="5DFF3C84"/>
    <w:rsid w:val="5E0437A1"/>
    <w:rsid w:val="5E055233"/>
    <w:rsid w:val="5E070FAB"/>
    <w:rsid w:val="5E1B2CA8"/>
    <w:rsid w:val="5E2467F1"/>
    <w:rsid w:val="5E4A6818"/>
    <w:rsid w:val="5E4F1A6A"/>
    <w:rsid w:val="5E593772"/>
    <w:rsid w:val="5E7F7ED1"/>
    <w:rsid w:val="5E842AC6"/>
    <w:rsid w:val="5EA462D4"/>
    <w:rsid w:val="5EAE23B7"/>
    <w:rsid w:val="5EC31F84"/>
    <w:rsid w:val="5ECC07A0"/>
    <w:rsid w:val="5EDC4689"/>
    <w:rsid w:val="5EEC01A1"/>
    <w:rsid w:val="5EF55ABB"/>
    <w:rsid w:val="5F1A2B43"/>
    <w:rsid w:val="5F1F0576"/>
    <w:rsid w:val="5F2B2A77"/>
    <w:rsid w:val="5F2C38F4"/>
    <w:rsid w:val="5F335DCF"/>
    <w:rsid w:val="5F372189"/>
    <w:rsid w:val="5F54294D"/>
    <w:rsid w:val="5F5D02E1"/>
    <w:rsid w:val="5F8C3EEF"/>
    <w:rsid w:val="5FAF237A"/>
    <w:rsid w:val="5FB837BB"/>
    <w:rsid w:val="5FF602F9"/>
    <w:rsid w:val="600A38F5"/>
    <w:rsid w:val="60194DF8"/>
    <w:rsid w:val="60245EA5"/>
    <w:rsid w:val="603040BD"/>
    <w:rsid w:val="60315D71"/>
    <w:rsid w:val="60467D3B"/>
    <w:rsid w:val="604863F8"/>
    <w:rsid w:val="60641911"/>
    <w:rsid w:val="60666763"/>
    <w:rsid w:val="60754C2B"/>
    <w:rsid w:val="60787C7F"/>
    <w:rsid w:val="60CC405A"/>
    <w:rsid w:val="60CF7DE0"/>
    <w:rsid w:val="60D55390"/>
    <w:rsid w:val="60F375C4"/>
    <w:rsid w:val="61114701"/>
    <w:rsid w:val="61500EBB"/>
    <w:rsid w:val="61625B0D"/>
    <w:rsid w:val="61691F7C"/>
    <w:rsid w:val="6172208A"/>
    <w:rsid w:val="617C2334"/>
    <w:rsid w:val="61A747FF"/>
    <w:rsid w:val="61B3070D"/>
    <w:rsid w:val="61B62D00"/>
    <w:rsid w:val="61B77E34"/>
    <w:rsid w:val="61C2458D"/>
    <w:rsid w:val="61E215D8"/>
    <w:rsid w:val="61E23472"/>
    <w:rsid w:val="61E34560"/>
    <w:rsid w:val="62085BE6"/>
    <w:rsid w:val="621B3775"/>
    <w:rsid w:val="62364782"/>
    <w:rsid w:val="623951B5"/>
    <w:rsid w:val="62410106"/>
    <w:rsid w:val="6253038C"/>
    <w:rsid w:val="627D56B9"/>
    <w:rsid w:val="62894684"/>
    <w:rsid w:val="629303D0"/>
    <w:rsid w:val="629966AC"/>
    <w:rsid w:val="62EB59C4"/>
    <w:rsid w:val="63027F93"/>
    <w:rsid w:val="632A757A"/>
    <w:rsid w:val="635D0469"/>
    <w:rsid w:val="63644A26"/>
    <w:rsid w:val="6382724C"/>
    <w:rsid w:val="639257BA"/>
    <w:rsid w:val="6394356A"/>
    <w:rsid w:val="639A1244"/>
    <w:rsid w:val="639D456E"/>
    <w:rsid w:val="63A559A4"/>
    <w:rsid w:val="63AF4145"/>
    <w:rsid w:val="63B868A3"/>
    <w:rsid w:val="63C61B2C"/>
    <w:rsid w:val="63D40BE9"/>
    <w:rsid w:val="63EB3102"/>
    <w:rsid w:val="63F17BD6"/>
    <w:rsid w:val="64102431"/>
    <w:rsid w:val="64233627"/>
    <w:rsid w:val="6438789D"/>
    <w:rsid w:val="64486906"/>
    <w:rsid w:val="64495BF5"/>
    <w:rsid w:val="644D5176"/>
    <w:rsid w:val="64524F4A"/>
    <w:rsid w:val="64664E11"/>
    <w:rsid w:val="64672D9D"/>
    <w:rsid w:val="6486294B"/>
    <w:rsid w:val="64A5243A"/>
    <w:rsid w:val="64A64F1F"/>
    <w:rsid w:val="64CA1C60"/>
    <w:rsid w:val="64D12312"/>
    <w:rsid w:val="64D925AB"/>
    <w:rsid w:val="64E5663B"/>
    <w:rsid w:val="64E573F1"/>
    <w:rsid w:val="64ED11C3"/>
    <w:rsid w:val="64F531DE"/>
    <w:rsid w:val="64FD5BD7"/>
    <w:rsid w:val="65206C7A"/>
    <w:rsid w:val="65373578"/>
    <w:rsid w:val="653C0FED"/>
    <w:rsid w:val="65421005"/>
    <w:rsid w:val="654D6D4A"/>
    <w:rsid w:val="65516431"/>
    <w:rsid w:val="65660A43"/>
    <w:rsid w:val="656742B4"/>
    <w:rsid w:val="656B62C3"/>
    <w:rsid w:val="657169A3"/>
    <w:rsid w:val="65731883"/>
    <w:rsid w:val="657370D2"/>
    <w:rsid w:val="657F62D1"/>
    <w:rsid w:val="65A1284C"/>
    <w:rsid w:val="65BB249F"/>
    <w:rsid w:val="65DF19EF"/>
    <w:rsid w:val="65E16585"/>
    <w:rsid w:val="65E329AC"/>
    <w:rsid w:val="65F067C8"/>
    <w:rsid w:val="65F53DDF"/>
    <w:rsid w:val="65F63ADC"/>
    <w:rsid w:val="66033A4B"/>
    <w:rsid w:val="6612673F"/>
    <w:rsid w:val="6619175E"/>
    <w:rsid w:val="661D70A5"/>
    <w:rsid w:val="665731FE"/>
    <w:rsid w:val="66666A8A"/>
    <w:rsid w:val="666920D7"/>
    <w:rsid w:val="667F2621"/>
    <w:rsid w:val="66855F85"/>
    <w:rsid w:val="669C4C52"/>
    <w:rsid w:val="669D0EB4"/>
    <w:rsid w:val="669F792F"/>
    <w:rsid w:val="66CE33EE"/>
    <w:rsid w:val="66D954AE"/>
    <w:rsid w:val="671355FC"/>
    <w:rsid w:val="67191D4F"/>
    <w:rsid w:val="671F124A"/>
    <w:rsid w:val="672D3345"/>
    <w:rsid w:val="6744072E"/>
    <w:rsid w:val="675C5108"/>
    <w:rsid w:val="677732E7"/>
    <w:rsid w:val="677A33C6"/>
    <w:rsid w:val="679715F1"/>
    <w:rsid w:val="67D906ED"/>
    <w:rsid w:val="681F6961"/>
    <w:rsid w:val="683D39DA"/>
    <w:rsid w:val="68416AD2"/>
    <w:rsid w:val="684F2472"/>
    <w:rsid w:val="68603099"/>
    <w:rsid w:val="686103A9"/>
    <w:rsid w:val="68610A2F"/>
    <w:rsid w:val="68805514"/>
    <w:rsid w:val="68BC6F6F"/>
    <w:rsid w:val="68BE6C34"/>
    <w:rsid w:val="68D44600"/>
    <w:rsid w:val="68E1364F"/>
    <w:rsid w:val="68E4613D"/>
    <w:rsid w:val="68FF4807"/>
    <w:rsid w:val="690B3495"/>
    <w:rsid w:val="691C537F"/>
    <w:rsid w:val="69316E2F"/>
    <w:rsid w:val="693E5AD3"/>
    <w:rsid w:val="694E2071"/>
    <w:rsid w:val="69505024"/>
    <w:rsid w:val="69507CC9"/>
    <w:rsid w:val="69520158"/>
    <w:rsid w:val="695608CC"/>
    <w:rsid w:val="69670B4F"/>
    <w:rsid w:val="69766163"/>
    <w:rsid w:val="697A3B33"/>
    <w:rsid w:val="698A6F34"/>
    <w:rsid w:val="699340B0"/>
    <w:rsid w:val="69966F85"/>
    <w:rsid w:val="69991053"/>
    <w:rsid w:val="69B47B0D"/>
    <w:rsid w:val="69B570B9"/>
    <w:rsid w:val="69B6037F"/>
    <w:rsid w:val="69C8700B"/>
    <w:rsid w:val="69D44760"/>
    <w:rsid w:val="69DC0AAF"/>
    <w:rsid w:val="69F10D61"/>
    <w:rsid w:val="69F81B92"/>
    <w:rsid w:val="6A07753D"/>
    <w:rsid w:val="6A177764"/>
    <w:rsid w:val="6A211646"/>
    <w:rsid w:val="6A3749C6"/>
    <w:rsid w:val="6A3C55C3"/>
    <w:rsid w:val="6A520EC7"/>
    <w:rsid w:val="6A707AF7"/>
    <w:rsid w:val="6A7A0DD6"/>
    <w:rsid w:val="6A7A6FA8"/>
    <w:rsid w:val="6A7F089D"/>
    <w:rsid w:val="6A955B90"/>
    <w:rsid w:val="6AA162E3"/>
    <w:rsid w:val="6AB726A3"/>
    <w:rsid w:val="6ABE5ACE"/>
    <w:rsid w:val="6AC315CD"/>
    <w:rsid w:val="6AD00A9E"/>
    <w:rsid w:val="6AD541DF"/>
    <w:rsid w:val="6AD81606"/>
    <w:rsid w:val="6AE0505D"/>
    <w:rsid w:val="6AE65129"/>
    <w:rsid w:val="6AED777A"/>
    <w:rsid w:val="6AF87E20"/>
    <w:rsid w:val="6AFB2324"/>
    <w:rsid w:val="6B05723F"/>
    <w:rsid w:val="6B294BFC"/>
    <w:rsid w:val="6B322639"/>
    <w:rsid w:val="6B4108CE"/>
    <w:rsid w:val="6B5E5C8B"/>
    <w:rsid w:val="6B5F57D2"/>
    <w:rsid w:val="6B6030F7"/>
    <w:rsid w:val="6B6117CA"/>
    <w:rsid w:val="6B7A6BAB"/>
    <w:rsid w:val="6B80250D"/>
    <w:rsid w:val="6B833B65"/>
    <w:rsid w:val="6BA13E76"/>
    <w:rsid w:val="6BB12556"/>
    <w:rsid w:val="6BB81F8D"/>
    <w:rsid w:val="6BF3622B"/>
    <w:rsid w:val="6BFF4D20"/>
    <w:rsid w:val="6C052026"/>
    <w:rsid w:val="6C2B0057"/>
    <w:rsid w:val="6C2F2D7D"/>
    <w:rsid w:val="6C3712AA"/>
    <w:rsid w:val="6C384A25"/>
    <w:rsid w:val="6C45325B"/>
    <w:rsid w:val="6C5672A9"/>
    <w:rsid w:val="6C636C38"/>
    <w:rsid w:val="6C68419D"/>
    <w:rsid w:val="6C6B0755"/>
    <w:rsid w:val="6C6B2319"/>
    <w:rsid w:val="6C6D19BF"/>
    <w:rsid w:val="6C775246"/>
    <w:rsid w:val="6C79285C"/>
    <w:rsid w:val="6C8F07F7"/>
    <w:rsid w:val="6CB3355C"/>
    <w:rsid w:val="6CBA25BC"/>
    <w:rsid w:val="6CEB5F3B"/>
    <w:rsid w:val="6CF05552"/>
    <w:rsid w:val="6CFB3BA3"/>
    <w:rsid w:val="6D000491"/>
    <w:rsid w:val="6D6C1232"/>
    <w:rsid w:val="6D77157D"/>
    <w:rsid w:val="6D8F68C7"/>
    <w:rsid w:val="6DAC68DF"/>
    <w:rsid w:val="6DB178C7"/>
    <w:rsid w:val="6DB34098"/>
    <w:rsid w:val="6DB545B6"/>
    <w:rsid w:val="6DB848BB"/>
    <w:rsid w:val="6DD63CBB"/>
    <w:rsid w:val="6DE02FB4"/>
    <w:rsid w:val="6DE134E3"/>
    <w:rsid w:val="6DF60CDD"/>
    <w:rsid w:val="6DFE4C60"/>
    <w:rsid w:val="6E1340F2"/>
    <w:rsid w:val="6E1D4FDD"/>
    <w:rsid w:val="6E3A2CD6"/>
    <w:rsid w:val="6E4E1F87"/>
    <w:rsid w:val="6E514CED"/>
    <w:rsid w:val="6E712470"/>
    <w:rsid w:val="6E8421A4"/>
    <w:rsid w:val="6E8D2AF8"/>
    <w:rsid w:val="6EB505AF"/>
    <w:rsid w:val="6EB563D5"/>
    <w:rsid w:val="6ED92677"/>
    <w:rsid w:val="6F225983"/>
    <w:rsid w:val="6F390DBE"/>
    <w:rsid w:val="6F6E1089"/>
    <w:rsid w:val="6FA61C45"/>
    <w:rsid w:val="6FAC0C13"/>
    <w:rsid w:val="6FB25114"/>
    <w:rsid w:val="6FBE220E"/>
    <w:rsid w:val="6FBE63A8"/>
    <w:rsid w:val="6FF20544"/>
    <w:rsid w:val="6FFC5590"/>
    <w:rsid w:val="70072C96"/>
    <w:rsid w:val="704B11CB"/>
    <w:rsid w:val="704B6C5B"/>
    <w:rsid w:val="7061351C"/>
    <w:rsid w:val="706D1DD0"/>
    <w:rsid w:val="70785D38"/>
    <w:rsid w:val="70856B87"/>
    <w:rsid w:val="70BC31CC"/>
    <w:rsid w:val="70C20D61"/>
    <w:rsid w:val="70D527EE"/>
    <w:rsid w:val="70E278A4"/>
    <w:rsid w:val="70E32E40"/>
    <w:rsid w:val="70F215E6"/>
    <w:rsid w:val="70F56097"/>
    <w:rsid w:val="70FD03F3"/>
    <w:rsid w:val="70FF2962"/>
    <w:rsid w:val="711726A0"/>
    <w:rsid w:val="71311313"/>
    <w:rsid w:val="714066C7"/>
    <w:rsid w:val="714E25B3"/>
    <w:rsid w:val="71520E5C"/>
    <w:rsid w:val="715B2BAE"/>
    <w:rsid w:val="715B5300"/>
    <w:rsid w:val="715C2F64"/>
    <w:rsid w:val="71604632"/>
    <w:rsid w:val="716E70ED"/>
    <w:rsid w:val="71865B23"/>
    <w:rsid w:val="718D5813"/>
    <w:rsid w:val="71A05F3B"/>
    <w:rsid w:val="71AF1604"/>
    <w:rsid w:val="71B05323"/>
    <w:rsid w:val="71B16C62"/>
    <w:rsid w:val="71BC576D"/>
    <w:rsid w:val="71C94C6C"/>
    <w:rsid w:val="71CD39AB"/>
    <w:rsid w:val="71D27F8A"/>
    <w:rsid w:val="71E00106"/>
    <w:rsid w:val="71E116BB"/>
    <w:rsid w:val="720D37F6"/>
    <w:rsid w:val="721165F2"/>
    <w:rsid w:val="72260AAB"/>
    <w:rsid w:val="72343EE1"/>
    <w:rsid w:val="72380C91"/>
    <w:rsid w:val="723D7D56"/>
    <w:rsid w:val="72553024"/>
    <w:rsid w:val="72BC2D2D"/>
    <w:rsid w:val="72EB511F"/>
    <w:rsid w:val="73122968"/>
    <w:rsid w:val="731955A9"/>
    <w:rsid w:val="731F5D5E"/>
    <w:rsid w:val="732313BE"/>
    <w:rsid w:val="73685F85"/>
    <w:rsid w:val="736E13D5"/>
    <w:rsid w:val="73C51AD5"/>
    <w:rsid w:val="73DF5FA9"/>
    <w:rsid w:val="73F73418"/>
    <w:rsid w:val="7401752D"/>
    <w:rsid w:val="74034B35"/>
    <w:rsid w:val="740611FF"/>
    <w:rsid w:val="741E793C"/>
    <w:rsid w:val="742179D6"/>
    <w:rsid w:val="743213E1"/>
    <w:rsid w:val="745368A0"/>
    <w:rsid w:val="745E3944"/>
    <w:rsid w:val="74855837"/>
    <w:rsid w:val="7496678D"/>
    <w:rsid w:val="74977B69"/>
    <w:rsid w:val="749D1F23"/>
    <w:rsid w:val="74A56AFD"/>
    <w:rsid w:val="74F31E31"/>
    <w:rsid w:val="74F46385"/>
    <w:rsid w:val="75325134"/>
    <w:rsid w:val="754B600C"/>
    <w:rsid w:val="754E350B"/>
    <w:rsid w:val="7564619A"/>
    <w:rsid w:val="757765BE"/>
    <w:rsid w:val="7584118B"/>
    <w:rsid w:val="75E85141"/>
    <w:rsid w:val="75FA3584"/>
    <w:rsid w:val="7620508F"/>
    <w:rsid w:val="763005C4"/>
    <w:rsid w:val="7635099D"/>
    <w:rsid w:val="764D37C3"/>
    <w:rsid w:val="76587EB2"/>
    <w:rsid w:val="766345FF"/>
    <w:rsid w:val="767320BA"/>
    <w:rsid w:val="768B1166"/>
    <w:rsid w:val="76C52D17"/>
    <w:rsid w:val="76D8716C"/>
    <w:rsid w:val="76D87530"/>
    <w:rsid w:val="771237B9"/>
    <w:rsid w:val="771774C0"/>
    <w:rsid w:val="77227E72"/>
    <w:rsid w:val="77376AD2"/>
    <w:rsid w:val="773F4EBA"/>
    <w:rsid w:val="775646F9"/>
    <w:rsid w:val="777222A2"/>
    <w:rsid w:val="77762421"/>
    <w:rsid w:val="77850F08"/>
    <w:rsid w:val="77A73320"/>
    <w:rsid w:val="77B56B1F"/>
    <w:rsid w:val="77C6382D"/>
    <w:rsid w:val="77E75912"/>
    <w:rsid w:val="780E418F"/>
    <w:rsid w:val="780F09F4"/>
    <w:rsid w:val="781E5522"/>
    <w:rsid w:val="78250F67"/>
    <w:rsid w:val="784167CE"/>
    <w:rsid w:val="784F2599"/>
    <w:rsid w:val="78580459"/>
    <w:rsid w:val="786110AB"/>
    <w:rsid w:val="78774676"/>
    <w:rsid w:val="78A17D78"/>
    <w:rsid w:val="78A53B2E"/>
    <w:rsid w:val="78A90480"/>
    <w:rsid w:val="78B46978"/>
    <w:rsid w:val="78C935D5"/>
    <w:rsid w:val="78E1689C"/>
    <w:rsid w:val="78FC1E57"/>
    <w:rsid w:val="790A599B"/>
    <w:rsid w:val="791807FD"/>
    <w:rsid w:val="792572F0"/>
    <w:rsid w:val="792702FB"/>
    <w:rsid w:val="793B1D72"/>
    <w:rsid w:val="7947173B"/>
    <w:rsid w:val="795D3561"/>
    <w:rsid w:val="79927E6B"/>
    <w:rsid w:val="79A436FA"/>
    <w:rsid w:val="79C57B89"/>
    <w:rsid w:val="79D74373"/>
    <w:rsid w:val="79E1771C"/>
    <w:rsid w:val="7A364017"/>
    <w:rsid w:val="7A49604F"/>
    <w:rsid w:val="7A53420C"/>
    <w:rsid w:val="7A8265E1"/>
    <w:rsid w:val="7A8868C8"/>
    <w:rsid w:val="7AA65250"/>
    <w:rsid w:val="7AA70ABF"/>
    <w:rsid w:val="7AD3663F"/>
    <w:rsid w:val="7AEF1BD8"/>
    <w:rsid w:val="7AF67FBB"/>
    <w:rsid w:val="7B194A01"/>
    <w:rsid w:val="7B1F5838"/>
    <w:rsid w:val="7B2C7E4B"/>
    <w:rsid w:val="7B3A19C9"/>
    <w:rsid w:val="7B424F78"/>
    <w:rsid w:val="7B47340A"/>
    <w:rsid w:val="7B4A59F2"/>
    <w:rsid w:val="7B6220A6"/>
    <w:rsid w:val="7B686D42"/>
    <w:rsid w:val="7B7010B5"/>
    <w:rsid w:val="7B746165"/>
    <w:rsid w:val="7B7A0BB6"/>
    <w:rsid w:val="7B841746"/>
    <w:rsid w:val="7B9C0BBC"/>
    <w:rsid w:val="7BB42909"/>
    <w:rsid w:val="7BCA5BC5"/>
    <w:rsid w:val="7BCA6677"/>
    <w:rsid w:val="7C166FB4"/>
    <w:rsid w:val="7C4F582A"/>
    <w:rsid w:val="7C53709A"/>
    <w:rsid w:val="7C606F51"/>
    <w:rsid w:val="7C6C5AC7"/>
    <w:rsid w:val="7C7575D0"/>
    <w:rsid w:val="7C94286C"/>
    <w:rsid w:val="7C996468"/>
    <w:rsid w:val="7CB63289"/>
    <w:rsid w:val="7CC61E6C"/>
    <w:rsid w:val="7CC6544B"/>
    <w:rsid w:val="7CD929CB"/>
    <w:rsid w:val="7CE53CE8"/>
    <w:rsid w:val="7D0239FF"/>
    <w:rsid w:val="7D081BF9"/>
    <w:rsid w:val="7D5E40CD"/>
    <w:rsid w:val="7D7067CF"/>
    <w:rsid w:val="7D796A8C"/>
    <w:rsid w:val="7D877215"/>
    <w:rsid w:val="7D891584"/>
    <w:rsid w:val="7D9E2DD0"/>
    <w:rsid w:val="7DBB6F4C"/>
    <w:rsid w:val="7DC223A1"/>
    <w:rsid w:val="7DCD56F2"/>
    <w:rsid w:val="7DCE56A9"/>
    <w:rsid w:val="7DD10836"/>
    <w:rsid w:val="7E026C41"/>
    <w:rsid w:val="7E176B90"/>
    <w:rsid w:val="7E1A3F8B"/>
    <w:rsid w:val="7E3D532F"/>
    <w:rsid w:val="7E5242FD"/>
    <w:rsid w:val="7E546BA2"/>
    <w:rsid w:val="7E573431"/>
    <w:rsid w:val="7E83478B"/>
    <w:rsid w:val="7E9A5FBF"/>
    <w:rsid w:val="7EA30424"/>
    <w:rsid w:val="7EAF6DC9"/>
    <w:rsid w:val="7EB50157"/>
    <w:rsid w:val="7EC30CED"/>
    <w:rsid w:val="7ED56104"/>
    <w:rsid w:val="7EEC778E"/>
    <w:rsid w:val="7EF77BAE"/>
    <w:rsid w:val="7F001CE7"/>
    <w:rsid w:val="7F1662CF"/>
    <w:rsid w:val="7F3217A8"/>
    <w:rsid w:val="7F5C1503"/>
    <w:rsid w:val="7F5D4A77"/>
    <w:rsid w:val="7F6409AA"/>
    <w:rsid w:val="7F6C6A68"/>
    <w:rsid w:val="7F7F6235"/>
    <w:rsid w:val="7FC6307E"/>
    <w:rsid w:val="7FE33FBB"/>
    <w:rsid w:val="7FE47E50"/>
    <w:rsid w:val="7FFA65AA"/>
    <w:rsid w:val="EFEBE596"/>
    <w:rsid w:val="FF7F86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iPriority="99" w:semiHidden="0" w:name="Body Text Indent 2" w:locked="1"/>
    <w:lsdException w:qFormat="1"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qFormat="1"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line="360" w:lineRule="auto"/>
      <w:outlineLvl w:val="0"/>
    </w:pPr>
    <w:rPr>
      <w:b/>
      <w:bCs/>
      <w:color w:val="000000"/>
      <w:kern w:val="44"/>
      <w:sz w:val="30"/>
      <w:szCs w:val="30"/>
    </w:rPr>
  </w:style>
  <w:style w:type="character" w:default="1" w:styleId="27">
    <w:name w:val="Default Paragraph Font"/>
    <w:autoRedefine/>
    <w:semiHidden/>
    <w:qFormat/>
    <w:uiPriority w:val="0"/>
  </w:style>
  <w:style w:type="table" w:default="1" w:styleId="2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List 3"/>
    <w:basedOn w:val="1"/>
    <w:next w:val="1"/>
    <w:autoRedefine/>
    <w:qFormat/>
    <w:locked/>
    <w:uiPriority w:val="0"/>
    <w:pPr>
      <w:ind w:left="100" w:leftChars="400" w:hanging="200" w:hangingChars="200"/>
      <w:contextualSpacing/>
    </w:pPr>
  </w:style>
  <w:style w:type="paragraph" w:styleId="4">
    <w:name w:val="Normal Indent"/>
    <w:basedOn w:val="1"/>
    <w:next w:val="1"/>
    <w:autoRedefine/>
    <w:unhideWhenUsed/>
    <w:qFormat/>
    <w:locked/>
    <w:uiPriority w:val="99"/>
    <w:pPr>
      <w:ind w:firstLine="420" w:firstLineChars="200"/>
      <w:jc w:val="left"/>
    </w:pPr>
    <w:rPr>
      <w:rFonts w:ascii="Calibri" w:hAnsi="Calibri"/>
      <w:kern w:val="0"/>
      <w:sz w:val="22"/>
      <w:szCs w:val="22"/>
      <w:lang w:eastAsia="en-US"/>
    </w:rPr>
  </w:style>
  <w:style w:type="paragraph" w:styleId="5">
    <w:name w:val="annotation text"/>
    <w:basedOn w:val="1"/>
    <w:link w:val="65"/>
    <w:autoRedefine/>
    <w:semiHidden/>
    <w:qFormat/>
    <w:uiPriority w:val="0"/>
    <w:pPr>
      <w:jc w:val="left"/>
    </w:pPr>
    <w:rPr>
      <w:kern w:val="0"/>
      <w:sz w:val="24"/>
      <w:szCs w:val="20"/>
    </w:rPr>
  </w:style>
  <w:style w:type="paragraph" w:styleId="6">
    <w:name w:val="Body Text"/>
    <w:basedOn w:val="1"/>
    <w:link w:val="42"/>
    <w:autoRedefine/>
    <w:qFormat/>
    <w:uiPriority w:val="0"/>
    <w:pPr>
      <w:widowControl/>
      <w:snapToGrid w:val="0"/>
      <w:spacing w:before="60" w:after="160" w:line="259" w:lineRule="auto"/>
      <w:ind w:right="113"/>
    </w:pPr>
    <w:rPr>
      <w:kern w:val="0"/>
      <w:sz w:val="18"/>
      <w:szCs w:val="20"/>
    </w:rPr>
  </w:style>
  <w:style w:type="paragraph" w:styleId="7">
    <w:name w:val="Body Text Indent"/>
    <w:basedOn w:val="1"/>
    <w:next w:val="6"/>
    <w:link w:val="59"/>
    <w:autoRedefine/>
    <w:qFormat/>
    <w:uiPriority w:val="0"/>
    <w:pPr>
      <w:spacing w:after="120"/>
      <w:ind w:left="420" w:leftChars="200"/>
    </w:pPr>
    <w:rPr>
      <w:kern w:val="0"/>
      <w:sz w:val="24"/>
      <w:szCs w:val="20"/>
    </w:rPr>
  </w:style>
  <w:style w:type="paragraph" w:styleId="8">
    <w:name w:val="Plain Text"/>
    <w:basedOn w:val="1"/>
    <w:next w:val="9"/>
    <w:link w:val="40"/>
    <w:autoRedefine/>
    <w:qFormat/>
    <w:locked/>
    <w:uiPriority w:val="0"/>
    <w:rPr>
      <w:rFonts w:ascii="宋体" w:hAnsi="Courier New"/>
      <w:sz w:val="15"/>
      <w:szCs w:val="20"/>
    </w:rPr>
  </w:style>
  <w:style w:type="paragraph" w:customStyle="1" w:styleId="9">
    <w:name w:val="正本"/>
    <w:qFormat/>
    <w:uiPriority w:val="0"/>
    <w:pPr>
      <w:widowControl w:val="0"/>
      <w:adjustRightInd w:val="0"/>
      <w:snapToGrid w:val="0"/>
      <w:spacing w:line="360" w:lineRule="auto"/>
      <w:ind w:firstLine="200" w:firstLineChars="200"/>
      <w:jc w:val="both"/>
    </w:pPr>
    <w:rPr>
      <w:rFonts w:ascii="宋体" w:hAnsi="Times New Roman" w:eastAsia="宋体" w:cs="Times New Roman"/>
      <w:kern w:val="2"/>
      <w:sz w:val="24"/>
      <w:szCs w:val="24"/>
      <w:lang w:val="en-US" w:eastAsia="zh-CN" w:bidi="ar-SA"/>
    </w:rPr>
  </w:style>
  <w:style w:type="paragraph" w:styleId="10">
    <w:name w:val="List Bullet 5"/>
    <w:basedOn w:val="1"/>
    <w:autoRedefine/>
    <w:qFormat/>
    <w:locked/>
    <w:uiPriority w:val="0"/>
    <w:pPr>
      <w:numPr>
        <w:ilvl w:val="0"/>
        <w:numId w:val="1"/>
      </w:numPr>
    </w:pPr>
  </w:style>
  <w:style w:type="paragraph" w:styleId="11">
    <w:name w:val="Date"/>
    <w:basedOn w:val="1"/>
    <w:next w:val="1"/>
    <w:link w:val="81"/>
    <w:autoRedefine/>
    <w:qFormat/>
    <w:uiPriority w:val="0"/>
    <w:pPr>
      <w:ind w:left="100" w:leftChars="2500"/>
    </w:pPr>
    <w:rPr>
      <w:kern w:val="0"/>
      <w:sz w:val="24"/>
      <w:szCs w:val="20"/>
    </w:rPr>
  </w:style>
  <w:style w:type="paragraph" w:styleId="12">
    <w:name w:val="Body Text Indent 2"/>
    <w:next w:val="1"/>
    <w:autoRedefine/>
    <w:unhideWhenUsed/>
    <w:qFormat/>
    <w:locked/>
    <w:uiPriority w:val="99"/>
    <w:pPr>
      <w:widowControl w:val="0"/>
      <w:spacing w:after="120" w:line="480" w:lineRule="auto"/>
      <w:ind w:left="420" w:leftChars="200"/>
      <w:jc w:val="both"/>
    </w:pPr>
    <w:rPr>
      <w:rFonts w:ascii="Times New Roman" w:hAnsi="Times New Roman" w:eastAsia="汉鼎简书宋" w:cs="Times New Roman"/>
      <w:kern w:val="2"/>
      <w:sz w:val="21"/>
      <w:szCs w:val="24"/>
      <w:lang w:val="en-US" w:eastAsia="zh-CN" w:bidi="ar-SA"/>
    </w:rPr>
  </w:style>
  <w:style w:type="paragraph" w:styleId="13">
    <w:name w:val="Balloon Text"/>
    <w:basedOn w:val="1"/>
    <w:link w:val="58"/>
    <w:autoRedefine/>
    <w:semiHidden/>
    <w:qFormat/>
    <w:uiPriority w:val="0"/>
    <w:rPr>
      <w:kern w:val="0"/>
      <w:sz w:val="18"/>
      <w:szCs w:val="20"/>
    </w:rPr>
  </w:style>
  <w:style w:type="paragraph" w:styleId="14">
    <w:name w:val="footer"/>
    <w:basedOn w:val="1"/>
    <w:link w:val="69"/>
    <w:autoRedefine/>
    <w:qFormat/>
    <w:uiPriority w:val="99"/>
    <w:pPr>
      <w:tabs>
        <w:tab w:val="center" w:pos="4153"/>
        <w:tab w:val="right" w:pos="8306"/>
      </w:tabs>
      <w:snapToGrid w:val="0"/>
      <w:jc w:val="left"/>
    </w:pPr>
    <w:rPr>
      <w:kern w:val="0"/>
      <w:sz w:val="18"/>
      <w:szCs w:val="20"/>
    </w:rPr>
  </w:style>
  <w:style w:type="paragraph" w:styleId="15">
    <w:name w:val="header"/>
    <w:basedOn w:val="1"/>
    <w:link w:val="77"/>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autoRedefine/>
    <w:qFormat/>
    <w:locked/>
    <w:uiPriority w:val="39"/>
  </w:style>
  <w:style w:type="paragraph" w:styleId="17">
    <w:name w:val="Body Text Indent 3"/>
    <w:basedOn w:val="1"/>
    <w:link w:val="61"/>
    <w:autoRedefine/>
    <w:qFormat/>
    <w:locked/>
    <w:uiPriority w:val="0"/>
    <w:pPr>
      <w:spacing w:after="120"/>
      <w:ind w:left="420" w:leftChars="200"/>
    </w:pPr>
    <w:rPr>
      <w:sz w:val="16"/>
      <w:szCs w:val="16"/>
    </w:rPr>
  </w:style>
  <w:style w:type="paragraph" w:styleId="18">
    <w:name w:val="toc 2"/>
    <w:basedOn w:val="1"/>
    <w:next w:val="1"/>
    <w:autoRedefine/>
    <w:qFormat/>
    <w:locked/>
    <w:uiPriority w:val="39"/>
    <w:pPr>
      <w:ind w:left="420" w:leftChars="200"/>
    </w:pPr>
  </w:style>
  <w:style w:type="paragraph" w:styleId="19">
    <w:name w:val="Body Text 2"/>
    <w:basedOn w:val="1"/>
    <w:link w:val="52"/>
    <w:autoRedefine/>
    <w:qFormat/>
    <w:locked/>
    <w:uiPriority w:val="0"/>
    <w:pPr>
      <w:spacing w:after="120" w:line="480" w:lineRule="auto"/>
    </w:pPr>
  </w:style>
  <w:style w:type="paragraph" w:styleId="20">
    <w:name w:val="Normal (Web)"/>
    <w:basedOn w:val="1"/>
    <w:link w:val="45"/>
    <w:autoRedefine/>
    <w:qFormat/>
    <w:uiPriority w:val="0"/>
    <w:pPr>
      <w:widowControl/>
      <w:spacing w:before="100" w:beforeAutospacing="1" w:after="100" w:afterAutospacing="1"/>
      <w:jc w:val="left"/>
    </w:pPr>
    <w:rPr>
      <w:rFonts w:ascii="宋体" w:hAnsi="宋体"/>
      <w:kern w:val="0"/>
      <w:sz w:val="24"/>
      <w:szCs w:val="20"/>
    </w:rPr>
  </w:style>
  <w:style w:type="paragraph" w:styleId="21">
    <w:name w:val="annotation subject"/>
    <w:basedOn w:val="5"/>
    <w:next w:val="5"/>
    <w:link w:val="82"/>
    <w:autoRedefine/>
    <w:semiHidden/>
    <w:qFormat/>
    <w:uiPriority w:val="0"/>
    <w:rPr>
      <w:b/>
      <w:sz w:val="24"/>
      <w:szCs w:val="20"/>
    </w:rPr>
  </w:style>
  <w:style w:type="paragraph" w:styleId="22">
    <w:name w:val="Body Text First Indent"/>
    <w:basedOn w:val="6"/>
    <w:next w:val="1"/>
    <w:autoRedefine/>
    <w:qFormat/>
    <w:locked/>
    <w:uiPriority w:val="0"/>
    <w:pPr>
      <w:spacing w:after="120"/>
      <w:ind w:left="0" w:firstLine="420" w:firstLineChars="100"/>
      <w:jc w:val="center"/>
    </w:pPr>
    <w:rPr>
      <w:rFonts w:ascii="Calibri" w:hAnsi="Calibri"/>
      <w:sz w:val="21"/>
      <w:szCs w:val="22"/>
    </w:rPr>
  </w:style>
  <w:style w:type="paragraph" w:styleId="23">
    <w:name w:val="Body Text First Indent 2"/>
    <w:basedOn w:val="7"/>
    <w:next w:val="1"/>
    <w:autoRedefine/>
    <w:qFormat/>
    <w:locked/>
    <w:uiPriority w:val="0"/>
    <w:pPr>
      <w:spacing w:line="240" w:lineRule="auto"/>
      <w:ind w:left="420" w:leftChars="200" w:firstLine="420" w:firstLineChars="200"/>
    </w:pPr>
    <w:rPr>
      <w:rFonts w:eastAsia="宋体"/>
      <w:sz w:val="21"/>
    </w:rPr>
  </w:style>
  <w:style w:type="table" w:styleId="25">
    <w:name w:val="Table Grid"/>
    <w:basedOn w:val="24"/>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Table Theme"/>
    <w:basedOn w:val="24"/>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locked/>
    <w:uiPriority w:val="0"/>
    <w:rPr>
      <w:b/>
    </w:rPr>
  </w:style>
  <w:style w:type="character" w:styleId="29">
    <w:name w:val="page number"/>
    <w:basedOn w:val="27"/>
    <w:autoRedefine/>
    <w:qFormat/>
    <w:locked/>
    <w:uiPriority w:val="0"/>
  </w:style>
  <w:style w:type="character" w:styleId="30">
    <w:name w:val="Hyperlink"/>
    <w:autoRedefine/>
    <w:unhideWhenUsed/>
    <w:qFormat/>
    <w:locked/>
    <w:uiPriority w:val="99"/>
    <w:rPr>
      <w:color w:val="0563C1"/>
      <w:u w:val="single"/>
    </w:rPr>
  </w:style>
  <w:style w:type="character" w:styleId="31">
    <w:name w:val="annotation reference"/>
    <w:autoRedefine/>
    <w:semiHidden/>
    <w:qFormat/>
    <w:uiPriority w:val="0"/>
    <w:rPr>
      <w:sz w:val="21"/>
    </w:rPr>
  </w:style>
  <w:style w:type="paragraph" w:customStyle="1" w:styleId="32">
    <w:name w:val="Default"/>
    <w:basedOn w:val="6"/>
    <w:next w:val="23"/>
    <w:link w:val="71"/>
    <w:autoRedefine/>
    <w:qFormat/>
    <w:uiPriority w:val="0"/>
    <w:pPr>
      <w:autoSpaceDE w:val="0"/>
      <w:autoSpaceDN w:val="0"/>
      <w:adjustRightInd w:val="0"/>
    </w:pPr>
    <w:rPr>
      <w:rFonts w:ascii="宋体" w:hAnsi="Courier New"/>
      <w:color w:val="000000"/>
      <w:sz w:val="24"/>
    </w:rPr>
  </w:style>
  <w:style w:type="paragraph" w:customStyle="1" w:styleId="33">
    <w:name w:val="xl27"/>
    <w:next w:val="1"/>
    <w:autoRedefine/>
    <w:unhideWhenUsed/>
    <w:qFormat/>
    <w:uiPriority w:val="0"/>
    <w:pPr>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hint="default" w:ascii="新宋体-18030" w:hAnsi="新宋体-18030" w:eastAsia="新宋体-18030" w:cs="Times New Roman"/>
      <w:sz w:val="21"/>
      <w:lang w:val="en-US" w:eastAsia="zh-CN"/>
    </w:rPr>
  </w:style>
  <w:style w:type="paragraph" w:customStyle="1" w:styleId="34">
    <w:name w:val="纯文本1"/>
    <w:autoRedefine/>
    <w:qFormat/>
    <w:uiPriority w:val="0"/>
    <w:pPr>
      <w:widowControl w:val="0"/>
      <w:jc w:val="both"/>
    </w:pPr>
    <w:rPr>
      <w:rFonts w:hint="eastAsia" w:ascii="宋体" w:hAnsi="Courier New" w:eastAsia="宋体" w:cs="Times New Roman"/>
      <w:kern w:val="2"/>
      <w:sz w:val="21"/>
      <w:szCs w:val="24"/>
      <w:lang w:val="en-US" w:eastAsia="zh-CN" w:bidi="ar-SA"/>
    </w:rPr>
  </w:style>
  <w:style w:type="paragraph" w:customStyle="1" w:styleId="35">
    <w:name w:val="表头"/>
    <w:basedOn w:val="36"/>
    <w:next w:val="1"/>
    <w:link w:val="50"/>
    <w:autoRedefine/>
    <w:qFormat/>
    <w:uiPriority w:val="0"/>
    <w:rPr>
      <w:b/>
      <w:sz w:val="24"/>
    </w:rPr>
  </w:style>
  <w:style w:type="paragraph" w:customStyle="1" w:styleId="36">
    <w:name w:val="表中文字"/>
    <w:basedOn w:val="1"/>
    <w:link w:val="70"/>
    <w:autoRedefine/>
    <w:qFormat/>
    <w:uiPriority w:val="0"/>
    <w:pPr>
      <w:adjustRightInd w:val="0"/>
      <w:snapToGrid w:val="0"/>
      <w:jc w:val="center"/>
    </w:pPr>
    <w:rPr>
      <w:bCs/>
    </w:rPr>
  </w:style>
  <w:style w:type="character" w:customStyle="1" w:styleId="37">
    <w:name w:val="表头 Char"/>
    <w:autoRedefine/>
    <w:qFormat/>
    <w:uiPriority w:val="0"/>
    <w:rPr>
      <w:b/>
      <w:sz w:val="21"/>
    </w:rPr>
  </w:style>
  <w:style w:type="paragraph" w:customStyle="1" w:styleId="38">
    <w:name w:val="Table Paragraph"/>
    <w:basedOn w:val="1"/>
    <w:autoRedefine/>
    <w:qFormat/>
    <w:uiPriority w:val="1"/>
  </w:style>
  <w:style w:type="paragraph" w:customStyle="1" w:styleId="39">
    <w:name w:val="样式 样式 首行缩进:  2 字符 + 首行缩进:  2 字符"/>
    <w:next w:val="16"/>
    <w:autoRedefine/>
    <w:qFormat/>
    <w:uiPriority w:val="0"/>
    <w:pPr>
      <w:widowControl w:val="0"/>
      <w:snapToGrid w:val="0"/>
      <w:spacing w:line="360" w:lineRule="auto"/>
      <w:ind w:firstLine="560" w:firstLineChars="200"/>
      <w:jc w:val="both"/>
    </w:pPr>
    <w:rPr>
      <w:rFonts w:ascii="Times New Roman" w:hAnsi="Times New Roman" w:eastAsia="宋体" w:cs="Times New Roman"/>
      <w:spacing w:val="0"/>
      <w:kern w:val="2"/>
      <w:sz w:val="28"/>
      <w:szCs w:val="24"/>
      <w:lang w:val="en-US" w:eastAsia="zh-CN" w:bidi="ar-SA"/>
    </w:rPr>
  </w:style>
  <w:style w:type="character" w:customStyle="1" w:styleId="40">
    <w:name w:val="纯文本 字符1"/>
    <w:link w:val="8"/>
    <w:autoRedefine/>
    <w:qFormat/>
    <w:uiPriority w:val="0"/>
    <w:rPr>
      <w:rFonts w:ascii="宋体" w:hAnsi="Courier New"/>
      <w:kern w:val="2"/>
      <w:sz w:val="15"/>
    </w:rPr>
  </w:style>
  <w:style w:type="character" w:customStyle="1" w:styleId="41">
    <w:name w:val="font01"/>
    <w:basedOn w:val="27"/>
    <w:autoRedefine/>
    <w:qFormat/>
    <w:uiPriority w:val="0"/>
    <w:rPr>
      <w:rFonts w:hint="default" w:ascii="Times New Roman" w:hAnsi="Times New Roman" w:cs="Times New Roman"/>
      <w:color w:val="000000"/>
      <w:sz w:val="21"/>
      <w:szCs w:val="21"/>
      <w:u w:val="none"/>
      <w:vertAlign w:val="subscript"/>
    </w:rPr>
  </w:style>
  <w:style w:type="character" w:customStyle="1" w:styleId="42">
    <w:name w:val="正文文本 字符"/>
    <w:link w:val="6"/>
    <w:autoRedefine/>
    <w:qFormat/>
    <w:locked/>
    <w:uiPriority w:val="0"/>
    <w:rPr>
      <w:sz w:val="18"/>
    </w:rPr>
  </w:style>
  <w:style w:type="character" w:customStyle="1" w:styleId="43">
    <w:name w:val="表文字 Char"/>
    <w:link w:val="44"/>
    <w:autoRedefine/>
    <w:qFormat/>
    <w:uiPriority w:val="0"/>
    <w:rPr>
      <w:kern w:val="2"/>
      <w:sz w:val="21"/>
    </w:rPr>
  </w:style>
  <w:style w:type="paragraph" w:customStyle="1" w:styleId="44">
    <w:name w:val="表文字"/>
    <w:basedOn w:val="1"/>
    <w:link w:val="43"/>
    <w:autoRedefine/>
    <w:qFormat/>
    <w:uiPriority w:val="0"/>
    <w:pPr>
      <w:widowControl/>
      <w:jc w:val="center"/>
    </w:pPr>
    <w:rPr>
      <w:szCs w:val="20"/>
    </w:rPr>
  </w:style>
  <w:style w:type="character" w:customStyle="1" w:styleId="45">
    <w:name w:val="普通(网站) 字符"/>
    <w:link w:val="20"/>
    <w:autoRedefine/>
    <w:qFormat/>
    <w:locked/>
    <w:uiPriority w:val="0"/>
    <w:rPr>
      <w:rFonts w:ascii="宋体" w:hAnsi="宋体" w:eastAsia="宋体"/>
      <w:sz w:val="24"/>
    </w:rPr>
  </w:style>
  <w:style w:type="character" w:customStyle="1" w:styleId="46">
    <w:name w:val="无间隔 字符"/>
    <w:link w:val="47"/>
    <w:autoRedefine/>
    <w:qFormat/>
    <w:uiPriority w:val="1"/>
    <w:rPr>
      <w:rFonts w:ascii="Calibri" w:hAnsi="Calibri"/>
      <w:kern w:val="2"/>
      <w:sz w:val="21"/>
      <w:szCs w:val="22"/>
    </w:rPr>
  </w:style>
  <w:style w:type="paragraph" w:styleId="47">
    <w:name w:val="No Spacing"/>
    <w:link w:val="46"/>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48">
    <w:name w:val="表中字体 字符"/>
    <w:link w:val="49"/>
    <w:autoRedefine/>
    <w:qFormat/>
    <w:uiPriority w:val="0"/>
    <w:rPr>
      <w:spacing w:val="4"/>
      <w:w w:val="90"/>
      <w:kern w:val="2"/>
      <w:sz w:val="21"/>
      <w:szCs w:val="24"/>
    </w:rPr>
  </w:style>
  <w:style w:type="paragraph" w:customStyle="1" w:styleId="49">
    <w:name w:val="表中字体"/>
    <w:basedOn w:val="36"/>
    <w:next w:val="36"/>
    <w:link w:val="48"/>
    <w:autoRedefine/>
    <w:qFormat/>
    <w:uiPriority w:val="0"/>
    <w:pPr>
      <w:adjustRightInd/>
      <w:snapToGrid/>
    </w:pPr>
    <w:rPr>
      <w:bCs w:val="0"/>
      <w:spacing w:val="4"/>
      <w:w w:val="90"/>
    </w:rPr>
  </w:style>
  <w:style w:type="character" w:customStyle="1" w:styleId="50">
    <w:name w:val="表头 字符"/>
    <w:link w:val="35"/>
    <w:autoRedefine/>
    <w:qFormat/>
    <w:uiPriority w:val="0"/>
    <w:rPr>
      <w:b/>
      <w:bCs/>
      <w:kern w:val="2"/>
      <w:sz w:val="24"/>
      <w:szCs w:val="24"/>
    </w:rPr>
  </w:style>
  <w:style w:type="character" w:customStyle="1" w:styleId="51">
    <w:name w:val="页脚 字符"/>
    <w:autoRedefine/>
    <w:qFormat/>
    <w:uiPriority w:val="99"/>
  </w:style>
  <w:style w:type="character" w:customStyle="1" w:styleId="52">
    <w:name w:val="正文文本 2 字符"/>
    <w:link w:val="19"/>
    <w:autoRedefine/>
    <w:qFormat/>
    <w:uiPriority w:val="0"/>
    <w:rPr>
      <w:kern w:val="2"/>
      <w:sz w:val="21"/>
      <w:szCs w:val="24"/>
    </w:rPr>
  </w:style>
  <w:style w:type="character" w:customStyle="1" w:styleId="53">
    <w:name w:val="HJ-正文 Char"/>
    <w:link w:val="54"/>
    <w:autoRedefine/>
    <w:qFormat/>
    <w:locked/>
    <w:uiPriority w:val="0"/>
    <w:rPr>
      <w:kern w:val="2"/>
      <w:sz w:val="24"/>
      <w:szCs w:val="21"/>
      <w:lang w:eastAsia="en-US"/>
    </w:rPr>
  </w:style>
  <w:style w:type="paragraph" w:customStyle="1" w:styleId="54">
    <w:name w:val="HJ-正文"/>
    <w:basedOn w:val="1"/>
    <w:link w:val="53"/>
    <w:autoRedefine/>
    <w:qFormat/>
    <w:uiPriority w:val="0"/>
    <w:pPr>
      <w:spacing w:line="360" w:lineRule="auto"/>
      <w:ind w:firstLine="200" w:firstLineChars="200"/>
      <w:jc w:val="left"/>
    </w:pPr>
    <w:rPr>
      <w:sz w:val="24"/>
      <w:szCs w:val="21"/>
      <w:lang w:eastAsia="en-US"/>
    </w:rPr>
  </w:style>
  <w:style w:type="character" w:customStyle="1" w:styleId="55">
    <w:name w:val="表格 Char"/>
    <w:link w:val="56"/>
    <w:autoRedefine/>
    <w:qFormat/>
    <w:locked/>
    <w:uiPriority w:val="0"/>
    <w:rPr>
      <w:rFonts w:ascii="宋体"/>
      <w:sz w:val="21"/>
    </w:rPr>
  </w:style>
  <w:style w:type="paragraph" w:customStyle="1" w:styleId="56">
    <w:name w:val="表格"/>
    <w:basedOn w:val="1"/>
    <w:next w:val="1"/>
    <w:link w:val="55"/>
    <w:autoRedefine/>
    <w:qFormat/>
    <w:uiPriority w:val="0"/>
    <w:pPr>
      <w:adjustRightInd w:val="0"/>
      <w:snapToGrid w:val="0"/>
      <w:spacing w:beforeLines="10" w:afterLines="10" w:line="259" w:lineRule="auto"/>
      <w:jc w:val="center"/>
    </w:pPr>
    <w:rPr>
      <w:rFonts w:ascii="宋体"/>
      <w:kern w:val="0"/>
      <w:szCs w:val="20"/>
    </w:rPr>
  </w:style>
  <w:style w:type="character" w:customStyle="1" w:styleId="57">
    <w:name w:val="fontstyle21"/>
    <w:autoRedefine/>
    <w:qFormat/>
    <w:uiPriority w:val="0"/>
    <w:rPr>
      <w:rFonts w:hint="default" w:ascii="TimesNewRomanPSMT" w:hAnsi="TimesNewRomanPSMT"/>
      <w:color w:val="000000"/>
      <w:sz w:val="22"/>
      <w:szCs w:val="22"/>
    </w:rPr>
  </w:style>
  <w:style w:type="character" w:customStyle="1" w:styleId="58">
    <w:name w:val="批注框文本 字符"/>
    <w:link w:val="13"/>
    <w:autoRedefine/>
    <w:semiHidden/>
    <w:qFormat/>
    <w:locked/>
    <w:uiPriority w:val="0"/>
    <w:rPr>
      <w:rFonts w:ascii="Times New Roman" w:hAnsi="Times New Roman" w:eastAsia="宋体"/>
      <w:sz w:val="18"/>
    </w:rPr>
  </w:style>
  <w:style w:type="character" w:customStyle="1" w:styleId="59">
    <w:name w:val="正文文本缩进 字符"/>
    <w:link w:val="7"/>
    <w:autoRedefine/>
    <w:semiHidden/>
    <w:qFormat/>
    <w:locked/>
    <w:uiPriority w:val="0"/>
    <w:rPr>
      <w:rFonts w:ascii="Times New Roman" w:hAnsi="Times New Roman" w:eastAsia="宋体"/>
      <w:sz w:val="24"/>
    </w:rPr>
  </w:style>
  <w:style w:type="character" w:customStyle="1" w:styleId="60">
    <w:name w:val="font21"/>
    <w:basedOn w:val="27"/>
    <w:autoRedefine/>
    <w:qFormat/>
    <w:uiPriority w:val="0"/>
    <w:rPr>
      <w:rFonts w:hint="default" w:ascii="Times New Roman" w:hAnsi="Times New Roman" w:cs="Times New Roman"/>
      <w:color w:val="000000"/>
      <w:sz w:val="21"/>
      <w:szCs w:val="21"/>
      <w:u w:val="none"/>
    </w:rPr>
  </w:style>
  <w:style w:type="character" w:customStyle="1" w:styleId="61">
    <w:name w:val="正文文本缩进 3 字符"/>
    <w:link w:val="17"/>
    <w:autoRedefine/>
    <w:qFormat/>
    <w:uiPriority w:val="0"/>
    <w:rPr>
      <w:kern w:val="2"/>
      <w:sz w:val="16"/>
      <w:szCs w:val="16"/>
    </w:rPr>
  </w:style>
  <w:style w:type="character" w:customStyle="1" w:styleId="62">
    <w:name w:val="正文lly Char Char"/>
    <w:link w:val="63"/>
    <w:autoRedefine/>
    <w:qFormat/>
    <w:uiPriority w:val="0"/>
    <w:rPr>
      <w:color w:val="000000"/>
      <w:kern w:val="2"/>
      <w:sz w:val="24"/>
      <w:szCs w:val="24"/>
    </w:rPr>
  </w:style>
  <w:style w:type="paragraph" w:customStyle="1" w:styleId="63">
    <w:name w:val="正文lly"/>
    <w:basedOn w:val="6"/>
    <w:next w:val="1"/>
    <w:link w:val="62"/>
    <w:autoRedefine/>
    <w:qFormat/>
    <w:uiPriority w:val="0"/>
    <w:pPr>
      <w:widowControl w:val="0"/>
      <w:wordWrap w:val="0"/>
      <w:snapToGrid/>
      <w:spacing w:before="0" w:after="0" w:line="360" w:lineRule="auto"/>
      <w:ind w:right="0" w:firstLine="480" w:firstLineChars="200"/>
      <w:jc w:val="left"/>
    </w:pPr>
    <w:rPr>
      <w:color w:val="000000"/>
      <w:kern w:val="2"/>
      <w:sz w:val="24"/>
      <w:szCs w:val="24"/>
    </w:rPr>
  </w:style>
  <w:style w:type="character" w:customStyle="1" w:styleId="64">
    <w:name w:val="NormalCharacter"/>
    <w:autoRedefine/>
    <w:semiHidden/>
    <w:qFormat/>
    <w:uiPriority w:val="0"/>
  </w:style>
  <w:style w:type="character" w:customStyle="1" w:styleId="65">
    <w:name w:val="批注文字 字符"/>
    <w:link w:val="5"/>
    <w:autoRedefine/>
    <w:qFormat/>
    <w:locked/>
    <w:uiPriority w:val="0"/>
    <w:rPr>
      <w:rFonts w:ascii="Times New Roman" w:hAnsi="Times New Roman" w:eastAsia="宋体"/>
      <w:sz w:val="24"/>
    </w:rPr>
  </w:style>
  <w:style w:type="character" w:customStyle="1" w:styleId="66">
    <w:name w:val="[正文格式] Char"/>
    <w:link w:val="67"/>
    <w:autoRedefine/>
    <w:qFormat/>
    <w:locked/>
    <w:uiPriority w:val="0"/>
    <w:rPr>
      <w:rFonts w:ascii="宋体" w:hAnsi="宋体" w:cs="宋体"/>
      <w:kern w:val="2"/>
      <w:sz w:val="24"/>
    </w:rPr>
  </w:style>
  <w:style w:type="paragraph" w:customStyle="1" w:styleId="67">
    <w:name w:val="[正文格式]"/>
    <w:basedOn w:val="1"/>
    <w:link w:val="66"/>
    <w:autoRedefine/>
    <w:qFormat/>
    <w:uiPriority w:val="0"/>
    <w:pPr>
      <w:spacing w:line="440" w:lineRule="exact"/>
      <w:ind w:firstLine="500" w:firstLineChars="200"/>
    </w:pPr>
    <w:rPr>
      <w:rFonts w:ascii="宋体" w:hAnsi="宋体" w:cs="宋体"/>
      <w:sz w:val="24"/>
      <w:szCs w:val="20"/>
    </w:rPr>
  </w:style>
  <w:style w:type="character" w:customStyle="1" w:styleId="68">
    <w:name w:val="纯文本 字符"/>
    <w:autoRedefine/>
    <w:qFormat/>
    <w:uiPriority w:val="0"/>
    <w:rPr>
      <w:rFonts w:ascii="宋体" w:hAnsi="Courier New" w:cs="Courier New"/>
      <w:kern w:val="2"/>
      <w:sz w:val="21"/>
      <w:szCs w:val="21"/>
    </w:rPr>
  </w:style>
  <w:style w:type="character" w:customStyle="1" w:styleId="69">
    <w:name w:val="页脚 字符1"/>
    <w:link w:val="14"/>
    <w:autoRedefine/>
    <w:qFormat/>
    <w:locked/>
    <w:uiPriority w:val="99"/>
    <w:rPr>
      <w:sz w:val="18"/>
    </w:rPr>
  </w:style>
  <w:style w:type="character" w:customStyle="1" w:styleId="70">
    <w:name w:val="表中文字 字符"/>
    <w:link w:val="36"/>
    <w:autoRedefine/>
    <w:qFormat/>
    <w:uiPriority w:val="0"/>
    <w:rPr>
      <w:bCs/>
      <w:kern w:val="2"/>
      <w:sz w:val="21"/>
      <w:szCs w:val="24"/>
    </w:rPr>
  </w:style>
  <w:style w:type="character" w:customStyle="1" w:styleId="71">
    <w:name w:val="Default Char Char"/>
    <w:link w:val="32"/>
    <w:autoRedefine/>
    <w:qFormat/>
    <w:uiPriority w:val="0"/>
    <w:rPr>
      <w:rFonts w:ascii="宋体" w:hAnsi="Courier New"/>
      <w:color w:val="000000"/>
      <w:kern w:val="2"/>
      <w:sz w:val="24"/>
      <w:szCs w:val="24"/>
    </w:rPr>
  </w:style>
  <w:style w:type="character" w:customStyle="1" w:styleId="72">
    <w:name w:val="正文文本 字符1"/>
    <w:autoRedefine/>
    <w:semiHidden/>
    <w:qFormat/>
    <w:uiPriority w:val="0"/>
    <w:rPr>
      <w:rFonts w:ascii="Times New Roman" w:hAnsi="Times New Roman" w:eastAsia="宋体"/>
      <w:sz w:val="24"/>
    </w:rPr>
  </w:style>
  <w:style w:type="character" w:customStyle="1" w:styleId="73">
    <w:name w:val="标题2 字符"/>
    <w:link w:val="74"/>
    <w:autoRedefine/>
    <w:qFormat/>
    <w:uiPriority w:val="0"/>
    <w:rPr>
      <w:rFonts w:ascii="宋体" w:hAnsi="宋体" w:eastAsia="宋体"/>
      <w:b/>
      <w:snapToGrid/>
      <w:sz w:val="24"/>
      <w:szCs w:val="38"/>
    </w:rPr>
  </w:style>
  <w:style w:type="paragraph" w:customStyle="1" w:styleId="74">
    <w:name w:val="标题2"/>
    <w:basedOn w:val="20"/>
    <w:link w:val="73"/>
    <w:autoRedefine/>
    <w:qFormat/>
    <w:uiPriority w:val="0"/>
    <w:pPr>
      <w:adjustRightInd w:val="0"/>
      <w:snapToGrid w:val="0"/>
      <w:spacing w:before="0" w:beforeAutospacing="0" w:after="0" w:afterAutospacing="0" w:line="360" w:lineRule="auto"/>
      <w:jc w:val="center"/>
      <w:outlineLvl w:val="1"/>
    </w:pPr>
    <w:rPr>
      <w:rFonts w:ascii="Times New Roman" w:hAnsi="Times New Roman"/>
      <w:b/>
      <w:snapToGrid w:val="0"/>
      <w:szCs w:val="38"/>
    </w:rPr>
  </w:style>
  <w:style w:type="character" w:customStyle="1" w:styleId="75">
    <w:name w:val="fontstyle01"/>
    <w:autoRedefine/>
    <w:qFormat/>
    <w:uiPriority w:val="0"/>
    <w:rPr>
      <w:rFonts w:hint="eastAsia" w:ascii="宋体" w:hAnsi="宋体" w:eastAsia="宋体"/>
      <w:color w:val="000000"/>
      <w:sz w:val="24"/>
      <w:szCs w:val="24"/>
    </w:rPr>
  </w:style>
  <w:style w:type="character" w:customStyle="1" w:styleId="76">
    <w:name w:val="日期 字符"/>
    <w:autoRedefine/>
    <w:semiHidden/>
    <w:qFormat/>
    <w:uiPriority w:val="0"/>
    <w:rPr>
      <w:rFonts w:ascii="Times New Roman" w:hAnsi="Times New Roman" w:eastAsia="宋体"/>
      <w:sz w:val="24"/>
    </w:rPr>
  </w:style>
  <w:style w:type="character" w:customStyle="1" w:styleId="77">
    <w:name w:val="页眉 字符"/>
    <w:link w:val="15"/>
    <w:autoRedefine/>
    <w:qFormat/>
    <w:locked/>
    <w:uiPriority w:val="0"/>
    <w:rPr>
      <w:sz w:val="18"/>
    </w:rPr>
  </w:style>
  <w:style w:type="character" w:customStyle="1" w:styleId="78">
    <w:name w:val="批注文字 字符1"/>
    <w:autoRedefine/>
    <w:semiHidden/>
    <w:qFormat/>
    <w:uiPriority w:val="0"/>
    <w:rPr>
      <w:rFonts w:ascii="Times New Roman" w:hAnsi="Times New Roman" w:eastAsia="宋体"/>
      <w:sz w:val="24"/>
    </w:rPr>
  </w:style>
  <w:style w:type="character" w:customStyle="1" w:styleId="79">
    <w:name w:val="报告正文 Char"/>
    <w:link w:val="80"/>
    <w:autoRedefine/>
    <w:qFormat/>
    <w:uiPriority w:val="0"/>
    <w:rPr>
      <w:rFonts w:ascii="宋体"/>
      <w:kern w:val="2"/>
      <w:sz w:val="24"/>
    </w:rPr>
  </w:style>
  <w:style w:type="paragraph" w:customStyle="1" w:styleId="80">
    <w:name w:val="报告正文"/>
    <w:basedOn w:val="1"/>
    <w:link w:val="79"/>
    <w:autoRedefine/>
    <w:qFormat/>
    <w:uiPriority w:val="0"/>
    <w:pPr>
      <w:adjustRightInd w:val="0"/>
      <w:snapToGrid w:val="0"/>
      <w:spacing w:line="360" w:lineRule="auto"/>
      <w:ind w:firstLine="200" w:firstLineChars="200"/>
    </w:pPr>
    <w:rPr>
      <w:rFonts w:ascii="宋体"/>
      <w:sz w:val="24"/>
      <w:szCs w:val="20"/>
    </w:rPr>
  </w:style>
  <w:style w:type="character" w:customStyle="1" w:styleId="81">
    <w:name w:val="日期 字符1"/>
    <w:link w:val="11"/>
    <w:autoRedefine/>
    <w:qFormat/>
    <w:locked/>
    <w:uiPriority w:val="0"/>
    <w:rPr>
      <w:rFonts w:ascii="Times New Roman" w:hAnsi="Times New Roman" w:eastAsia="宋体"/>
      <w:sz w:val="24"/>
    </w:rPr>
  </w:style>
  <w:style w:type="character" w:customStyle="1" w:styleId="82">
    <w:name w:val="批注主题 字符"/>
    <w:link w:val="21"/>
    <w:autoRedefine/>
    <w:semiHidden/>
    <w:qFormat/>
    <w:locked/>
    <w:uiPriority w:val="0"/>
    <w:rPr>
      <w:rFonts w:ascii="Times New Roman" w:hAnsi="Times New Roman" w:eastAsia="宋体"/>
      <w:b/>
      <w:kern w:val="2"/>
      <w:sz w:val="24"/>
    </w:rPr>
  </w:style>
  <w:style w:type="character" w:customStyle="1" w:styleId="83">
    <w:name w:val="font11"/>
    <w:basedOn w:val="27"/>
    <w:autoRedefine/>
    <w:qFormat/>
    <w:uiPriority w:val="0"/>
    <w:rPr>
      <w:rFonts w:hint="eastAsia" w:ascii="宋体" w:hAnsi="宋体" w:eastAsia="宋体" w:cs="宋体"/>
      <w:color w:val="000000"/>
      <w:sz w:val="21"/>
      <w:szCs w:val="21"/>
      <w:u w:val="none"/>
    </w:rPr>
  </w:style>
  <w:style w:type="character" w:customStyle="1" w:styleId="84">
    <w:name w:val="正文 首行缩进 Char1"/>
    <w:link w:val="85"/>
    <w:autoRedefine/>
    <w:qFormat/>
    <w:uiPriority w:val="0"/>
    <w:rPr>
      <w:rFonts w:cs="宋体"/>
      <w:sz w:val="21"/>
    </w:rPr>
  </w:style>
  <w:style w:type="paragraph" w:customStyle="1" w:styleId="85">
    <w:name w:val="正文 首行缩进"/>
    <w:basedOn w:val="1"/>
    <w:link w:val="84"/>
    <w:autoRedefine/>
    <w:qFormat/>
    <w:uiPriority w:val="0"/>
    <w:pPr>
      <w:spacing w:line="360" w:lineRule="auto"/>
      <w:ind w:firstLine="200" w:firstLineChars="200"/>
    </w:pPr>
    <w:rPr>
      <w:rFonts w:cs="宋体"/>
      <w:kern w:val="0"/>
      <w:szCs w:val="20"/>
    </w:rPr>
  </w:style>
  <w:style w:type="paragraph" w:customStyle="1" w:styleId="86">
    <w:name w:val="western"/>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表格内文字"/>
    <w:basedOn w:val="1"/>
    <w:next w:val="1"/>
    <w:autoRedefine/>
    <w:qFormat/>
    <w:uiPriority w:val="0"/>
    <w:pPr>
      <w:jc w:val="center"/>
    </w:pPr>
    <w:rPr>
      <w:spacing w:val="1"/>
      <w:kern w:val="0"/>
      <w:sz w:val="21"/>
      <w:szCs w:val="24"/>
    </w:rPr>
  </w:style>
  <w:style w:type="paragraph" w:customStyle="1" w:styleId="88">
    <w:name w:val="1正文"/>
    <w:autoRedefine/>
    <w:qFormat/>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9">
    <w:name w:val="表格文字啊啊"/>
    <w:basedOn w:val="1"/>
    <w:autoRedefine/>
    <w:qFormat/>
    <w:uiPriority w:val="0"/>
    <w:pPr>
      <w:tabs>
        <w:tab w:val="left" w:pos="1960"/>
      </w:tabs>
      <w:adjustRightInd w:val="0"/>
      <w:snapToGrid w:val="0"/>
      <w:jc w:val="center"/>
    </w:pPr>
    <w:rPr>
      <w:kern w:val="0"/>
      <w:szCs w:val="21"/>
      <w:lang w:val="zh-CN"/>
    </w:rPr>
  </w:style>
  <w:style w:type="paragraph" w:customStyle="1" w:styleId="90">
    <w:name w:val="_Style 83"/>
    <w:basedOn w:val="2"/>
    <w:next w:val="1"/>
    <w:autoRedefine/>
    <w:qFormat/>
    <w:uiPriority w:val="39"/>
    <w:pPr>
      <w:keepLines/>
      <w:widowControl/>
      <w:overflowPunct/>
      <w:snapToGrid/>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9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表头样式"/>
    <w:basedOn w:val="1"/>
    <w:next w:val="1"/>
    <w:autoRedefine/>
    <w:qFormat/>
    <w:uiPriority w:val="0"/>
    <w:pPr>
      <w:snapToGrid w:val="0"/>
      <w:jc w:val="center"/>
    </w:pPr>
    <w:rPr>
      <w:rFonts w:eastAsia="楷体_GB2312"/>
      <w:b/>
      <w:sz w:val="24"/>
    </w:rPr>
  </w:style>
  <w:style w:type="paragraph" w:customStyle="1" w:styleId="93">
    <w:name w:val="lh-表格文字-报告表"/>
    <w:autoRedefine/>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94">
    <w:name w:val="1表格字体"/>
    <w:basedOn w:val="1"/>
    <w:autoRedefine/>
    <w:qFormat/>
    <w:uiPriority w:val="0"/>
    <w:pPr>
      <w:adjustRightInd w:val="0"/>
      <w:jc w:val="center"/>
    </w:pPr>
  </w:style>
  <w:style w:type="paragraph" w:customStyle="1" w:styleId="95">
    <w:name w:val="表内字体"/>
    <w:basedOn w:val="1"/>
    <w:autoRedefine/>
    <w:qFormat/>
    <w:uiPriority w:val="0"/>
    <w:pPr>
      <w:adjustRightInd w:val="0"/>
      <w:snapToGrid w:val="0"/>
      <w:jc w:val="center"/>
      <w:textAlignment w:val="baseline"/>
    </w:pPr>
    <w:rPr>
      <w:kern w:val="0"/>
      <w:sz w:val="18"/>
      <w:szCs w:val="18"/>
    </w:rPr>
  </w:style>
  <w:style w:type="paragraph" w:customStyle="1" w:styleId="96">
    <w:name w:val="默认段落字体 Para Char Char Char Char"/>
    <w:basedOn w:val="1"/>
    <w:autoRedefine/>
    <w:qFormat/>
    <w:uiPriority w:val="0"/>
    <w:rPr>
      <w:sz w:val="24"/>
    </w:rPr>
  </w:style>
  <w:style w:type="paragraph" w:customStyle="1" w:styleId="97">
    <w:name w:val="样式 正文文本缩进 + 行距: 1.5 倍行距"/>
    <w:basedOn w:val="7"/>
    <w:autoRedefine/>
    <w:qFormat/>
    <w:uiPriority w:val="0"/>
    <w:pPr>
      <w:spacing w:after="120" w:line="360" w:lineRule="auto"/>
      <w:ind w:left="90" w:leftChars="32" w:firstLine="560" w:firstLineChars="200"/>
    </w:pPr>
    <w:rPr>
      <w:rFonts w:cs="宋体"/>
    </w:rPr>
  </w:style>
  <w:style w:type="paragraph" w:customStyle="1" w:styleId="98">
    <w:name w:val="表头图注"/>
    <w:basedOn w:val="1"/>
    <w:autoRedefine/>
    <w:qFormat/>
    <w:uiPriority w:val="0"/>
    <w:pPr>
      <w:spacing w:line="240" w:lineRule="auto"/>
      <w:ind w:firstLine="200" w:firstLineChars="200"/>
      <w:jc w:val="center"/>
    </w:pPr>
    <w:rPr>
      <w:rFonts w:ascii="Times New Roman" w:hAnsi="Times New Roman" w:eastAsia="宋体"/>
      <w:b/>
      <w:sz w:val="24"/>
      <w:szCs w:val="22"/>
    </w:rPr>
  </w:style>
  <w:style w:type="paragraph" w:customStyle="1" w:styleId="99">
    <w:name w:val="_Style 9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00">
    <w:name w:val="正文_8"/>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01">
    <w:name w:val="正文_9"/>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02">
    <w:name w:val="表格内容+小五"/>
    <w:basedOn w:val="47"/>
    <w:autoRedefine/>
    <w:qFormat/>
    <w:uiPriority w:val="0"/>
    <w:pPr>
      <w:widowControl/>
      <w:spacing w:line="280" w:lineRule="exact"/>
      <w:jc w:val="center"/>
    </w:pPr>
    <w:rPr>
      <w:rFonts w:ascii="Times New Roman" w:hAnsi="Times New Roman"/>
      <w:kern w:val="0"/>
      <w:szCs w:val="20"/>
    </w:rPr>
  </w:style>
  <w:style w:type="paragraph" w:customStyle="1" w:styleId="103">
    <w:name w:val="0表头唐"/>
    <w:basedOn w:val="1"/>
    <w:autoRedefine/>
    <w:qFormat/>
    <w:uiPriority w:val="0"/>
    <w:pPr>
      <w:jc w:val="center"/>
    </w:pPr>
    <w:rPr>
      <w:b/>
    </w:rPr>
  </w:style>
  <w:style w:type="paragraph" w:customStyle="1" w:styleId="104">
    <w:name w:val="正文_7"/>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05">
    <w:name w:val="lh-表题--报告表"/>
    <w:autoRedefine/>
    <w:qFormat/>
    <w:uiPriority w:val="0"/>
    <w:pPr>
      <w:keepNext/>
      <w:widowControl/>
      <w:numPr>
        <w:ilvl w:val="0"/>
        <w:numId w:val="2"/>
      </w:numPr>
      <w:spacing w:before="156" w:beforeLines="50"/>
      <w:ind w:left="0" w:firstLine="0"/>
      <w:jc w:val="center"/>
    </w:pPr>
    <w:rPr>
      <w:rFonts w:ascii="Times New Roman" w:hAnsi="Times New Roman" w:eastAsia="宋体" w:cs="Times New Roman"/>
      <w:snapToGrid w:val="0"/>
      <w:kern w:val="0"/>
      <w:sz w:val="24"/>
      <w:szCs w:val="21"/>
      <w:lang w:val="en-US" w:eastAsia="zh-CN" w:bidi="ar-SA"/>
    </w:rPr>
  </w:style>
  <w:style w:type="paragraph" w:customStyle="1" w:styleId="106">
    <w:name w:val="3"/>
    <w:basedOn w:val="1"/>
    <w:autoRedefine/>
    <w:qFormat/>
    <w:uiPriority w:val="0"/>
    <w:pPr>
      <w:widowControl/>
      <w:spacing w:after="160" w:line="240" w:lineRule="exact"/>
      <w:jc w:val="left"/>
    </w:pPr>
  </w:style>
  <w:style w:type="paragraph" w:customStyle="1" w:styleId="107">
    <w:name w:val="Default1"/>
    <w:next w:val="1"/>
    <w:autoRedefine/>
    <w:unhideWhenUsed/>
    <w:qFormat/>
    <w:uiPriority w:val="0"/>
    <w:pPr>
      <w:widowControl w:val="0"/>
      <w:autoSpaceDE w:val="0"/>
      <w:autoSpaceDN w:val="0"/>
    </w:pPr>
    <w:rPr>
      <w:rFonts w:hint="eastAsia" w:ascii="宋体" w:hAnsi="Calibri" w:eastAsia="宋体" w:cs="Times New Roman"/>
      <w:color w:val="000000"/>
      <w:sz w:val="24"/>
      <w:lang w:val="en-US" w:eastAsia="zh-CN" w:bidi="ar-SA"/>
    </w:rPr>
  </w:style>
  <w:style w:type="paragraph" w:customStyle="1" w:styleId="108">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109">
    <w:name w:val="_cyj_正文"/>
    <w:basedOn w:val="1"/>
    <w:autoRedefine/>
    <w:qFormat/>
    <w:uiPriority w:val="0"/>
    <w:pPr>
      <w:spacing w:line="360" w:lineRule="auto"/>
      <w:ind w:firstLine="200" w:firstLineChars="200"/>
    </w:pPr>
    <w:rPr>
      <w:rFonts w:hAnsi="宋体"/>
      <w:sz w:val="24"/>
    </w:rPr>
  </w:style>
  <w:style w:type="table" w:customStyle="1" w:styleId="110">
    <w:name w:val="网格型浅色1"/>
    <w:basedOn w:val="24"/>
    <w:autoRedefine/>
    <w:qFormat/>
    <w:uiPriority w:val="40"/>
    <w:tblPr>
      <w:tblBorders>
        <w:top w:val="single" w:color="auto" w:sz="12" w:space="0"/>
        <w:bottom w:val="single" w:color="auto" w:sz="12" w:space="0"/>
        <w:insideH w:val="single" w:color="auto" w:sz="4" w:space="0"/>
        <w:insideV w:val="single" w:color="auto" w:sz="4" w:space="0"/>
      </w:tblBorders>
    </w:tblPr>
  </w:style>
  <w:style w:type="paragraph" w:customStyle="1" w:styleId="111">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table" w:customStyle="1" w:styleId="112">
    <w:name w:val="Table Normal"/>
    <w:autoRedefine/>
    <w:unhideWhenUsed/>
    <w:qFormat/>
    <w:uiPriority w:val="0"/>
    <w:tblPr>
      <w:tblCellMar>
        <w:top w:w="0" w:type="dxa"/>
        <w:left w:w="0" w:type="dxa"/>
        <w:bottom w:w="0" w:type="dxa"/>
        <w:right w:w="0" w:type="dxa"/>
      </w:tblCellMar>
    </w:tblPr>
  </w:style>
  <w:style w:type="character" w:customStyle="1" w:styleId="113">
    <w:name w:val="font31"/>
    <w:basedOn w:val="27"/>
    <w:autoRedefine/>
    <w:qFormat/>
    <w:uiPriority w:val="0"/>
    <w:rPr>
      <w:rFonts w:hint="default" w:ascii="Times New Roman" w:hAnsi="Times New Roman" w:cs="Times New Roman"/>
      <w:color w:val="000000"/>
      <w:sz w:val="20"/>
      <w:szCs w:val="20"/>
      <w:u w:val="none"/>
    </w:rPr>
  </w:style>
  <w:style w:type="paragraph" w:customStyle="1" w:styleId="114">
    <w:name w:val="表格文字"/>
    <w:next w:val="8"/>
    <w:autoRedefine/>
    <w:qFormat/>
    <w:uiPriority w:val="0"/>
    <w:pPr>
      <w:widowControl/>
      <w:snapToGrid w:val="0"/>
      <w:spacing w:before="60" w:beforeLines="0" w:after="160" w:afterLines="0" w:line="259" w:lineRule="auto"/>
      <w:ind w:right="113" w:firstLine="420" w:firstLineChars="100"/>
      <w:jc w:val="center"/>
    </w:pPr>
    <w:rPr>
      <w:rFonts w:ascii="Times New Roman" w:hAnsi="Times New Roman" w:eastAsia="宋体" w:cs="Times New Roman"/>
      <w:kern w:val="0"/>
      <w:sz w:val="20"/>
      <w:szCs w:val="20"/>
      <w:lang w:val="en-US" w:eastAsia="zh-CN" w:bidi="ar-SA"/>
    </w:rPr>
  </w:style>
  <w:style w:type="character" w:customStyle="1" w:styleId="115">
    <w:name w:val="font41"/>
    <w:basedOn w:val="27"/>
    <w:autoRedefine/>
    <w:qFormat/>
    <w:uiPriority w:val="0"/>
    <w:rPr>
      <w:rFonts w:hint="default" w:ascii="Times New Roman" w:hAnsi="Times New Roman" w:cs="Times New Roman"/>
      <w:color w:val="000000"/>
      <w:sz w:val="21"/>
      <w:szCs w:val="21"/>
      <w:u w:val="none"/>
      <w:vertAlign w:val="subscript"/>
    </w:rPr>
  </w:style>
  <w:style w:type="character" w:customStyle="1" w:styleId="116">
    <w:name w:val="font51"/>
    <w:basedOn w:val="27"/>
    <w:autoRedefine/>
    <w:qFormat/>
    <w:uiPriority w:val="0"/>
    <w:rPr>
      <w:rFonts w:hint="default" w:ascii="Times New Roman" w:hAnsi="Times New Roman" w:cs="Times New Roman"/>
      <w:b/>
      <w:bCs/>
      <w:color w:val="000000"/>
      <w:sz w:val="20"/>
      <w:szCs w:val="20"/>
      <w:u w:val="none"/>
    </w:rPr>
  </w:style>
  <w:style w:type="character" w:customStyle="1" w:styleId="117">
    <w:name w:val="15"/>
    <w:basedOn w:val="27"/>
    <w:autoRedefine/>
    <w:qFormat/>
    <w:uiPriority w:val="0"/>
    <w:rPr>
      <w:rFonts w:hint="default" w:ascii="Times New Roman" w:hAnsi="Times New Roman" w:cs="Times New Roman"/>
      <w:color w:val="000000"/>
      <w:sz w:val="21"/>
      <w:szCs w:val="21"/>
      <w:vertAlign w:val="subscript"/>
    </w:rPr>
  </w:style>
  <w:style w:type="character" w:customStyle="1" w:styleId="118">
    <w:name w:val="10"/>
    <w:basedOn w:val="27"/>
    <w:autoRedefine/>
    <w:qFormat/>
    <w:uiPriority w:val="0"/>
    <w:rPr>
      <w:rFonts w:hint="default" w:ascii="Times New Roman" w:hAnsi="Times New Roman" w:cs="Times New Roman"/>
    </w:rPr>
  </w:style>
  <w:style w:type="character" w:customStyle="1" w:styleId="119">
    <w:name w:val="font61"/>
    <w:basedOn w:val="27"/>
    <w:autoRedefine/>
    <w:qFormat/>
    <w:uiPriority w:val="0"/>
    <w:rPr>
      <w:rFonts w:hint="default" w:ascii="Times New Roman" w:hAnsi="Times New Roman" w:cs="Times New Roman"/>
      <w:color w:val="000000"/>
      <w:sz w:val="21"/>
      <w:szCs w:val="21"/>
      <w:u w:val="none"/>
    </w:rPr>
  </w:style>
  <w:style w:type="paragraph" w:customStyle="1" w:styleId="120">
    <w:name w:val="表格内无样式"/>
    <w:basedOn w:val="6"/>
    <w:autoRedefine/>
    <w:qFormat/>
    <w:uiPriority w:val="0"/>
    <w:pPr>
      <w:spacing w:line="240" w:lineRule="auto"/>
      <w:ind w:firstLine="0" w:firstLineChars="0"/>
    </w:pPr>
    <w:rPr>
      <w:sz w:val="21"/>
    </w:rPr>
  </w:style>
  <w:style w:type="paragraph" w:customStyle="1" w:styleId="121">
    <w:name w:val="AA正文"/>
    <w:autoRedefine/>
    <w:qFormat/>
    <w:uiPriority w:val="0"/>
    <w:pPr>
      <w:widowControl w:val="0"/>
      <w:spacing w:line="520" w:lineRule="exact"/>
      <w:ind w:firstLine="800" w:firstLineChars="200"/>
      <w:jc w:val="both"/>
    </w:pPr>
    <w:rPr>
      <w:rFonts w:ascii="Times New Roman" w:hAnsi="Times New Roman" w:eastAsia="宋体" w:cs="Times New Roman"/>
      <w:kern w:val="2"/>
      <w:sz w:val="24"/>
      <w:szCs w:val="22"/>
      <w:lang w:val="en-US" w:eastAsia="zh-CN" w:bidi="ar-SA"/>
    </w:rPr>
  </w:style>
  <w:style w:type="character" w:customStyle="1" w:styleId="122">
    <w:name w:val="font71"/>
    <w:basedOn w:val="27"/>
    <w:autoRedefine/>
    <w:qFormat/>
    <w:uiPriority w:val="0"/>
    <w:rPr>
      <w:rFonts w:hint="default" w:ascii="Times New Roman" w:hAnsi="Times New Roman" w:cs="Times New Roman"/>
      <w:color w:val="FF0000"/>
      <w:sz w:val="22"/>
      <w:szCs w:val="22"/>
      <w:u w:val="none"/>
    </w:rPr>
  </w:style>
  <w:style w:type="character" w:customStyle="1" w:styleId="123">
    <w:name w:val="font81"/>
    <w:basedOn w:val="27"/>
    <w:autoRedefine/>
    <w:qFormat/>
    <w:uiPriority w:val="0"/>
    <w:rPr>
      <w:rFonts w:hint="default" w:ascii="Times New Roman" w:hAnsi="Times New Roman" w:cs="Times New Roman"/>
      <w:b/>
      <w:bCs/>
      <w:color w:val="000000"/>
      <w:sz w:val="21"/>
      <w:szCs w:val="21"/>
      <w:u w:val="none"/>
    </w:rPr>
  </w:style>
  <w:style w:type="character" w:customStyle="1" w:styleId="124">
    <w:name w:val="font91"/>
    <w:basedOn w:val="27"/>
    <w:autoRedefine/>
    <w:qFormat/>
    <w:uiPriority w:val="0"/>
    <w:rPr>
      <w:rFonts w:hint="default" w:ascii="Times New Roman" w:hAnsi="Times New Roman" w:cs="Times New Roman"/>
      <w:color w:val="000000"/>
      <w:sz w:val="21"/>
      <w:szCs w:val="21"/>
      <w:u w:val="none"/>
      <w:vertAlign w:val="subscript"/>
    </w:rPr>
  </w:style>
  <w:style w:type="paragraph" w:customStyle="1" w:styleId="125">
    <w:name w:val="黄酒表格标题"/>
    <w:autoRedefine/>
    <w:qFormat/>
    <w:uiPriority w:val="0"/>
    <w:pPr>
      <w:tabs>
        <w:tab w:val="left" w:pos="-2848"/>
      </w:tabs>
      <w:jc w:val="center"/>
    </w:pPr>
    <w:rPr>
      <w:rFonts w:ascii="Times New Roman" w:hAnsi="Times New Roman" w:eastAsia="宋体" w:cs="宋体"/>
      <w:b/>
      <w:sz w:val="21"/>
      <w:szCs w:val="21"/>
      <w:lang w:val="en-US" w:eastAsia="zh-CN" w:bidi="ar-SA"/>
    </w:rPr>
  </w:style>
  <w:style w:type="character" w:customStyle="1" w:styleId="126">
    <w:name w:val="样式 正文01 + Times New Roman Char"/>
    <w:link w:val="127"/>
    <w:autoRedefine/>
    <w:qFormat/>
    <w:uiPriority w:val="0"/>
    <w:rPr>
      <w:rFonts w:ascii="Times New Roman" w:hAnsi="Times New Roman" w:eastAsia="宋体" w:cs="Times New Roman"/>
      <w:bCs/>
      <w:kern w:val="2"/>
      <w:sz w:val="28"/>
      <w:szCs w:val="24"/>
      <w:lang w:val="en-US" w:eastAsia="zh-CN" w:bidi="ar-SA"/>
    </w:rPr>
  </w:style>
  <w:style w:type="paragraph" w:customStyle="1" w:styleId="127">
    <w:name w:val="样式 正文01 + Times New Roman"/>
    <w:link w:val="126"/>
    <w:autoRedefine/>
    <w:qFormat/>
    <w:uiPriority w:val="0"/>
    <w:pPr>
      <w:widowControl w:val="0"/>
      <w:ind w:firstLine="0" w:firstLineChars="0"/>
      <w:jc w:val="both"/>
    </w:pPr>
    <w:rPr>
      <w:rFonts w:ascii="Times New Roman" w:hAnsi="Times New Roman" w:eastAsia="宋体" w:cs="Times New Roman"/>
      <w:bCs/>
      <w:kern w:val="2"/>
      <w:sz w:val="28"/>
      <w:szCs w:val="24"/>
      <w:lang w:val="en-US" w:eastAsia="zh-CN" w:bidi="ar-SA"/>
    </w:rPr>
  </w:style>
  <w:style w:type="paragraph" w:customStyle="1" w:styleId="128">
    <w:name w:val="段落"/>
    <w:autoRedefine/>
    <w:qFormat/>
    <w:uiPriority w:val="0"/>
    <w:pPr>
      <w:widowControl w:val="0"/>
      <w:tabs>
        <w:tab w:val="left" w:pos="720"/>
        <w:tab w:val="left" w:pos="900"/>
      </w:tabs>
      <w:spacing w:line="360" w:lineRule="auto"/>
      <w:ind w:firstLine="480" w:firstLineChars="200"/>
      <w:jc w:val="both"/>
    </w:pPr>
    <w:rPr>
      <w:rFonts w:ascii="Times New Roman" w:hAnsi="Times New Roman" w:eastAsia="宋体" w:cs="Times New Roman"/>
      <w:kern w:val="24"/>
      <w:sz w:val="24"/>
      <w:szCs w:val="24"/>
      <w:lang w:val="en-US" w:eastAsia="zh-CN" w:bidi="ar-SA"/>
    </w:rPr>
  </w:style>
  <w:style w:type="character" w:customStyle="1" w:styleId="129">
    <w:name w:val="font101"/>
    <w:basedOn w:val="27"/>
    <w:qFormat/>
    <w:uiPriority w:val="0"/>
    <w:rPr>
      <w:rFonts w:hint="default" w:ascii="Times New Roman" w:hAnsi="Times New Roman" w:cs="Times New Roman"/>
      <w:b/>
      <w:bCs/>
      <w:color w:val="000000"/>
      <w:sz w:val="21"/>
      <w:szCs w:val="21"/>
      <w:u w:val="none"/>
    </w:rPr>
  </w:style>
  <w:style w:type="character" w:customStyle="1" w:styleId="130">
    <w:name w:val="font151"/>
    <w:basedOn w:val="27"/>
    <w:qFormat/>
    <w:uiPriority w:val="0"/>
    <w:rPr>
      <w:rFonts w:hint="default" w:ascii="Times New Roman" w:hAnsi="Times New Roman" w:cs="Times New Roman"/>
      <w:color w:val="000000"/>
      <w:sz w:val="24"/>
      <w:szCs w:val="24"/>
      <w:u w:val="none"/>
    </w:rPr>
  </w:style>
  <w:style w:type="character" w:customStyle="1" w:styleId="131">
    <w:name w:val="font131"/>
    <w:basedOn w:val="27"/>
    <w:qFormat/>
    <w:uiPriority w:val="0"/>
    <w:rPr>
      <w:rFonts w:hint="default" w:ascii="Times New Roman" w:hAnsi="Times New Roman" w:cs="Times New Roman"/>
      <w:color w:val="000000"/>
      <w:sz w:val="21"/>
      <w:szCs w:val="21"/>
      <w:u w:val="none"/>
    </w:rPr>
  </w:style>
  <w:style w:type="character" w:customStyle="1" w:styleId="132">
    <w:name w:val="font141"/>
    <w:basedOn w:val="27"/>
    <w:qFormat/>
    <w:uiPriority w:val="0"/>
    <w:rPr>
      <w:rFonts w:hint="eastAsia" w:ascii="宋体" w:hAnsi="宋体" w:eastAsia="宋体" w:cs="宋体"/>
      <w:color w:val="000000"/>
      <w:sz w:val="21"/>
      <w:szCs w:val="21"/>
      <w:u w:val="none"/>
    </w:rPr>
  </w:style>
  <w:style w:type="paragraph" w:customStyle="1" w:styleId="133">
    <w:name w:val="其他"/>
    <w:qFormat/>
    <w:uiPriority w:val="0"/>
    <w:pPr>
      <w:widowControl w:val="0"/>
      <w:shd w:val="clear" w:color="auto" w:fill="auto"/>
      <w:jc w:val="center"/>
    </w:pPr>
    <w:rPr>
      <w:rFonts w:ascii="宋体" w:hAnsi="宋体" w:eastAsia="宋体" w:cs="宋体"/>
      <w:kern w:val="2"/>
      <w:sz w:val="20"/>
      <w:szCs w:val="20"/>
      <w:u w:val="none"/>
      <w:shd w:val="clear" w:color="auto" w:fill="auto"/>
      <w:lang w:val="en-US" w:eastAsia="zh-CN" w:bidi="ar-SA"/>
    </w:rPr>
  </w:style>
  <w:style w:type="paragraph" w:customStyle="1" w:styleId="134">
    <w:name w:val="正文01"/>
    <w:qFormat/>
    <w:uiPriority w:val="0"/>
    <w:pPr>
      <w:widowControl w:val="0"/>
      <w:ind w:firstLine="480" w:firstLineChars="200"/>
      <w:jc w:val="both"/>
    </w:pPr>
    <w:rPr>
      <w:rFonts w:ascii="Times New Roman" w:hAnsi="Times New Roman" w:eastAsia="宋体" w:cs="Times New Roman"/>
      <w:kern w:val="2"/>
      <w:sz w:val="28"/>
      <w:szCs w:val="24"/>
      <w:lang w:val="en-US" w:eastAsia="zh-CN" w:bidi="ar-SA"/>
    </w:rPr>
  </w:style>
  <w:style w:type="paragraph" w:customStyle="1" w:styleId="135">
    <w:name w:val="表3-1"/>
    <w:qFormat/>
    <w:uiPriority w:val="0"/>
    <w:pPr>
      <w:widowControl/>
      <w:spacing w:beforeLines="50" w:after="100" w:afterAutospacing="1"/>
      <w:jc w:val="center"/>
    </w:pPr>
    <w:rPr>
      <w:rFonts w:ascii="Times New Roman" w:hAnsi="Times New Roman"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I5MjcxNTI0ODE1IiwKCSJHcm91cElkIiA6ICIxMTIyMzQwMDkzIiwKCSJJbWFnZSIgOiAiaVZCT1J3MEtHZ29BQUFBTlNVaEVVZ0FBQXlRQUFBTmhDQVlBQUFBV24zL2JBQUFBQVhOU1IwSUFyczRjNlFBQUlBQkpSRUZVZUp6czNYbDRUR2Y3Qi9Edk9UT1RoQ1FrU0lRaVFTeFJORkZSMU5LK3BTaWxhVXRWUzF0VmxKYTJ0dUxWMm1wcHJTMC9XeTF2YXlsdkVaUVViVzJ0MmhPSkxRaENTa2dpcXl5VG1YTitmOFNjZHlZejJaTTVDZC9QZGJtYy9keGp5Wno3UE05elB3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FKYTd2OEFSczM0RHZjMmhzVUFBQUFBU1VWT1JLNUNZSUk9IiwKCSJUaGVtZSIgOiAiIiwKCSJUeXBlIiA6ICJmbG93IiwKCSJVc2VySWQiIDogIjEwMTEzMDExNTUiLAoJIlZlcnNpb24iIDogIjc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53</Pages>
  <Words>375</Words>
  <Characters>410</Characters>
  <Lines>1</Lines>
  <Paragraphs>1</Paragraphs>
  <TotalTime>84</TotalTime>
  <ScaleCrop>false</ScaleCrop>
  <LinksUpToDate>false</LinksUpToDate>
  <CharactersWithSpaces>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一次能吃五橘子</cp:lastModifiedBy>
  <cp:lastPrinted>2021-12-24T23:53:00Z</cp:lastPrinted>
  <dcterms:modified xsi:type="dcterms:W3CDTF">2025-11-20T01:57:46Z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6000CC3277E74F2CB86145D8CCBC98F7</vt:lpwstr>
  </property>
  <property fmtid="{D5CDD505-2E9C-101B-9397-08002B2CF9AE}" pid="4" name="KSOTemplateDocerSaveRecord">
    <vt:lpwstr>eyJoZGlkIjoiMzZjZmExOTlmZWJlOWI1YjIzMmFjYzY0ZTAwNTU2YTAiLCJ1c2VySWQiOiIxMTQxNzE3ODI3In0=</vt:lpwstr>
  </property>
</Properties>
</file>