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tbl>
      <w:tblPr>
        <w:tblStyle w:val="TableGrid"/>
        <w:tblW w:w="9215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215"/>
      </w:tblGrid>
      <w:tr w:rsidTr="00495E3F">
        <w:tblPrEx>
          <w:tblW w:w="9215" w:type="dxa"/>
          <w:tblInd w:w="-17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cantSplit/>
        </w:trPr>
        <w:tc>
          <w:tcPr>
            <w:tcW w:w="9215" w:type="dxa"/>
            <w:tcBorders>
              <w:tl2br w:val="nil"/>
              <w:tr2bl w:val="nil"/>
            </w:tcBorders>
            <w:vAlign w:val="center"/>
          </w:tcPr>
          <w:p w:rsidR="00B6054C" w:rsidRPr="00346EB0" w:rsidP="00495E3F">
            <w:pPr>
              <w:spacing w:before="240" w:after="60"/>
              <w:jc w:val="center"/>
              <w:outlineLvl w:val="1"/>
              <w:rPr>
                <w:rFonts w:eastAsia="方正小标宋简体"/>
                <w:bCs/>
                <w:w w:val="80"/>
                <w:kern w:val="28"/>
                <w:sz w:val="44"/>
                <w:szCs w:val="44"/>
              </w:rPr>
            </w:pPr>
            <w:r w:rsidRPr="00495E3F">
              <w:rPr>
                <w:rFonts w:eastAsia="方正小标宋简体"/>
                <w:snapToGrid w:val="0"/>
                <w:color w:val="FF0000"/>
                <w:spacing w:val="334"/>
                <w:w w:val="80"/>
                <w:kern w:val="0"/>
                <w:sz w:val="96"/>
                <w:szCs w:val="96"/>
                <w:fitText w:val="8499" w:id="-1183042816"/>
              </w:rPr>
              <w:t>石峰区应急管理局</w:t>
            </w:r>
          </w:p>
        </w:tc>
      </w:tr>
    </w:tbl>
    <w:p w:rsidR="00B6054C" w:rsidP="00495E3F">
      <w:pPr>
        <w:ind w:left="-141" w:leftChars="-67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-261620</wp:posOffset>
            </wp:positionH>
            <wp:positionV relativeFrom="paragraph">
              <wp:posOffset>-1270</wp:posOffset>
            </wp:positionV>
            <wp:extent cx="5949950" cy="80010"/>
            <wp:effectExtent l="0" t="0" r="0" b="0"/>
            <wp:wrapNone/>
            <wp:docPr id="8" name="图片 8" descr="图片上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上 (1)"/>
                    <pic:cNvPicPr/>
                  </pic:nvPicPr>
                  <pic:blipFill>
                    <a:blip xmlns:r="http://schemas.openxmlformats.org/officeDocument/2006/relationships" r:embed="rId5"/>
                    <a:srcRect l="-1078" r="-1078"/>
                    <a:stretch>
                      <a:fillRect/>
                    </a:stretch>
                  </pic:blipFill>
                  <pic:spPr>
                    <a:xfrm>
                      <a:off x="0" y="0"/>
                      <a:ext cx="6653890" cy="8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54C">
      <w:pPr>
        <w:jc w:val="center"/>
        <w:rPr>
          <w:rFonts w:eastAsia="方正小标宋简体"/>
          <w:bCs/>
          <w:kern w:val="28"/>
          <w:sz w:val="44"/>
          <w:szCs w:val="44"/>
        </w:rPr>
      </w:pPr>
      <w:r>
        <w:rPr>
          <w:rFonts w:eastAsia="方正小标宋简体"/>
          <w:bCs/>
          <w:kern w:val="28"/>
          <w:sz w:val="44"/>
          <w:szCs w:val="44"/>
        </w:rPr>
        <w:t>准予行政许可决定书</w:t>
      </w:r>
    </w:p>
    <w:p w:rsidR="00B6054C">
      <w:pPr>
        <w:jc w:val="center"/>
        <w:rPr>
          <w:rFonts w:ascii="仿宋_GB2312" w:eastAsia="仿宋_GB2312" w:hAnsi="仿宋_GB2312" w:cs="仿宋_GB2312" w:hint="eastAsia"/>
          <w:spacing w:val="40"/>
          <w:sz w:val="32"/>
          <w:szCs w:val="32"/>
        </w:rPr>
      </w:pPr>
    </w:p>
    <w:p w:rsidR="00B6054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B6054C">
      <w:pPr>
        <w:wordWrap w:val="0"/>
        <w:topLinePunct/>
        <w:ind w:firstLine="42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申请人（单位名称）：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湖南诚旺化工有限公司</w:t>
      </w:r>
    </w:p>
    <w:p w:rsidR="00B6054C">
      <w:pPr>
        <w:wordWrap w:val="0"/>
        <w:topLinePunct/>
        <w:ind w:firstLine="42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地址（住址）：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湖南省株洲市石峰区铜塘湾街道清霞路1099号恒和工贸总部写字楼1121-2号房</w:t>
      </w:r>
    </w:p>
    <w:p w:rsidR="00B6054C">
      <w:pPr>
        <w:wordWrap w:val="0"/>
        <w:topLinePunct/>
        <w:ind w:firstLine="42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姚双莲</w:t>
      </w:r>
    </w:p>
    <w:p w:rsidR="00B6054C">
      <w:pPr>
        <w:wordWrap w:val="0"/>
        <w:topLinePunct/>
        <w:ind w:firstLine="42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你（单位）向本机关提出的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危险化学品经营许可初领</w:t>
      </w:r>
      <w:r>
        <w:rPr>
          <w:rFonts w:ascii="仿宋_GB2312" w:eastAsia="仿宋_GB2312" w:hAnsi="仿宋_GB2312" w:cs="仿宋_GB2312" w:hint="eastAsia"/>
          <w:sz w:val="32"/>
          <w:szCs w:val="32"/>
        </w:rPr>
        <w:t>许可证申请（受理号：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017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），经审查，符合法定条件，</w:t>
      </w:r>
      <w:r>
        <w:rPr>
          <w:rFonts w:eastAsia="仿宋_GB2312" w:cs="仿宋_GB2312"/>
          <w:color w:val="000000"/>
          <w:sz w:val="32"/>
          <w:szCs w:val="32"/>
        </w:rPr>
        <w:t>根据</w:t>
      </w:r>
      <w:r>
        <w:rPr>
          <w:rFonts w:eastAsia="仿宋_GB2312" w:cs="仿宋_GB2312"/>
          <w:sz w:val="32"/>
          <w:szCs w:val="32"/>
        </w:rPr>
        <w:t>《中华人民共和国行政许可法》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[]</w:t>
      </w:r>
      <w:r>
        <w:rPr>
          <w:rFonts w:eastAsia="仿宋_GB2312" w:cs="仿宋_GB2312"/>
          <w:sz w:val="32"/>
          <w:szCs w:val="32"/>
        </w:rPr>
        <w:t>第三十四条</w:t>
      </w:r>
      <w:r>
        <w:rPr>
          <w:rFonts w:eastAsia="仿宋_GB2312" w:cs="仿宋_GB2312" w:hint="eastAsia"/>
          <w:sz w:val="32"/>
          <w:szCs w:val="32"/>
        </w:rPr>
        <w:t>第二款</w:t>
      </w:r>
      <w:r>
        <w:rPr>
          <w:rFonts w:eastAsia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[]</w:t>
      </w:r>
      <w:r>
        <w:rPr>
          <w:rFonts w:eastAsia="仿宋_GB2312" w:cs="仿宋_GB2312"/>
          <w:sz w:val="32"/>
          <w:szCs w:val="32"/>
        </w:rPr>
        <w:t>三十八条</w:t>
      </w:r>
      <w:r>
        <w:rPr>
          <w:rFonts w:eastAsia="仿宋_GB2312" w:cs="仿宋_GB2312" w:hint="eastAsia"/>
          <w:sz w:val="32"/>
          <w:szCs w:val="32"/>
        </w:rPr>
        <w:t>第一款</w:t>
      </w:r>
      <w:r>
        <w:rPr>
          <w:rFonts w:eastAsia="仿宋_GB2312" w:cs="仿宋_GB2312" w:hint="eastAsia"/>
          <w:sz w:val="32"/>
          <w:szCs w:val="32"/>
        </w:rPr>
        <w:t>以及</w:t>
      </w:r>
      <w:r>
        <w:rPr>
          <w:rFonts w:eastAsia="仿宋_GB2312" w:cs="仿宋_GB2312"/>
          <w:sz w:val="32"/>
          <w:szCs w:val="32"/>
        </w:rPr>
        <w:t>《中华人民共和国安全生产法》第</w:t>
      </w:r>
      <w:r>
        <w:rPr>
          <w:rFonts w:eastAsia="仿宋_GB2312" w:cs="仿宋_GB2312" w:hint="eastAsia"/>
          <w:sz w:val="32"/>
          <w:szCs w:val="32"/>
        </w:rPr>
        <w:t>六</w:t>
      </w:r>
      <w:r>
        <w:rPr>
          <w:rFonts w:eastAsia="仿宋_GB2312" w:cs="仿宋_GB2312"/>
          <w:sz w:val="32"/>
          <w:szCs w:val="32"/>
        </w:rPr>
        <w:t>十</w:t>
      </w:r>
      <w:r>
        <w:rPr>
          <w:rFonts w:eastAsia="仿宋_GB2312" w:cs="仿宋_GB2312" w:hint="eastAsia"/>
          <w:sz w:val="32"/>
          <w:szCs w:val="32"/>
        </w:rPr>
        <w:t>三</w:t>
      </w:r>
      <w:r>
        <w:rPr>
          <w:rFonts w:eastAsia="仿宋_GB2312" w:cs="仿宋_GB2312"/>
          <w:sz w:val="32"/>
          <w:szCs w:val="32"/>
        </w:rPr>
        <w:t>条的规定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，本机关决定准予你单位从事</w:t>
      </w:r>
      <w:r>
        <w:rPr>
          <w:rFonts w:ascii="仿宋_GB2312" w:eastAsia="仿宋_GB2312" w:hAnsi="仿宋_GB2312" w:cs="仿宋_GB2312" w:hint="eastAsia"/>
          <w:sz w:val="32"/>
          <w:szCs w:val="32"/>
        </w:rPr>
        <w:t>危险化学品经营许可初领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活动的行政许可。</w:t>
      </w:r>
    </w:p>
    <w:p w:rsidR="00B6054C">
      <w:pPr>
        <w:widowControl/>
        <w:shd w:val="clear" w:color="auto" w:fill="FFFFFF"/>
        <w:wordWrap w:val="0"/>
        <w:topLinePunct/>
        <w:ind w:firstLine="420" w:firstLineChars="20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许可范围：</w:t>
      </w:r>
    </w:p>
    <w:p w:rsidR="00B6054C">
      <w:pPr>
        <w:widowControl/>
        <w:shd w:val="clear" w:color="auto" w:fill="FFFFFF"/>
        <w:wordWrap w:val="0"/>
        <w:topLinePunct/>
        <w:ind w:firstLine="420" w:firstLineChars="20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有效期：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 w:cs="仿宋_GB2312"/>
          <w:kern w:val="0"/>
          <w:sz w:val="32"/>
          <w:szCs w:val="32"/>
        </w:rPr>
        <w:t>年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eastAsia="仿宋_GB2312" w:cs="仿宋_GB2312"/>
          <w:kern w:val="0"/>
          <w:sz w:val="32"/>
          <w:szCs w:val="32"/>
        </w:rPr>
        <w:t>月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eastAsia="仿宋_GB2312" w:cs="仿宋_GB2312"/>
          <w:kern w:val="0"/>
          <w:sz w:val="32"/>
          <w:szCs w:val="32"/>
        </w:rPr>
        <w:t>日</w:t>
      </w:r>
      <w:r>
        <w:rPr>
          <w:rFonts w:eastAsia="仿宋_GB2312" w:cs="仿宋_GB2312" w:hint="eastAsia"/>
          <w:kern w:val="0"/>
          <w:sz w:val="32"/>
          <w:szCs w:val="32"/>
        </w:rPr>
        <w:t>至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 w:cs="仿宋_GB2312"/>
          <w:kern w:val="0"/>
          <w:sz w:val="32"/>
          <w:szCs w:val="32"/>
        </w:rPr>
        <w:t>年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eastAsia="仿宋_GB2312" w:cs="仿宋_GB2312"/>
          <w:kern w:val="0"/>
          <w:sz w:val="32"/>
          <w:szCs w:val="32"/>
        </w:rPr>
        <w:t>月</w:t>
      </w:r>
      <w:r>
        <w:rPr>
          <w:rFonts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eastAsia="仿宋_GB2312" w:cs="仿宋_GB2312"/>
          <w:kern w:val="0"/>
          <w:sz w:val="32"/>
          <w:szCs w:val="32"/>
        </w:rPr>
        <w:t>日。</w:t>
      </w:r>
    </w:p>
    <w:p w:rsidR="00CB0220" w:rsidP="00CB0220">
      <w:bookmarkStart w:id="0" w:name="_Hlk151108164"/>
    </w:p>
    <w:p w:rsidR="00CB0220" w:rsidP="00CB0220">
      <w:pPr>
        <w:widowControl/>
        <w:shd w:val="clear" w:color="auto" w:fill="FFFFFF"/>
        <w:wordWrap w:val="0"/>
        <w:adjustRightInd w:val="0"/>
        <w:snapToGrid w:val="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200660</wp:posOffset>
                </wp:positionV>
                <wp:extent cx="1028700" cy="2133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70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220" w:rsidP="00CB0220">
                            <w:pPr>
                              <w:rPr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</w:rPr>
                              <w:t>签章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height:16.8pt;margin-left:327.4pt;margin-top:15.8pt;mso-height-percent:0;mso-height-relative:margin;mso-width-percent:0;mso-width-relative:margin;mso-wrap-distance-bottom:0;mso-wrap-distance-left:9.05pt;mso-wrap-distance-right:9.05pt;mso-wrap-distance-top:0;mso-wrap-style:square;position:absolute;v-text-anchor:top;visibility:visible;width:81pt;z-index:-251656192" filled="f" stroked="f" strokeweight="0.5pt">
                <v:textbox>
                  <w:txbxContent>
                    <w:p w:rsidR="00CB0220" w:rsidP="00CB0220">
                      <w:pPr>
                        <w:rPr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Cs w:val="21"/>
                        </w:rPr>
                        <w:t>签章</w:t>
                      </w:r>
                      <w:r>
                        <w:rPr>
                          <w:rFonts w:hint="eastAsia"/>
                          <w:color w:val="FFFFFF" w:themeColor="background1"/>
                          <w:szCs w:val="21"/>
                        </w:rPr>
                        <w:t>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石峰区应急管理局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CB0220" w:rsidP="00CB0220">
      <w:pPr>
        <w:wordWrap w:val="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2025年5月12日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</w:t>
      </w:r>
    </w:p>
    <w:p w:rsidR="00B6054C">
      <w:pPr>
        <w:pStyle w:val="-1"/>
        <w:ind w:firstLine="0" w:firstLineChars="0"/>
      </w:pPr>
      <w:bookmarkEnd w:id="0"/>
    </w:p>
    <w:sectPr>
      <w:footerReference w:type="first" r:id="rId6"/>
      <w:pgSz w:w="11906" w:h="16838"/>
      <w:pgMar w:top="1418" w:right="1474" w:bottom="1588" w:left="1588" w:header="851" w:footer="119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054C">
    <w:pPr>
      <w:pStyle w:val="Footer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-191135</wp:posOffset>
          </wp:positionH>
          <wp:positionV relativeFrom="paragraph">
            <wp:posOffset>26670</wp:posOffset>
          </wp:positionV>
          <wp:extent cx="6007100" cy="113665"/>
          <wp:effectExtent l="0" t="0" r="12700" b="8255"/>
          <wp:wrapNone/>
          <wp:docPr id="9" name="图片 9" descr="图片下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图片下 (1)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rcRect l="2279" r="2279"/>
                  <a:stretch>
                    <a:fillRect/>
                  </a:stretch>
                </pic:blipFill>
                <pic:spPr>
                  <a:xfrm flipV="1">
                    <a:off x="0" y="0"/>
                    <a:ext cx="6007100" cy="11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docVars>
    <w:docVar w:name="commondata" w:val="eyJoZGlkIjoiMDRlYmEzM2VhNTQxMWMwYTZmZTQyY2ZlNTk0NjQwY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-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1">
    <w:name w:val="正文-公1"/>
    <w:basedOn w:val="Normal"/>
    <w:next w:val="Normal"/>
    <w:qFormat/>
    <w:pPr>
      <w:ind w:firstLine="200" w:firstLineChars="200"/>
      <w:jc w:val="left"/>
    </w:pPr>
    <w:rPr>
      <w:rFonts w:eastAsia="仿宋_GB231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Epoint</dc:creator>
  <cp:lastModifiedBy>震林 谭</cp:lastModifiedBy>
  <cp:revision>9</cp:revision>
  <dcterms:created xsi:type="dcterms:W3CDTF">2022-06-07T03:31:00Z</dcterms:created>
  <dcterms:modified xsi:type="dcterms:W3CDTF">2024-12-25T07:18:00Z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76C4F3902D394379902961435547FD68</vt:lpwstr>
  </property>
  <property fmtid="{D5CDD505-2E9C-101B-9397-08002B2CF9AE}" pid="3" name="KSOProductBuildVer">
    <vt:lpwstr>2052-11.1.0.12598</vt:lpwstr>
  </property>
</Properties>
</file>