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8BFBF">
      <w:pPr>
        <w:rPr>
          <w:rFonts w:eastAsia="仿宋_GB2312"/>
          <w:sz w:val="18"/>
          <w:szCs w:val="18"/>
        </w:rPr>
      </w:pPr>
    </w:p>
    <w:p w14:paraId="25AC5D9E">
      <w:pPr>
        <w:jc w:val="center"/>
        <w:rPr>
          <w:rFonts w:ascii="方正小标宋简体" w:eastAsia="方正小标宋简体"/>
          <w:sz w:val="40"/>
          <w:szCs w:val="32"/>
        </w:rPr>
      </w:pPr>
      <w:r>
        <w:rPr>
          <w:rFonts w:hint="eastAsia" w:ascii="方正小标宋简体" w:eastAsia="方正小标宋简体"/>
          <w:sz w:val="40"/>
          <w:szCs w:val="32"/>
        </w:rPr>
        <w:t>2024年度</w:t>
      </w:r>
      <w:r>
        <w:rPr>
          <w:rFonts w:hint="eastAsia" w:ascii="方正小标宋简体" w:eastAsia="方正小标宋简体"/>
          <w:sz w:val="40"/>
          <w:szCs w:val="32"/>
          <w:lang w:eastAsia="zh-CN"/>
        </w:rPr>
        <w:t>株洲市渌口区机关事务服务中心</w:t>
      </w:r>
      <w:r>
        <w:rPr>
          <w:rFonts w:hint="eastAsia" w:ascii="方正小标宋简体" w:eastAsia="方正小标宋简体"/>
          <w:sz w:val="40"/>
          <w:szCs w:val="32"/>
        </w:rPr>
        <w:t>整体支出</w:t>
      </w:r>
    </w:p>
    <w:p w14:paraId="601FBA9B">
      <w:pPr>
        <w:jc w:val="center"/>
        <w:rPr>
          <w:rFonts w:ascii="仿宋_GB2312" w:eastAsia="仿宋_GB2312"/>
          <w:sz w:val="32"/>
          <w:szCs w:val="32"/>
        </w:rPr>
      </w:pPr>
      <w:r>
        <w:rPr>
          <w:rFonts w:hint="eastAsia" w:ascii="方正小标宋简体" w:eastAsia="方正小标宋简体"/>
          <w:sz w:val="40"/>
          <w:szCs w:val="32"/>
        </w:rPr>
        <w:t>绩效自评报告</w:t>
      </w:r>
    </w:p>
    <w:p w14:paraId="46D2921E">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一、部门（单位）基本情况</w:t>
      </w:r>
    </w:p>
    <w:p w14:paraId="02399C36">
      <w:pPr>
        <w:pStyle w:val="6"/>
        <w:spacing w:before="0" w:beforeAutospacing="0" w:after="0" w:afterAutospacing="0" w:line="560" w:lineRule="exact"/>
        <w:ind w:firstLine="640" w:firstLineChars="200"/>
        <w:textAlignment w:val="baseline"/>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株洲市渌口区机关事务服务中心是区人民政府主管后勤工作的正科级事业单位，现有股室5个，在职人员15人，离休人员0人，退休人员12人，属区一级预算单位。无下设单位或机构。</w:t>
      </w:r>
    </w:p>
    <w:p w14:paraId="1FB2215F">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全系统共有人员27人，其中在职人员15人，离休人员0人，退休人员12人。</w:t>
      </w:r>
    </w:p>
    <w:p w14:paraId="78DD0125">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14:paraId="5079230C">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（一）基本支出情况</w:t>
      </w:r>
    </w:p>
    <w:p w14:paraId="28465DDE">
      <w:pPr>
        <w:tabs>
          <w:tab w:val="left" w:pos="7560"/>
        </w:tabs>
        <w:adjustRightInd w:val="0"/>
        <w:snapToGrid w:val="0"/>
        <w:spacing w:line="560" w:lineRule="exact"/>
        <w:ind w:firstLine="640" w:firstLineChars="200"/>
        <w:rPr>
          <w:rFonts w:hint="default" w:ascii="仿宋_GB2312" w:eastAsia="仿宋_GB2312"/>
          <w:color w:val="000000" w:themeColor="text1"/>
          <w:sz w:val="32"/>
          <w:szCs w:val="32"/>
          <w:lang w:val="en-US"/>
          <w14:textFill>
            <w14:solidFill>
              <w14:schemeClr w14:val="tx1"/>
            </w14:solidFill>
          </w14:textFill>
        </w:rPr>
      </w:pP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本单位202</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w:t>
      </w: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年预算</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2463.3</w:t>
      </w: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万元，其中基本支出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233.19</w:t>
      </w: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万</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元，含工资福利支出223.24万元，商品和服务支出49.76万元，对个人和家庭的补助1.39万元。2024年决算2047.38万元，其中基本支出274.39万元，含工资福利支出223.24万元，商品和服务支出49.76万元，对个人和家庭的补助1.39万元。</w:t>
      </w:r>
    </w:p>
    <w:p w14:paraId="49AB9EBD">
      <w:pPr>
        <w:numPr>
          <w:ilvl w:val="0"/>
          <w:numId w:val="1"/>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项目支出情况</w:t>
      </w:r>
    </w:p>
    <w:p w14:paraId="0F8A6E9C">
      <w:pPr>
        <w:spacing w:line="60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一是</w:t>
      </w: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年度专项资金分配安排和使用管理情况</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2024年项目资金预算2188.91万元，决算1773万元。其中，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机关大院维修维护费预算</w:t>
      </w:r>
      <w:r>
        <w:rPr>
          <w:rFonts w:hint="eastAsia" w:ascii="Times New Roman" w:hAnsi="Times New Roman" w:eastAsia="仿宋_GB2312" w:cs="Times New Roman"/>
          <w:color w:val="000000" w:themeColor="text1"/>
          <w:sz w:val="32"/>
          <w:szCs w:val="32"/>
          <w14:textFill>
            <w14:solidFill>
              <w14:schemeClr w14:val="tx1"/>
            </w14:solidFill>
          </w14:textFill>
        </w:rPr>
        <w:t>400万元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，实际支出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379.33万元</w:t>
      </w:r>
      <w:r>
        <w:rPr>
          <w:rFonts w:hint="eastAsia" w:ascii="Times New Roman" w:hAnsi="Times New Roman" w:eastAsia="仿宋_GB2312" w:cs="Times New Roman"/>
          <w:color w:val="000000" w:themeColor="text1"/>
          <w:sz w:val="32"/>
          <w:szCs w:val="32"/>
          <w14:textFill>
            <w14:solidFill>
              <w14:schemeClr w14:val="tx1"/>
            </w14:solidFill>
          </w14:textFill>
        </w:rPr>
        <w:t>；物业管理费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540</w:t>
      </w:r>
      <w:r>
        <w:rPr>
          <w:rFonts w:hint="eastAsia"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，实际支出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530.5万元</w:t>
      </w:r>
      <w:r>
        <w:rPr>
          <w:rFonts w:hint="eastAsia" w:ascii="Times New Roman" w:hAnsi="Times New Roman" w:eastAsia="仿宋_GB2312" w:cs="Times New Roman"/>
          <w:color w:val="000000" w:themeColor="text1"/>
          <w:sz w:val="32"/>
          <w:szCs w:val="32"/>
          <w14:textFill>
            <w14:solidFill>
              <w14:schemeClr w14:val="tx1"/>
            </w14:solidFill>
          </w14:textFill>
        </w:rPr>
        <w:t>；宽带及网络维护费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35</w:t>
      </w:r>
      <w:r>
        <w:rPr>
          <w:rFonts w:hint="eastAsia" w:ascii="Times New Roman" w:hAnsi="Times New Roman" w:eastAsia="仿宋_GB2312" w:cs="Times New Roman"/>
          <w:color w:val="000000" w:themeColor="text1"/>
          <w:sz w:val="32"/>
          <w:szCs w:val="32"/>
          <w14:textFill>
            <w14:solidFill>
              <w14:schemeClr w14:val="tx1"/>
            </w14:solidFill>
          </w14:textFill>
        </w:rPr>
        <w:t>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元，实际支出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35万</w:t>
      </w:r>
      <w:r>
        <w:rPr>
          <w:rFonts w:hint="eastAsia" w:ascii="Times New Roman" w:hAnsi="Times New Roman" w:eastAsia="仿宋_GB2312" w:cs="Times New Roman"/>
          <w:color w:val="000000" w:themeColor="text1"/>
          <w:sz w:val="32"/>
          <w:szCs w:val="32"/>
          <w14:textFill>
            <w14:solidFill>
              <w14:schemeClr w14:val="tx1"/>
            </w14:solidFill>
          </w14:textFill>
        </w:rPr>
        <w:t>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公务用车运行维护费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预算900万元，实际支出647.79万元；审计局办公楼物业服务纳入机关统一管理费用预算17.82万元，实际支出17.82万元；2024年上半年机关事业单位退休人员绩效奖金预算1.44万元，实际支出1.44万元；区委常委会议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室外侧露台局部绿化改造费用预算17.02万元，实际支出17.02万元；机关大院公共厕所及相关维修改造费用预算72.65万元，实际支出72.65万元；解决政协、总工会等单位搬迁改造办公设备经费预算30.93万元，实际支出30.93万元；机关大院2栋煤屋拆除费用预算9.4万元，实际支出9.4万元；三级干部会议交通误工补贴预算14万元，实际支出14万元；2023年机关事务工作经费预算60万元，实际支出17.12万元；</w:t>
      </w:r>
      <w:r>
        <w:rPr>
          <w:rFonts w:ascii="Times New Roman" w:hAnsi="Times New Roman" w:eastAsia="仿宋_GB2312" w:cs="Times New Roman"/>
          <w:color w:val="000000" w:themeColor="text1"/>
          <w:sz w:val="32"/>
          <w:szCs w:val="32"/>
          <w:highlight w:val="none"/>
          <w14:textFill>
            <w14:solidFill>
              <w14:schemeClr w14:val="tx1"/>
            </w14:solidFill>
          </w14:textFill>
        </w:rPr>
        <w:t>二是除专项资金以外的其他项目支出情况。</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无</w:t>
      </w:r>
    </w:p>
    <w:p w14:paraId="1974B3E9">
      <w:pPr>
        <w:numPr>
          <w:ilvl w:val="0"/>
          <w:numId w:val="2"/>
        </w:numPr>
        <w:tabs>
          <w:tab w:val="left" w:pos="7560"/>
        </w:tabs>
        <w:adjustRightInd w:val="0"/>
        <w:snapToGrid w:val="0"/>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政府性基金预算支出情况</w:t>
      </w:r>
    </w:p>
    <w:p w14:paraId="3CF29530">
      <w:pPr>
        <w:spacing w:line="600" w:lineRule="exact"/>
        <w:ind w:firstLine="640" w:firstLineChars="200"/>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无</w:t>
      </w:r>
    </w:p>
    <w:p w14:paraId="390A68BC">
      <w:pPr>
        <w:numPr>
          <w:ilvl w:val="0"/>
          <w:numId w:val="2"/>
        </w:numPr>
        <w:tabs>
          <w:tab w:val="left" w:pos="7560"/>
        </w:tabs>
        <w:adjustRightInd w:val="0"/>
        <w:snapToGrid w:val="0"/>
        <w:spacing w:line="560" w:lineRule="exact"/>
        <w:ind w:left="0" w:leftChars="0" w:firstLine="640" w:firstLineChars="20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国有资本经营预算支出情况</w:t>
      </w:r>
    </w:p>
    <w:p w14:paraId="3DC32338">
      <w:pPr>
        <w:spacing w:line="600" w:lineRule="exact"/>
        <w:ind w:firstLine="640" w:firstLineChars="200"/>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无</w:t>
      </w:r>
    </w:p>
    <w:p w14:paraId="47BF3C3F">
      <w:pPr>
        <w:numPr>
          <w:ilvl w:val="0"/>
          <w:numId w:val="2"/>
        </w:numPr>
        <w:tabs>
          <w:tab w:val="left" w:pos="7560"/>
        </w:tabs>
        <w:adjustRightInd w:val="0"/>
        <w:snapToGrid w:val="0"/>
        <w:spacing w:line="560" w:lineRule="exact"/>
        <w:ind w:left="0" w:leftChars="0" w:firstLine="640" w:firstLineChars="20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社会保险基金预算支出情况</w:t>
      </w:r>
    </w:p>
    <w:p w14:paraId="4B3B7AEB">
      <w:pPr>
        <w:spacing w:line="600" w:lineRule="exact"/>
        <w:ind w:firstLine="640" w:firstLineChars="200"/>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无</w:t>
      </w:r>
    </w:p>
    <w:p w14:paraId="5FF7F568">
      <w:pPr>
        <w:tabs>
          <w:tab w:val="left" w:pos="7560"/>
        </w:tabs>
        <w:adjustRightInd w:val="0"/>
        <w:snapToGrid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六、资金使用及绩效情况</w:t>
      </w:r>
    </w:p>
    <w:p w14:paraId="4F48C05C">
      <w:pPr>
        <w:tabs>
          <w:tab w:val="left" w:pos="7560"/>
        </w:tabs>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（一）整体支出绩效情况</w:t>
      </w:r>
    </w:p>
    <w:p w14:paraId="7730433B">
      <w:pPr>
        <w:tabs>
          <w:tab w:val="left" w:pos="7560"/>
        </w:tabs>
        <w:adjustRightInd w:val="0"/>
        <w:snapToGrid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2024</w:t>
      </w:r>
      <w:r>
        <w:rPr>
          <w:rFonts w:hint="eastAsia" w:ascii="仿宋_GB2312" w:eastAsia="仿宋_GB2312"/>
          <w:color w:val="000000" w:themeColor="text1"/>
          <w:sz w:val="32"/>
          <w:szCs w:val="32"/>
          <w:highlight w:val="none"/>
          <w14:textFill>
            <w14:solidFill>
              <w14:schemeClr w14:val="tx1"/>
            </w14:solidFill>
          </w14:textFill>
        </w:rPr>
        <w:t>年度所有财政拨款资金（包括基本支出和项目支出）的总体使用情况及产生的综合绩效进行自评。</w:t>
      </w:r>
      <w:r>
        <w:rPr>
          <w:rFonts w:hint="eastAsia" w:ascii="仿宋_GB2312" w:eastAsia="仿宋_GB2312"/>
          <w:color w:val="000000" w:themeColor="text1"/>
          <w:sz w:val="32"/>
          <w:szCs w:val="32"/>
          <w:highlight w:val="none"/>
          <w:lang w:eastAsia="zh-CN"/>
          <w14:textFill>
            <w14:solidFill>
              <w14:schemeClr w14:val="tx1"/>
            </w14:solidFill>
          </w14:textFill>
        </w:rPr>
        <w:t>我单位</w:t>
      </w:r>
      <w:r>
        <w:rPr>
          <w:rFonts w:hint="eastAsia" w:ascii="仿宋_GB2312" w:eastAsia="仿宋_GB2312"/>
          <w:color w:val="000000" w:themeColor="text1"/>
          <w:sz w:val="32"/>
          <w:szCs w:val="32"/>
          <w:highlight w:val="none"/>
          <w14:textFill>
            <w14:solidFill>
              <w14:schemeClr w14:val="tx1"/>
            </w14:solidFill>
          </w14:textFill>
        </w:rPr>
        <w:t>紧紧围绕</w:t>
      </w:r>
      <w:r>
        <w:rPr>
          <w:rFonts w:hint="eastAsia" w:ascii="仿宋_GB2312" w:eastAsia="仿宋_GB2312"/>
          <w:color w:val="000000" w:themeColor="text1"/>
          <w:sz w:val="32"/>
          <w:szCs w:val="32"/>
          <w:highlight w:val="none"/>
          <w:lang w:eastAsia="zh-CN"/>
          <w14:textFill>
            <w14:solidFill>
              <w14:schemeClr w14:val="tx1"/>
            </w14:solidFill>
          </w14:textFill>
        </w:rPr>
        <w:t>区</w:t>
      </w:r>
      <w:r>
        <w:rPr>
          <w:rFonts w:hint="eastAsia" w:ascii="仿宋_GB2312" w:eastAsia="仿宋_GB2312"/>
          <w:color w:val="000000" w:themeColor="text1"/>
          <w:sz w:val="32"/>
          <w:szCs w:val="32"/>
          <w:highlight w:val="none"/>
          <w14:textFill>
            <w14:solidFill>
              <w14:schemeClr w14:val="tx1"/>
            </w14:solidFill>
          </w14:textFill>
        </w:rPr>
        <w:t>委</w:t>
      </w:r>
      <w:r>
        <w:rPr>
          <w:rFonts w:hint="eastAsia" w:ascii="仿宋_GB2312" w:eastAsia="仿宋_GB2312"/>
          <w:color w:val="000000" w:themeColor="text1"/>
          <w:sz w:val="32"/>
          <w:szCs w:val="32"/>
          <w:highlight w:val="none"/>
          <w:lang w:eastAsia="zh-CN"/>
          <w14:textFill>
            <w14:solidFill>
              <w14:schemeClr w14:val="tx1"/>
            </w14:solidFill>
          </w14:textFill>
        </w:rPr>
        <w:t>区</w:t>
      </w:r>
      <w:r>
        <w:rPr>
          <w:rFonts w:hint="eastAsia" w:ascii="仿宋_GB2312" w:eastAsia="仿宋_GB2312"/>
          <w:color w:val="000000" w:themeColor="text1"/>
          <w:sz w:val="32"/>
          <w:szCs w:val="32"/>
          <w:highlight w:val="none"/>
          <w14:textFill>
            <w14:solidFill>
              <w14:schemeClr w14:val="tx1"/>
            </w14:solidFill>
          </w14:textFill>
        </w:rPr>
        <w:t>政府中心工作，以服务保障机关高效运转为核心，坚持厉行节约、注重绩效的原则，努力提升资金使用效益和管理水平。根据年初设定的整体绩效目标，现将自评情况报告如下：</w:t>
      </w:r>
    </w:p>
    <w:p w14:paraId="261DA8B8">
      <w:pPr>
        <w:numPr>
          <w:ilvl w:val="0"/>
          <w:numId w:val="3"/>
        </w:num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预算配置情况：我单位结合上年度执行情况和本年度重点工作任务，科学测算资金需求，确保预算安排合理、精准。本单位2024年预算基本支出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233.19</w:t>
      </w:r>
      <w:r>
        <w:rPr>
          <w:rFonts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元，占比9.62%，项目支出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2188.91万元，占比90.37%，预算资金重点向保障机关基本运转、提升服务效能、落实重大决策部署等领域倾斜，结构较为合理。整体预算资金基本保障了中心全年各项工作任务的顺利开展，未出现因资金不足导致重点工作延误的情况。</w:t>
      </w:r>
    </w:p>
    <w:p w14:paraId="6FEDD8F0">
      <w:pPr>
        <w:numPr>
          <w:ilvl w:val="0"/>
          <w:numId w:val="3"/>
        </w:num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预算执行情况： 报告整体预算执行率83.11%，基本达到序时进度要求，其中，基本支出执行率为100%，项目支出执行率为81%。原因是财政资金压力大，未安排足够的额度用于本单位支付。所有资金支付均严格执行国库集中支付制度，大额支出按规定履行政府采购程序，未发生挤占、挪用、虚列支出等违规行为。</w:t>
      </w:r>
    </w:p>
    <w:p w14:paraId="2C82C683">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（二）项目支出绩效情况</w:t>
      </w:r>
    </w:p>
    <w:p w14:paraId="3FE2EAB6">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年初预算项目</w:t>
      </w:r>
      <w:r>
        <w:rPr>
          <w:rFonts w:hint="eastAsia" w:ascii="仿宋_GB2312" w:eastAsia="仿宋_GB2312"/>
          <w:color w:val="000000" w:themeColor="text1"/>
          <w:sz w:val="32"/>
          <w:szCs w:val="32"/>
          <w:highlight w:val="none"/>
          <w:lang w:eastAsia="zh-CN"/>
          <w14:textFill>
            <w14:solidFill>
              <w14:schemeClr w14:val="tx1"/>
            </w14:solidFill>
          </w14:textFill>
        </w:rPr>
        <w:t>资金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2188.91万元，</w:t>
      </w:r>
      <w:r>
        <w:rPr>
          <w:rFonts w:hint="eastAsia" w:ascii="仿宋_GB2312" w:eastAsia="仿宋_GB2312"/>
          <w:color w:val="000000" w:themeColor="text1"/>
          <w:sz w:val="32"/>
          <w:szCs w:val="32"/>
          <w:highlight w:val="none"/>
          <w14:textFill>
            <w14:solidFill>
              <w14:schemeClr w14:val="tx1"/>
            </w14:solidFill>
          </w14:textFill>
        </w:rPr>
        <w:t>实际支出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1773万元</w:t>
      </w:r>
      <w:r>
        <w:rPr>
          <w:rFonts w:hint="eastAsia" w:ascii="仿宋_GB2312" w:eastAsia="仿宋_GB2312"/>
          <w:color w:val="000000" w:themeColor="text1"/>
          <w:sz w:val="32"/>
          <w:szCs w:val="32"/>
          <w:highlight w:val="none"/>
          <w14:textFill>
            <w14:solidFill>
              <w14:schemeClr w14:val="tx1"/>
            </w14:solidFill>
          </w14:textFill>
        </w:rPr>
        <w:t>，结余结转</w:t>
      </w:r>
      <w:r>
        <w:rPr>
          <w:rFonts w:hint="eastAsia" w:ascii="仿宋_GB2312" w:eastAsia="仿宋_GB2312"/>
          <w:color w:val="000000" w:themeColor="text1"/>
          <w:sz w:val="32"/>
          <w:szCs w:val="32"/>
          <w:highlight w:val="none"/>
          <w:lang w:val="en-US" w:eastAsia="zh-CN"/>
          <w14:textFill>
            <w14:solidFill>
              <w14:schemeClr w14:val="tx1"/>
            </w14:solidFill>
          </w14:textFill>
        </w:rPr>
        <w:t>415.91</w:t>
      </w:r>
      <w:r>
        <w:rPr>
          <w:rFonts w:hint="eastAsia" w:ascii="仿宋_GB2312" w:eastAsia="仿宋_GB2312"/>
          <w:color w:val="000000" w:themeColor="text1"/>
          <w:sz w:val="32"/>
          <w:szCs w:val="32"/>
          <w:highlight w:val="none"/>
          <w14:textFill>
            <w14:solidFill>
              <w14:schemeClr w14:val="tx1"/>
            </w14:solidFill>
          </w14:textFill>
        </w:rPr>
        <w:t>万元。项目实施及绩效情况如下：</w:t>
      </w:r>
    </w:p>
    <w:p w14:paraId="34AC2849">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lang w:eastAsia="zh-CN"/>
          <w14:textFill>
            <w14:solidFill>
              <w14:schemeClr w14:val="tx1"/>
            </w14:solidFill>
          </w14:textFill>
        </w:rPr>
        <w:t>公务用车运行维护费</w:t>
      </w:r>
      <w:r>
        <w:rPr>
          <w:rFonts w:hint="eastAsia" w:ascii="仿宋_GB2312" w:eastAsia="仿宋_GB2312"/>
          <w:color w:val="000000" w:themeColor="text1"/>
          <w:sz w:val="32"/>
          <w:szCs w:val="32"/>
          <w:highlight w:val="none"/>
          <w14:textFill>
            <w14:solidFill>
              <w14:schemeClr w14:val="tx1"/>
            </w14:solidFill>
          </w14:textFill>
        </w:rPr>
        <w:t>项目</w:t>
      </w:r>
    </w:p>
    <w:p w14:paraId="698EA3C1">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项目支出</w:t>
      </w:r>
      <w:r>
        <w:rPr>
          <w:rFonts w:hint="eastAsia" w:ascii="仿宋_GB2312" w:eastAsia="仿宋_GB2312"/>
          <w:color w:val="000000" w:themeColor="text1"/>
          <w:sz w:val="32"/>
          <w:szCs w:val="32"/>
          <w:highlight w:val="none"/>
          <w:lang w:val="en-US" w:eastAsia="zh-CN"/>
          <w14:textFill>
            <w14:solidFill>
              <w14:schemeClr w14:val="tx1"/>
            </w14:solidFill>
          </w14:textFill>
        </w:rPr>
        <w:t>647.79</w:t>
      </w:r>
      <w:r>
        <w:rPr>
          <w:rFonts w:hint="eastAsia" w:ascii="仿宋_GB2312" w:eastAsia="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highlight w:val="none"/>
          <w:lang w:eastAsia="zh-CN"/>
          <w14:textFill>
            <w14:solidFill>
              <w14:schemeClr w14:val="tx1"/>
            </w14:solidFill>
          </w14:textFill>
        </w:rPr>
        <w:t>公车平台工作人员劳务派遣工资、公务用车车辆维修、油费、保险费、水电费等</w:t>
      </w:r>
      <w:r>
        <w:rPr>
          <w:rFonts w:hint="eastAsia" w:ascii="仿宋_GB2312" w:eastAsia="仿宋_GB2312"/>
          <w:color w:val="000000" w:themeColor="text1"/>
          <w:sz w:val="32"/>
          <w:szCs w:val="32"/>
          <w:highlight w:val="none"/>
          <w14:textFill>
            <w14:solidFill>
              <w14:schemeClr w14:val="tx1"/>
            </w14:solidFill>
          </w14:textFill>
        </w:rPr>
        <w:t>。项目实施及绩效情况</w:t>
      </w:r>
      <w:r>
        <w:rPr>
          <w:rFonts w:hint="eastAsia" w:ascii="仿宋_GB2312" w:eastAsia="仿宋_GB2312"/>
          <w:color w:val="000000" w:themeColor="text1"/>
          <w:sz w:val="32"/>
          <w:szCs w:val="32"/>
          <w:highlight w:val="none"/>
          <w:lang w:eastAsia="zh-CN"/>
          <w14:textFill>
            <w14:solidFill>
              <w14:schemeClr w14:val="tx1"/>
            </w14:solidFill>
          </w14:textFill>
        </w:rPr>
        <w:t>详见项目自评表</w:t>
      </w:r>
      <w:r>
        <w:rPr>
          <w:rFonts w:hint="eastAsia" w:ascii="仿宋_GB2312" w:eastAsia="仿宋_GB2312"/>
          <w:color w:val="000000" w:themeColor="text1"/>
          <w:sz w:val="32"/>
          <w:szCs w:val="32"/>
          <w:highlight w:val="none"/>
          <w14:textFill>
            <w14:solidFill>
              <w14:schemeClr w14:val="tx1"/>
            </w14:solidFill>
          </w14:textFill>
        </w:rPr>
        <w:t>。</w:t>
      </w:r>
    </w:p>
    <w:p w14:paraId="07209AC9">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lang w:eastAsia="zh-CN"/>
          <w14:textFill>
            <w14:solidFill>
              <w14:schemeClr w14:val="tx1"/>
            </w14:solidFill>
          </w14:textFill>
        </w:rPr>
        <w:t>物业管理费</w:t>
      </w:r>
      <w:r>
        <w:rPr>
          <w:rFonts w:hint="eastAsia" w:ascii="仿宋_GB2312" w:eastAsia="仿宋_GB2312"/>
          <w:color w:val="000000" w:themeColor="text1"/>
          <w:sz w:val="32"/>
          <w:szCs w:val="32"/>
          <w:highlight w:val="none"/>
          <w14:textFill>
            <w14:solidFill>
              <w14:schemeClr w14:val="tx1"/>
            </w14:solidFill>
          </w14:textFill>
        </w:rPr>
        <w:t>项目</w:t>
      </w:r>
    </w:p>
    <w:p w14:paraId="5AC9BECC">
      <w:pPr>
        <w:tabs>
          <w:tab w:val="left" w:pos="7560"/>
        </w:tabs>
        <w:adjustRightInd w:val="0"/>
        <w:snapToGrid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项目支出</w:t>
      </w:r>
      <w:r>
        <w:rPr>
          <w:rFonts w:hint="eastAsia" w:ascii="仿宋_GB2312" w:eastAsia="仿宋_GB2312"/>
          <w:color w:val="000000" w:themeColor="text1"/>
          <w:sz w:val="32"/>
          <w:szCs w:val="32"/>
          <w:highlight w:val="none"/>
          <w:lang w:val="en-US" w:eastAsia="zh-CN"/>
          <w14:textFill>
            <w14:solidFill>
              <w14:schemeClr w14:val="tx1"/>
            </w14:solidFill>
          </w14:textFill>
        </w:rPr>
        <w:t>530.5</w:t>
      </w:r>
      <w:r>
        <w:rPr>
          <w:rFonts w:hint="eastAsia" w:ascii="仿宋_GB2312" w:eastAsia="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highlight w:val="none"/>
          <w:lang w:eastAsia="zh-CN"/>
          <w14:textFill>
            <w14:solidFill>
              <w14:schemeClr w14:val="tx1"/>
            </w14:solidFill>
          </w14:textFill>
        </w:rPr>
        <w:t>物业工作人员劳务派遣工资、绿化费、采购物业保洁消耗品、会议用品、消防费用、灭四害费用等</w:t>
      </w:r>
      <w:r>
        <w:rPr>
          <w:rFonts w:hint="eastAsia" w:ascii="仿宋_GB2312" w:eastAsia="仿宋_GB2312"/>
          <w:color w:val="000000" w:themeColor="text1"/>
          <w:sz w:val="32"/>
          <w:szCs w:val="32"/>
          <w:highlight w:val="none"/>
          <w14:textFill>
            <w14:solidFill>
              <w14:schemeClr w14:val="tx1"/>
            </w14:solidFill>
          </w14:textFill>
        </w:rPr>
        <w:t>。项目实施及绩效情况</w:t>
      </w:r>
      <w:r>
        <w:rPr>
          <w:rFonts w:hint="eastAsia" w:ascii="仿宋_GB2312" w:eastAsia="仿宋_GB2312"/>
          <w:color w:val="000000" w:themeColor="text1"/>
          <w:sz w:val="32"/>
          <w:szCs w:val="32"/>
          <w:highlight w:val="none"/>
          <w:lang w:eastAsia="zh-CN"/>
          <w14:textFill>
            <w14:solidFill>
              <w14:schemeClr w14:val="tx1"/>
            </w14:solidFill>
          </w14:textFill>
        </w:rPr>
        <w:t>详见项目自评表</w:t>
      </w:r>
      <w:r>
        <w:rPr>
          <w:rFonts w:hint="eastAsia" w:ascii="仿宋_GB2312" w:eastAsia="仿宋_GB2312"/>
          <w:color w:val="000000" w:themeColor="text1"/>
          <w:sz w:val="32"/>
          <w:szCs w:val="32"/>
          <w:highlight w:val="none"/>
          <w14:textFill>
            <w14:solidFill>
              <w14:schemeClr w14:val="tx1"/>
            </w14:solidFill>
          </w14:textFill>
        </w:rPr>
        <w:t>。</w:t>
      </w:r>
    </w:p>
    <w:p w14:paraId="373D7C2F">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机关大院维修维护</w:t>
      </w:r>
      <w:r>
        <w:rPr>
          <w:rFonts w:hint="eastAsia" w:ascii="仿宋_GB2312" w:eastAsia="仿宋_GB2312"/>
          <w:color w:val="000000" w:themeColor="text1"/>
          <w:sz w:val="32"/>
          <w:szCs w:val="32"/>
          <w:highlight w:val="none"/>
          <w14:textFill>
            <w14:solidFill>
              <w14:schemeClr w14:val="tx1"/>
            </w14:solidFill>
          </w14:textFill>
        </w:rPr>
        <w:t>项目</w:t>
      </w:r>
    </w:p>
    <w:p w14:paraId="36FF905B">
      <w:pPr>
        <w:tabs>
          <w:tab w:val="left" w:pos="7560"/>
        </w:tabs>
        <w:adjustRightInd w:val="0"/>
        <w:snapToGrid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项目支出</w:t>
      </w:r>
      <w:r>
        <w:rPr>
          <w:rFonts w:hint="eastAsia" w:ascii="仿宋_GB2312" w:eastAsia="仿宋_GB2312"/>
          <w:color w:val="000000" w:themeColor="text1"/>
          <w:sz w:val="32"/>
          <w:szCs w:val="32"/>
          <w:highlight w:val="none"/>
          <w:lang w:val="en-US" w:eastAsia="zh-CN"/>
          <w14:textFill>
            <w14:solidFill>
              <w14:schemeClr w14:val="tx1"/>
            </w14:solidFill>
          </w14:textFill>
        </w:rPr>
        <w:t>379.33</w:t>
      </w:r>
      <w:r>
        <w:rPr>
          <w:rFonts w:hint="eastAsia" w:ascii="仿宋_GB2312" w:eastAsia="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highlight w:val="none"/>
          <w:lang w:eastAsia="zh-CN"/>
          <w14:textFill>
            <w14:solidFill>
              <w14:schemeClr w14:val="tx1"/>
            </w14:solidFill>
          </w14:textFill>
        </w:rPr>
        <w:t>机关大院、武装部水电气费、机关大院水电及零星维修费、机关大院改造项目费用等</w:t>
      </w:r>
      <w:r>
        <w:rPr>
          <w:rFonts w:hint="eastAsia" w:ascii="仿宋_GB2312" w:eastAsia="仿宋_GB2312"/>
          <w:color w:val="000000" w:themeColor="text1"/>
          <w:sz w:val="32"/>
          <w:szCs w:val="32"/>
          <w:highlight w:val="none"/>
          <w14:textFill>
            <w14:solidFill>
              <w14:schemeClr w14:val="tx1"/>
            </w14:solidFill>
          </w14:textFill>
        </w:rPr>
        <w:t>。项目实施及绩效情况</w:t>
      </w:r>
      <w:r>
        <w:rPr>
          <w:rFonts w:hint="eastAsia" w:ascii="仿宋_GB2312" w:eastAsia="仿宋_GB2312"/>
          <w:color w:val="000000" w:themeColor="text1"/>
          <w:sz w:val="32"/>
          <w:szCs w:val="32"/>
          <w:highlight w:val="none"/>
          <w:lang w:eastAsia="zh-CN"/>
          <w14:textFill>
            <w14:solidFill>
              <w14:schemeClr w14:val="tx1"/>
            </w14:solidFill>
          </w14:textFill>
        </w:rPr>
        <w:t>详见项目自评表</w:t>
      </w:r>
      <w:r>
        <w:rPr>
          <w:rFonts w:hint="eastAsia" w:ascii="仿宋_GB2312" w:eastAsia="仿宋_GB2312"/>
          <w:color w:val="000000" w:themeColor="text1"/>
          <w:sz w:val="32"/>
          <w:szCs w:val="32"/>
          <w:highlight w:val="none"/>
          <w14:textFill>
            <w14:solidFill>
              <w14:schemeClr w14:val="tx1"/>
            </w14:solidFill>
          </w14:textFill>
        </w:rPr>
        <w:t>。</w:t>
      </w:r>
    </w:p>
    <w:p w14:paraId="6A893AB3">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信息技术网络及维护</w:t>
      </w:r>
      <w:r>
        <w:rPr>
          <w:rFonts w:hint="eastAsia" w:ascii="仿宋_GB2312" w:eastAsia="仿宋_GB2312"/>
          <w:color w:val="000000" w:themeColor="text1"/>
          <w:sz w:val="32"/>
          <w:szCs w:val="32"/>
          <w:highlight w:val="none"/>
          <w14:textFill>
            <w14:solidFill>
              <w14:schemeClr w14:val="tx1"/>
            </w14:solidFill>
          </w14:textFill>
        </w:rPr>
        <w:t>项目</w:t>
      </w:r>
    </w:p>
    <w:p w14:paraId="2744F0E0">
      <w:pPr>
        <w:tabs>
          <w:tab w:val="left" w:pos="7560"/>
        </w:tabs>
        <w:adjustRightInd w:val="0"/>
        <w:snapToGrid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项目支出</w:t>
      </w:r>
      <w:r>
        <w:rPr>
          <w:rFonts w:hint="eastAsia" w:ascii="仿宋_GB2312" w:eastAsia="仿宋_GB2312"/>
          <w:color w:val="000000" w:themeColor="text1"/>
          <w:sz w:val="32"/>
          <w:szCs w:val="32"/>
          <w:highlight w:val="none"/>
          <w:lang w:val="en-US" w:eastAsia="zh-CN"/>
          <w14:textFill>
            <w14:solidFill>
              <w14:schemeClr w14:val="tx1"/>
            </w14:solidFill>
          </w14:textFill>
        </w:rPr>
        <w:t>35</w:t>
      </w:r>
      <w:r>
        <w:rPr>
          <w:rFonts w:hint="eastAsia" w:ascii="仿宋_GB2312" w:eastAsia="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highlight w:val="none"/>
          <w:lang w:eastAsia="zh-CN"/>
          <w14:textFill>
            <w14:solidFill>
              <w14:schemeClr w14:val="tx1"/>
            </w14:solidFill>
          </w14:textFill>
        </w:rPr>
        <w:t>机关大院四大家等单位及武装部宽带费、收视费等</w:t>
      </w:r>
      <w:r>
        <w:rPr>
          <w:rFonts w:hint="eastAsia" w:ascii="仿宋_GB2312" w:eastAsia="仿宋_GB2312"/>
          <w:color w:val="000000" w:themeColor="text1"/>
          <w:sz w:val="32"/>
          <w:szCs w:val="32"/>
          <w:highlight w:val="none"/>
          <w14:textFill>
            <w14:solidFill>
              <w14:schemeClr w14:val="tx1"/>
            </w14:solidFill>
          </w14:textFill>
        </w:rPr>
        <w:t>。项目实施及绩效情况</w:t>
      </w:r>
      <w:r>
        <w:rPr>
          <w:rFonts w:hint="eastAsia" w:ascii="仿宋_GB2312" w:eastAsia="仿宋_GB2312"/>
          <w:color w:val="000000" w:themeColor="text1"/>
          <w:sz w:val="32"/>
          <w:szCs w:val="32"/>
          <w:highlight w:val="none"/>
          <w:lang w:eastAsia="zh-CN"/>
          <w14:textFill>
            <w14:solidFill>
              <w14:schemeClr w14:val="tx1"/>
            </w14:solidFill>
          </w14:textFill>
        </w:rPr>
        <w:t>详见项目自评表</w:t>
      </w:r>
      <w:r>
        <w:rPr>
          <w:rFonts w:hint="eastAsia" w:ascii="仿宋_GB2312" w:eastAsia="仿宋_GB2312"/>
          <w:color w:val="000000" w:themeColor="text1"/>
          <w:sz w:val="32"/>
          <w:szCs w:val="32"/>
          <w:highlight w:val="none"/>
          <w14:textFill>
            <w14:solidFill>
              <w14:schemeClr w14:val="tx1"/>
            </w14:solidFill>
          </w14:textFill>
        </w:rPr>
        <w:t>。</w:t>
      </w:r>
    </w:p>
    <w:p w14:paraId="799BCB82">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2023年机关事务工作</w:t>
      </w:r>
      <w:r>
        <w:rPr>
          <w:rFonts w:hint="eastAsia" w:ascii="仿宋_GB2312" w:eastAsia="仿宋_GB2312"/>
          <w:color w:val="000000" w:themeColor="text1"/>
          <w:sz w:val="32"/>
          <w:szCs w:val="32"/>
          <w:highlight w:val="none"/>
          <w14:textFill>
            <w14:solidFill>
              <w14:schemeClr w14:val="tx1"/>
            </w14:solidFill>
          </w14:textFill>
        </w:rPr>
        <w:t>项目</w:t>
      </w:r>
    </w:p>
    <w:p w14:paraId="2858F528">
      <w:pPr>
        <w:tabs>
          <w:tab w:val="left" w:pos="7560"/>
        </w:tabs>
        <w:adjustRightInd w:val="0"/>
        <w:snapToGrid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项目支出</w:t>
      </w:r>
      <w:r>
        <w:rPr>
          <w:rFonts w:hint="eastAsia" w:ascii="仿宋_GB2312" w:eastAsia="仿宋_GB2312"/>
          <w:color w:val="000000" w:themeColor="text1"/>
          <w:sz w:val="32"/>
          <w:szCs w:val="32"/>
          <w:highlight w:val="none"/>
          <w:lang w:val="en-US" w:eastAsia="zh-CN"/>
          <w14:textFill>
            <w14:solidFill>
              <w14:schemeClr w14:val="tx1"/>
            </w14:solidFill>
          </w14:textFill>
        </w:rPr>
        <w:t>17.12</w:t>
      </w:r>
      <w:r>
        <w:rPr>
          <w:rFonts w:hint="eastAsia" w:ascii="仿宋_GB2312" w:eastAsia="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highlight w:val="none"/>
          <w:lang w:eastAsia="zh-CN"/>
          <w14:textFill>
            <w14:solidFill>
              <w14:schemeClr w14:val="tx1"/>
            </w14:solidFill>
          </w14:textFill>
        </w:rPr>
        <w:t>机关大院日常维修等工作</w:t>
      </w:r>
      <w:r>
        <w:rPr>
          <w:rFonts w:hint="eastAsia" w:ascii="仿宋_GB2312" w:eastAsia="仿宋_GB2312"/>
          <w:color w:val="000000" w:themeColor="text1"/>
          <w:sz w:val="32"/>
          <w:szCs w:val="32"/>
          <w:highlight w:val="none"/>
          <w14:textFill>
            <w14:solidFill>
              <w14:schemeClr w14:val="tx1"/>
            </w14:solidFill>
          </w14:textFill>
        </w:rPr>
        <w:t>。项目实施及绩效情况</w:t>
      </w:r>
      <w:r>
        <w:rPr>
          <w:rFonts w:hint="eastAsia" w:ascii="仿宋_GB2312" w:eastAsia="仿宋_GB2312"/>
          <w:color w:val="000000" w:themeColor="text1"/>
          <w:sz w:val="32"/>
          <w:szCs w:val="32"/>
          <w:highlight w:val="none"/>
          <w:lang w:eastAsia="zh-CN"/>
          <w14:textFill>
            <w14:solidFill>
              <w14:schemeClr w14:val="tx1"/>
            </w14:solidFill>
          </w14:textFill>
        </w:rPr>
        <w:t>详见项目自评表</w:t>
      </w:r>
      <w:r>
        <w:rPr>
          <w:rFonts w:hint="eastAsia" w:ascii="仿宋_GB2312" w:eastAsia="仿宋_GB2312"/>
          <w:color w:val="000000" w:themeColor="text1"/>
          <w:sz w:val="32"/>
          <w:szCs w:val="32"/>
          <w:highlight w:val="none"/>
          <w14:textFill>
            <w14:solidFill>
              <w14:schemeClr w14:val="tx1"/>
            </w14:solidFill>
          </w14:textFill>
        </w:rPr>
        <w:t>。</w:t>
      </w:r>
    </w:p>
    <w:p w14:paraId="04A71BF8">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三级干部会议交通误工补贴</w:t>
      </w:r>
      <w:r>
        <w:rPr>
          <w:rFonts w:hint="eastAsia" w:ascii="仿宋_GB2312" w:eastAsia="仿宋_GB2312"/>
          <w:color w:val="000000" w:themeColor="text1"/>
          <w:sz w:val="32"/>
          <w:szCs w:val="32"/>
          <w:highlight w:val="none"/>
          <w14:textFill>
            <w14:solidFill>
              <w14:schemeClr w14:val="tx1"/>
            </w14:solidFill>
          </w14:textFill>
        </w:rPr>
        <w:t>项目</w:t>
      </w:r>
    </w:p>
    <w:p w14:paraId="77E43489">
      <w:pPr>
        <w:tabs>
          <w:tab w:val="left" w:pos="7560"/>
        </w:tabs>
        <w:adjustRightInd w:val="0"/>
        <w:snapToGrid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项目支出</w:t>
      </w:r>
      <w:r>
        <w:rPr>
          <w:rFonts w:hint="eastAsia" w:ascii="仿宋_GB2312" w:eastAsia="仿宋_GB2312"/>
          <w:color w:val="000000" w:themeColor="text1"/>
          <w:sz w:val="32"/>
          <w:szCs w:val="32"/>
          <w:highlight w:val="none"/>
          <w:lang w:val="en-US" w:eastAsia="zh-CN"/>
          <w14:textFill>
            <w14:solidFill>
              <w14:schemeClr w14:val="tx1"/>
            </w14:solidFill>
          </w14:textFill>
        </w:rPr>
        <w:t>14</w:t>
      </w:r>
      <w:r>
        <w:rPr>
          <w:rFonts w:hint="eastAsia" w:ascii="仿宋_GB2312" w:eastAsia="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highlight w:val="none"/>
          <w:lang w:eastAsia="zh-CN"/>
          <w14:textFill>
            <w14:solidFill>
              <w14:schemeClr w14:val="tx1"/>
            </w14:solidFill>
          </w14:textFill>
        </w:rPr>
        <w:t>渌口区</w:t>
      </w:r>
      <w:r>
        <w:rPr>
          <w:rFonts w:hint="eastAsia" w:ascii="仿宋_GB2312" w:eastAsia="仿宋_GB2312"/>
          <w:color w:val="000000" w:themeColor="text1"/>
          <w:sz w:val="32"/>
          <w:szCs w:val="32"/>
          <w:highlight w:val="none"/>
          <w:lang w:val="en-US" w:eastAsia="zh-CN"/>
          <w14:textFill>
            <w14:solidFill>
              <w14:schemeClr w14:val="tx1"/>
            </w14:solidFill>
          </w14:textFill>
        </w:rPr>
        <w:t>8各乡镇的村干部误工补贴及误餐补贴</w:t>
      </w:r>
      <w:r>
        <w:rPr>
          <w:rFonts w:hint="eastAsia" w:ascii="仿宋_GB2312" w:eastAsia="仿宋_GB2312"/>
          <w:color w:val="000000" w:themeColor="text1"/>
          <w:sz w:val="32"/>
          <w:szCs w:val="32"/>
          <w:highlight w:val="none"/>
          <w14:textFill>
            <w14:solidFill>
              <w14:schemeClr w14:val="tx1"/>
            </w14:solidFill>
          </w14:textFill>
        </w:rPr>
        <w:t>。项目实施及绩效情况</w:t>
      </w:r>
      <w:r>
        <w:rPr>
          <w:rFonts w:hint="eastAsia" w:ascii="仿宋_GB2312" w:eastAsia="仿宋_GB2312"/>
          <w:color w:val="000000" w:themeColor="text1"/>
          <w:sz w:val="32"/>
          <w:szCs w:val="32"/>
          <w:highlight w:val="none"/>
          <w:lang w:eastAsia="zh-CN"/>
          <w14:textFill>
            <w14:solidFill>
              <w14:schemeClr w14:val="tx1"/>
            </w14:solidFill>
          </w14:textFill>
        </w:rPr>
        <w:t>详见项目自评表</w:t>
      </w:r>
      <w:r>
        <w:rPr>
          <w:rFonts w:hint="eastAsia" w:ascii="仿宋_GB2312" w:eastAsia="仿宋_GB2312"/>
          <w:color w:val="000000" w:themeColor="text1"/>
          <w:sz w:val="32"/>
          <w:szCs w:val="32"/>
          <w:highlight w:val="none"/>
          <w14:textFill>
            <w14:solidFill>
              <w14:schemeClr w14:val="tx1"/>
            </w14:solidFill>
          </w14:textFill>
        </w:rPr>
        <w:t>。</w:t>
      </w:r>
    </w:p>
    <w:p w14:paraId="359AADC7">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7</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机关大院</w:t>
      </w:r>
      <w:r>
        <w:rPr>
          <w:rFonts w:hint="eastAsia" w:ascii="仿宋_GB2312" w:eastAsia="仿宋_GB2312"/>
          <w:color w:val="000000" w:themeColor="text1"/>
          <w:sz w:val="32"/>
          <w:szCs w:val="32"/>
          <w:highlight w:val="none"/>
          <w:lang w:val="en-US" w:eastAsia="zh-CN"/>
          <w14:textFill>
            <w14:solidFill>
              <w14:schemeClr w14:val="tx1"/>
            </w14:solidFill>
          </w14:textFill>
        </w:rPr>
        <w:t>2栋煤屋拆除</w:t>
      </w:r>
      <w:r>
        <w:rPr>
          <w:rFonts w:hint="eastAsia" w:ascii="仿宋_GB2312" w:eastAsia="仿宋_GB2312"/>
          <w:color w:val="000000" w:themeColor="text1"/>
          <w:sz w:val="32"/>
          <w:szCs w:val="32"/>
          <w:highlight w:val="none"/>
          <w14:textFill>
            <w14:solidFill>
              <w14:schemeClr w14:val="tx1"/>
            </w14:solidFill>
          </w14:textFill>
        </w:rPr>
        <w:t>项目</w:t>
      </w:r>
    </w:p>
    <w:p w14:paraId="4950FABB">
      <w:pPr>
        <w:tabs>
          <w:tab w:val="left" w:pos="7560"/>
        </w:tabs>
        <w:adjustRightInd w:val="0"/>
        <w:snapToGrid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项目支出</w:t>
      </w:r>
      <w:r>
        <w:rPr>
          <w:rFonts w:hint="eastAsia" w:ascii="仿宋_GB2312" w:eastAsia="仿宋_GB2312"/>
          <w:color w:val="000000" w:themeColor="text1"/>
          <w:sz w:val="32"/>
          <w:szCs w:val="32"/>
          <w:highlight w:val="none"/>
          <w:lang w:val="en-US" w:eastAsia="zh-CN"/>
          <w14:textFill>
            <w14:solidFill>
              <w14:schemeClr w14:val="tx1"/>
            </w14:solidFill>
          </w14:textFill>
        </w:rPr>
        <w:t>9.4</w:t>
      </w:r>
      <w:r>
        <w:rPr>
          <w:rFonts w:hint="eastAsia" w:ascii="仿宋_GB2312" w:eastAsia="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highlight w:val="none"/>
          <w:lang w:eastAsia="zh-CN"/>
          <w14:textFill>
            <w14:solidFill>
              <w14:schemeClr w14:val="tx1"/>
            </w14:solidFill>
          </w14:textFill>
        </w:rPr>
        <w:t>拆除煤屋、拆除煤屋后改造费用</w:t>
      </w:r>
      <w:r>
        <w:rPr>
          <w:rFonts w:hint="eastAsia" w:ascii="仿宋_GB2312" w:eastAsia="仿宋_GB2312"/>
          <w:color w:val="000000" w:themeColor="text1"/>
          <w:sz w:val="32"/>
          <w:szCs w:val="32"/>
          <w:highlight w:val="none"/>
          <w14:textFill>
            <w14:solidFill>
              <w14:schemeClr w14:val="tx1"/>
            </w14:solidFill>
          </w14:textFill>
        </w:rPr>
        <w:t>。项目实施及绩效情况</w:t>
      </w:r>
      <w:r>
        <w:rPr>
          <w:rFonts w:hint="eastAsia" w:ascii="仿宋_GB2312" w:eastAsia="仿宋_GB2312"/>
          <w:color w:val="000000" w:themeColor="text1"/>
          <w:sz w:val="32"/>
          <w:szCs w:val="32"/>
          <w:highlight w:val="none"/>
          <w:lang w:eastAsia="zh-CN"/>
          <w14:textFill>
            <w14:solidFill>
              <w14:schemeClr w14:val="tx1"/>
            </w14:solidFill>
          </w14:textFill>
        </w:rPr>
        <w:t>详见项目自评表</w:t>
      </w:r>
      <w:r>
        <w:rPr>
          <w:rFonts w:hint="eastAsia" w:ascii="仿宋_GB2312" w:eastAsia="仿宋_GB2312"/>
          <w:color w:val="000000" w:themeColor="text1"/>
          <w:sz w:val="32"/>
          <w:szCs w:val="32"/>
          <w:highlight w:val="none"/>
          <w14:textFill>
            <w14:solidFill>
              <w14:schemeClr w14:val="tx1"/>
            </w14:solidFill>
          </w14:textFill>
        </w:rPr>
        <w:t>。</w:t>
      </w:r>
    </w:p>
    <w:p w14:paraId="10C9B0B1">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8</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政协、总工会等单位搬迁改造办公设备</w:t>
      </w:r>
      <w:r>
        <w:rPr>
          <w:rFonts w:hint="eastAsia" w:ascii="仿宋_GB2312" w:eastAsia="仿宋_GB2312"/>
          <w:color w:val="000000" w:themeColor="text1"/>
          <w:sz w:val="32"/>
          <w:szCs w:val="32"/>
          <w:highlight w:val="none"/>
          <w14:textFill>
            <w14:solidFill>
              <w14:schemeClr w14:val="tx1"/>
            </w14:solidFill>
          </w14:textFill>
        </w:rPr>
        <w:t>项目</w:t>
      </w:r>
    </w:p>
    <w:p w14:paraId="56F6595E">
      <w:pPr>
        <w:tabs>
          <w:tab w:val="left" w:pos="7560"/>
        </w:tabs>
        <w:adjustRightInd w:val="0"/>
        <w:snapToGrid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项目支出</w:t>
      </w:r>
      <w:r>
        <w:rPr>
          <w:rFonts w:hint="eastAsia" w:ascii="仿宋_GB2312" w:eastAsia="仿宋_GB2312"/>
          <w:color w:val="000000" w:themeColor="text1"/>
          <w:sz w:val="32"/>
          <w:szCs w:val="32"/>
          <w:highlight w:val="none"/>
          <w:lang w:val="en-US" w:eastAsia="zh-CN"/>
          <w14:textFill>
            <w14:solidFill>
              <w14:schemeClr w14:val="tx1"/>
            </w14:solidFill>
          </w14:textFill>
        </w:rPr>
        <w:t>30.93</w:t>
      </w:r>
      <w:r>
        <w:rPr>
          <w:rFonts w:hint="eastAsia" w:ascii="仿宋_GB2312" w:eastAsia="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highlight w:val="none"/>
          <w:lang w:eastAsia="zh-CN"/>
          <w14:textFill>
            <w14:solidFill>
              <w14:schemeClr w14:val="tx1"/>
            </w14:solidFill>
          </w14:textFill>
        </w:rPr>
        <w:t>政协、总工会等单位搬迁办公室购置新办公用品及办公室维修改造费等</w:t>
      </w:r>
      <w:r>
        <w:rPr>
          <w:rFonts w:hint="eastAsia" w:ascii="仿宋_GB2312" w:eastAsia="仿宋_GB2312"/>
          <w:color w:val="000000" w:themeColor="text1"/>
          <w:sz w:val="32"/>
          <w:szCs w:val="32"/>
          <w:highlight w:val="none"/>
          <w14:textFill>
            <w14:solidFill>
              <w14:schemeClr w14:val="tx1"/>
            </w14:solidFill>
          </w14:textFill>
        </w:rPr>
        <w:t>。项目实施及绩效情况</w:t>
      </w:r>
      <w:r>
        <w:rPr>
          <w:rFonts w:hint="eastAsia" w:ascii="仿宋_GB2312" w:eastAsia="仿宋_GB2312"/>
          <w:color w:val="000000" w:themeColor="text1"/>
          <w:sz w:val="32"/>
          <w:szCs w:val="32"/>
          <w:highlight w:val="none"/>
          <w:lang w:eastAsia="zh-CN"/>
          <w14:textFill>
            <w14:solidFill>
              <w14:schemeClr w14:val="tx1"/>
            </w14:solidFill>
          </w14:textFill>
        </w:rPr>
        <w:t>详见项目自评表</w:t>
      </w:r>
      <w:r>
        <w:rPr>
          <w:rFonts w:hint="eastAsia" w:ascii="仿宋_GB2312" w:eastAsia="仿宋_GB2312"/>
          <w:color w:val="000000" w:themeColor="text1"/>
          <w:sz w:val="32"/>
          <w:szCs w:val="32"/>
          <w:highlight w:val="none"/>
          <w14:textFill>
            <w14:solidFill>
              <w14:schemeClr w14:val="tx1"/>
            </w14:solidFill>
          </w14:textFill>
        </w:rPr>
        <w:t>。</w:t>
      </w:r>
    </w:p>
    <w:p w14:paraId="1397EC55">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9</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机关大院公共厕所及相关维修改造</w:t>
      </w:r>
      <w:r>
        <w:rPr>
          <w:rFonts w:hint="eastAsia" w:ascii="仿宋_GB2312" w:eastAsia="仿宋_GB2312"/>
          <w:color w:val="000000" w:themeColor="text1"/>
          <w:sz w:val="32"/>
          <w:szCs w:val="32"/>
          <w:highlight w:val="none"/>
          <w14:textFill>
            <w14:solidFill>
              <w14:schemeClr w14:val="tx1"/>
            </w14:solidFill>
          </w14:textFill>
        </w:rPr>
        <w:t>项目</w:t>
      </w:r>
    </w:p>
    <w:p w14:paraId="4C904CAC">
      <w:pPr>
        <w:tabs>
          <w:tab w:val="left" w:pos="7560"/>
        </w:tabs>
        <w:adjustRightInd w:val="0"/>
        <w:snapToGrid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项目支出</w:t>
      </w:r>
      <w:r>
        <w:rPr>
          <w:rFonts w:hint="eastAsia" w:ascii="仿宋_GB2312" w:eastAsia="仿宋_GB2312"/>
          <w:color w:val="000000" w:themeColor="text1"/>
          <w:sz w:val="32"/>
          <w:szCs w:val="32"/>
          <w:highlight w:val="none"/>
          <w:lang w:val="en-US" w:eastAsia="zh-CN"/>
          <w14:textFill>
            <w14:solidFill>
              <w14:schemeClr w14:val="tx1"/>
            </w14:solidFill>
          </w14:textFill>
        </w:rPr>
        <w:t>72.65</w:t>
      </w:r>
      <w:r>
        <w:rPr>
          <w:rFonts w:hint="eastAsia" w:ascii="仿宋_GB2312" w:eastAsia="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highlight w:val="none"/>
          <w:lang w:eastAsia="zh-CN"/>
          <w14:textFill>
            <w14:solidFill>
              <w14:schemeClr w14:val="tx1"/>
            </w14:solidFill>
          </w14:textFill>
        </w:rPr>
        <w:t>政府大楼厕所维修改造</w:t>
      </w:r>
      <w:r>
        <w:rPr>
          <w:rFonts w:hint="eastAsia" w:ascii="仿宋_GB2312" w:eastAsia="仿宋_GB2312"/>
          <w:color w:val="000000" w:themeColor="text1"/>
          <w:sz w:val="32"/>
          <w:szCs w:val="32"/>
          <w:highlight w:val="none"/>
          <w14:textFill>
            <w14:solidFill>
              <w14:schemeClr w14:val="tx1"/>
            </w14:solidFill>
          </w14:textFill>
        </w:rPr>
        <w:t>。项目实施及绩效情况</w:t>
      </w:r>
      <w:r>
        <w:rPr>
          <w:rFonts w:hint="eastAsia" w:ascii="仿宋_GB2312" w:eastAsia="仿宋_GB2312"/>
          <w:color w:val="000000" w:themeColor="text1"/>
          <w:sz w:val="32"/>
          <w:szCs w:val="32"/>
          <w:highlight w:val="none"/>
          <w:lang w:eastAsia="zh-CN"/>
          <w14:textFill>
            <w14:solidFill>
              <w14:schemeClr w14:val="tx1"/>
            </w14:solidFill>
          </w14:textFill>
        </w:rPr>
        <w:t>详见项目自评表</w:t>
      </w:r>
      <w:r>
        <w:rPr>
          <w:rFonts w:hint="eastAsia" w:ascii="仿宋_GB2312" w:eastAsia="仿宋_GB2312"/>
          <w:color w:val="000000" w:themeColor="text1"/>
          <w:sz w:val="32"/>
          <w:szCs w:val="32"/>
          <w:highlight w:val="none"/>
          <w14:textFill>
            <w14:solidFill>
              <w14:schemeClr w14:val="tx1"/>
            </w14:solidFill>
          </w14:textFill>
        </w:rPr>
        <w:t>。</w:t>
      </w:r>
    </w:p>
    <w:p w14:paraId="684D36FA">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10</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区委常委会议室外侧露台局部绿化改造</w:t>
      </w:r>
      <w:r>
        <w:rPr>
          <w:rFonts w:hint="eastAsia" w:ascii="仿宋_GB2312" w:eastAsia="仿宋_GB2312"/>
          <w:color w:val="000000" w:themeColor="text1"/>
          <w:sz w:val="32"/>
          <w:szCs w:val="32"/>
          <w:highlight w:val="none"/>
          <w14:textFill>
            <w14:solidFill>
              <w14:schemeClr w14:val="tx1"/>
            </w14:solidFill>
          </w14:textFill>
        </w:rPr>
        <w:t>项目</w:t>
      </w:r>
    </w:p>
    <w:p w14:paraId="79909D2A">
      <w:pPr>
        <w:tabs>
          <w:tab w:val="left" w:pos="7560"/>
        </w:tabs>
        <w:adjustRightInd w:val="0"/>
        <w:snapToGrid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项目支出</w:t>
      </w:r>
      <w:r>
        <w:rPr>
          <w:rFonts w:hint="eastAsia" w:ascii="仿宋_GB2312" w:eastAsia="仿宋_GB2312"/>
          <w:color w:val="000000" w:themeColor="text1"/>
          <w:sz w:val="32"/>
          <w:szCs w:val="32"/>
          <w:highlight w:val="none"/>
          <w:lang w:val="en-US" w:eastAsia="zh-CN"/>
          <w14:textFill>
            <w14:solidFill>
              <w14:schemeClr w14:val="tx1"/>
            </w14:solidFill>
          </w14:textFill>
        </w:rPr>
        <w:t>17.2</w:t>
      </w:r>
      <w:r>
        <w:rPr>
          <w:rFonts w:hint="eastAsia" w:ascii="仿宋_GB2312" w:eastAsia="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highlight w:val="none"/>
          <w:lang w:eastAsia="zh-CN"/>
          <w14:textFill>
            <w14:solidFill>
              <w14:schemeClr w14:val="tx1"/>
            </w14:solidFill>
          </w14:textFill>
        </w:rPr>
        <w:t>常委会议室露台维修改造</w:t>
      </w:r>
      <w:r>
        <w:rPr>
          <w:rFonts w:hint="eastAsia" w:ascii="仿宋_GB2312" w:eastAsia="仿宋_GB2312"/>
          <w:color w:val="000000" w:themeColor="text1"/>
          <w:sz w:val="32"/>
          <w:szCs w:val="32"/>
          <w:highlight w:val="none"/>
          <w14:textFill>
            <w14:solidFill>
              <w14:schemeClr w14:val="tx1"/>
            </w14:solidFill>
          </w14:textFill>
        </w:rPr>
        <w:t>。项目实施及绩效情况</w:t>
      </w:r>
      <w:r>
        <w:rPr>
          <w:rFonts w:hint="eastAsia" w:ascii="仿宋_GB2312" w:eastAsia="仿宋_GB2312"/>
          <w:color w:val="000000" w:themeColor="text1"/>
          <w:sz w:val="32"/>
          <w:szCs w:val="32"/>
          <w:highlight w:val="none"/>
          <w:lang w:eastAsia="zh-CN"/>
          <w14:textFill>
            <w14:solidFill>
              <w14:schemeClr w14:val="tx1"/>
            </w14:solidFill>
          </w14:textFill>
        </w:rPr>
        <w:t>详见项目自评表</w:t>
      </w:r>
      <w:r>
        <w:rPr>
          <w:rFonts w:hint="eastAsia" w:ascii="仿宋_GB2312" w:eastAsia="仿宋_GB2312"/>
          <w:color w:val="000000" w:themeColor="text1"/>
          <w:sz w:val="32"/>
          <w:szCs w:val="32"/>
          <w:highlight w:val="none"/>
          <w14:textFill>
            <w14:solidFill>
              <w14:schemeClr w14:val="tx1"/>
            </w14:solidFill>
          </w14:textFill>
        </w:rPr>
        <w:t>。</w:t>
      </w:r>
    </w:p>
    <w:p w14:paraId="5E0182C1">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11</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审计局办公楼物业服务纳入机关大院统一管理</w:t>
      </w:r>
      <w:r>
        <w:rPr>
          <w:rFonts w:hint="eastAsia" w:ascii="仿宋_GB2312" w:eastAsia="仿宋_GB2312"/>
          <w:color w:val="000000" w:themeColor="text1"/>
          <w:sz w:val="32"/>
          <w:szCs w:val="32"/>
          <w:highlight w:val="none"/>
          <w14:textFill>
            <w14:solidFill>
              <w14:schemeClr w14:val="tx1"/>
            </w14:solidFill>
          </w14:textFill>
        </w:rPr>
        <w:t>项目</w:t>
      </w:r>
    </w:p>
    <w:p w14:paraId="34B193C2">
      <w:pPr>
        <w:tabs>
          <w:tab w:val="left" w:pos="7560"/>
        </w:tabs>
        <w:adjustRightInd w:val="0"/>
        <w:snapToGrid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项目支出</w:t>
      </w:r>
      <w:r>
        <w:rPr>
          <w:rFonts w:hint="eastAsia" w:ascii="仿宋_GB2312" w:eastAsia="仿宋_GB2312"/>
          <w:color w:val="000000" w:themeColor="text1"/>
          <w:sz w:val="32"/>
          <w:szCs w:val="32"/>
          <w:highlight w:val="none"/>
          <w:lang w:val="en-US" w:eastAsia="zh-CN"/>
          <w14:textFill>
            <w14:solidFill>
              <w14:schemeClr w14:val="tx1"/>
            </w14:solidFill>
          </w14:textFill>
        </w:rPr>
        <w:t>17.82</w:t>
      </w:r>
      <w:r>
        <w:rPr>
          <w:rFonts w:hint="eastAsia" w:ascii="仿宋_GB2312" w:eastAsia="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highlight w:val="none"/>
          <w:lang w:eastAsia="zh-CN"/>
          <w14:textFill>
            <w14:solidFill>
              <w14:schemeClr w14:val="tx1"/>
            </w14:solidFill>
          </w14:textFill>
        </w:rPr>
        <w:t>审计局物业工作人员劳务派遣工资</w:t>
      </w:r>
      <w:r>
        <w:rPr>
          <w:rFonts w:hint="eastAsia" w:ascii="仿宋_GB2312" w:eastAsia="仿宋_GB2312"/>
          <w:color w:val="000000" w:themeColor="text1"/>
          <w:sz w:val="32"/>
          <w:szCs w:val="32"/>
          <w:highlight w:val="none"/>
          <w14:textFill>
            <w14:solidFill>
              <w14:schemeClr w14:val="tx1"/>
            </w14:solidFill>
          </w14:textFill>
        </w:rPr>
        <w:t>。项目实施及绩效情况</w:t>
      </w:r>
      <w:r>
        <w:rPr>
          <w:rFonts w:hint="eastAsia" w:ascii="仿宋_GB2312" w:eastAsia="仿宋_GB2312"/>
          <w:color w:val="000000" w:themeColor="text1"/>
          <w:sz w:val="32"/>
          <w:szCs w:val="32"/>
          <w:highlight w:val="none"/>
          <w:lang w:eastAsia="zh-CN"/>
          <w14:textFill>
            <w14:solidFill>
              <w14:schemeClr w14:val="tx1"/>
            </w14:solidFill>
          </w14:textFill>
        </w:rPr>
        <w:t>详见项目自评表</w:t>
      </w:r>
      <w:r>
        <w:rPr>
          <w:rFonts w:hint="eastAsia" w:ascii="仿宋_GB2312" w:eastAsia="仿宋_GB2312"/>
          <w:color w:val="000000" w:themeColor="text1"/>
          <w:sz w:val="32"/>
          <w:szCs w:val="32"/>
          <w:highlight w:val="none"/>
          <w14:textFill>
            <w14:solidFill>
              <w14:schemeClr w14:val="tx1"/>
            </w14:solidFill>
          </w14:textFill>
        </w:rPr>
        <w:t>。</w:t>
      </w:r>
    </w:p>
    <w:p w14:paraId="5DD29569">
      <w:pPr>
        <w:tabs>
          <w:tab w:val="left" w:pos="7560"/>
        </w:tabs>
        <w:adjustRightInd w:val="0"/>
        <w:snapToGrid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lang w:val="en-US" w:eastAsia="zh-CN"/>
          <w14:textFill>
            <w14:solidFill>
              <w14:schemeClr w14:val="tx1"/>
            </w14:solidFill>
          </w14:textFill>
        </w:rPr>
        <w:t>2024年上半年机关事业单位退休人员绩效奖金</w:t>
      </w:r>
      <w:r>
        <w:rPr>
          <w:rFonts w:hint="eastAsia" w:ascii="仿宋_GB2312" w:eastAsia="仿宋_GB2312"/>
          <w:color w:val="000000" w:themeColor="text1"/>
          <w:sz w:val="32"/>
          <w:szCs w:val="32"/>
          <w:highlight w:val="none"/>
          <w14:textFill>
            <w14:solidFill>
              <w14:schemeClr w14:val="tx1"/>
            </w14:solidFill>
          </w14:textFill>
        </w:rPr>
        <w:t>项目</w:t>
      </w:r>
    </w:p>
    <w:p w14:paraId="46B8BAE2">
      <w:pPr>
        <w:tabs>
          <w:tab w:val="left" w:pos="7560"/>
        </w:tabs>
        <w:adjustRightInd w:val="0"/>
        <w:snapToGrid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项目支出</w:t>
      </w:r>
      <w:r>
        <w:rPr>
          <w:rFonts w:hint="eastAsia" w:ascii="仿宋_GB2312" w:eastAsia="仿宋_GB2312"/>
          <w:color w:val="000000" w:themeColor="text1"/>
          <w:sz w:val="32"/>
          <w:szCs w:val="32"/>
          <w:highlight w:val="none"/>
          <w:lang w:val="en-US" w:eastAsia="zh-CN"/>
          <w14:textFill>
            <w14:solidFill>
              <w14:schemeClr w14:val="tx1"/>
            </w14:solidFill>
          </w14:textFill>
        </w:rPr>
        <w:t>1.44</w:t>
      </w:r>
      <w:r>
        <w:rPr>
          <w:rFonts w:hint="eastAsia" w:ascii="仿宋_GB2312" w:eastAsia="仿宋_GB2312"/>
          <w:color w:val="000000" w:themeColor="text1"/>
          <w:sz w:val="32"/>
          <w:szCs w:val="32"/>
          <w:highlight w:val="none"/>
          <w14:textFill>
            <w14:solidFill>
              <w14:schemeClr w14:val="tx1"/>
            </w14:solidFill>
          </w14:textFill>
        </w:rPr>
        <w:t>万元，主要用于</w:t>
      </w:r>
      <w:r>
        <w:rPr>
          <w:rFonts w:hint="eastAsia" w:ascii="仿宋_GB2312" w:eastAsia="仿宋_GB2312"/>
          <w:color w:val="000000" w:themeColor="text1"/>
          <w:sz w:val="32"/>
          <w:szCs w:val="32"/>
          <w:highlight w:val="none"/>
          <w:lang w:eastAsia="zh-CN"/>
          <w14:textFill>
            <w14:solidFill>
              <w14:schemeClr w14:val="tx1"/>
            </w14:solidFill>
          </w14:textFill>
        </w:rPr>
        <w:t>本单位退休人员的绩效奖金</w:t>
      </w:r>
      <w:r>
        <w:rPr>
          <w:rFonts w:hint="eastAsia" w:ascii="仿宋_GB2312" w:eastAsia="仿宋_GB2312"/>
          <w:color w:val="000000" w:themeColor="text1"/>
          <w:sz w:val="32"/>
          <w:szCs w:val="32"/>
          <w:highlight w:val="none"/>
          <w14:textFill>
            <w14:solidFill>
              <w14:schemeClr w14:val="tx1"/>
            </w14:solidFill>
          </w14:textFill>
        </w:rPr>
        <w:t>。项目实施及绩效情况</w:t>
      </w:r>
      <w:r>
        <w:rPr>
          <w:rFonts w:hint="eastAsia" w:ascii="仿宋_GB2312" w:eastAsia="仿宋_GB2312"/>
          <w:color w:val="000000" w:themeColor="text1"/>
          <w:sz w:val="32"/>
          <w:szCs w:val="32"/>
          <w:highlight w:val="none"/>
          <w:lang w:eastAsia="zh-CN"/>
          <w14:textFill>
            <w14:solidFill>
              <w14:schemeClr w14:val="tx1"/>
            </w14:solidFill>
          </w14:textFill>
        </w:rPr>
        <w:t>详见项目自评表</w:t>
      </w:r>
      <w:r>
        <w:rPr>
          <w:rFonts w:hint="eastAsia" w:ascii="仿宋_GB2312" w:eastAsia="仿宋_GB2312"/>
          <w:color w:val="000000" w:themeColor="text1"/>
          <w:sz w:val="32"/>
          <w:szCs w:val="32"/>
          <w:highlight w:val="none"/>
          <w14:textFill>
            <w14:solidFill>
              <w14:schemeClr w14:val="tx1"/>
            </w14:solidFill>
          </w14:textFill>
        </w:rPr>
        <w:t>。</w:t>
      </w:r>
    </w:p>
    <w:p w14:paraId="21025662">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14:paraId="563A3D23">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sz w:val="32"/>
          <w:szCs w:val="32"/>
          <w:lang w:eastAsia="zh-CN"/>
        </w:rPr>
        <w:t>资源约束与保障需求增长的矛盾：财政预算趋紧，但机关运行保障标准和要求不断提高，资金压力持续存在。</w:t>
      </w:r>
    </w:p>
    <w:p w14:paraId="09BCCB99">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sz w:val="32"/>
          <w:szCs w:val="32"/>
          <w:lang w:eastAsia="zh-CN"/>
        </w:rPr>
        <w:t>精细化管理的深度有待加强： 在成本核算、能耗监测、资产全生命周期管理等方面的精细化、数据化水平仍需提升。</w:t>
      </w:r>
    </w:p>
    <w:p w14:paraId="72FA2018">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lang w:eastAsia="zh-CN"/>
        </w:rPr>
        <w:t>社会化服务质量监管难度： 随着后勤服务社会化程度加深，对服务供应商的质量、安全、效率监管面临挑战，考核评价体系需持续优化。</w:t>
      </w:r>
    </w:p>
    <w:p w14:paraId="3F796F1F">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lang w:eastAsia="zh-CN"/>
        </w:rPr>
        <w:t>历史遗留问题解决： 部分办公用房权属不清、老旧小区配套后勤设施改造等历史遗留问题解决难度大。</w:t>
      </w:r>
    </w:p>
    <w:p w14:paraId="62BB5D09">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lang w:eastAsia="zh-CN"/>
        </w:rPr>
        <w:t>队伍建设与专业能力：新形势下对智慧后勤、资产管理、标准化建设等领域的专业人才需求迫切，现有队伍知识结构和能力需加快更新提升。</w:t>
      </w:r>
    </w:p>
    <w:p w14:paraId="2CD71B02">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lang w:eastAsia="zh-CN"/>
        </w:rPr>
        <w:t>跨部门协同效率：在大型资产调配、综合性保障任务中，与相关部门的协调机制和效率有待进一步优化。资源约束</w:t>
      </w:r>
    </w:p>
    <w:p w14:paraId="0D5F3FF3">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八、下一步改进措施</w:t>
      </w:r>
    </w:p>
    <w:p w14:paraId="64A64D74">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lang w:eastAsia="zh-CN"/>
        </w:rPr>
        <w:t>强化预算绩效管理：深化预算与绩效管理融合，提高预算编制的科学性和精准度；加强项目事前绩效评估，优化资源配置；严格预算执行监控和绩效运行监控，确保资金效益最大化。</w:t>
      </w:r>
    </w:p>
    <w:p w14:paraId="6F5257C6">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lang w:eastAsia="zh-CN"/>
        </w:rPr>
        <w:t>深化精细化管理改革：全面推进办公用房、公务用车等核心资产的数字化、智能化管理平台建设与应用；建立健全更科学的成本核算体系和绩效评价标准；加强公共机构能耗在线监测平台应用，深挖节能潜力。</w:t>
      </w:r>
    </w:p>
    <w:p w14:paraId="57FB97A4">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lang w:eastAsia="zh-CN"/>
        </w:rPr>
        <w:t>提升社会化监管效能：完善服务供应商准入、考核、退出机制，优化服务标准和合同条款； 引入第三方评估，加强日常监管和突击检查；建立与服务供应商的常态化沟通和问题解决机制。</w:t>
      </w:r>
    </w:p>
    <w:p w14:paraId="0FADC17F">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lang w:eastAsia="zh-CN"/>
        </w:rPr>
        <w:t>着力破解历史难题：积极争取上级支持，加强与相关职能部门协调，制定专项方案，分步推进解决办公用房权属、老旧设施改造等难点问题。</w:t>
      </w:r>
    </w:p>
    <w:p w14:paraId="2B6AE5B2">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lang w:eastAsia="zh-CN"/>
        </w:rPr>
        <w:t>加强人才队伍建设：制定专项培训计划，重点提升员工在资产管理、智慧后勤、标准化、财务、法律等方面的专业素养；</w:t>
      </w:r>
      <w:bookmarkStart w:id="0" w:name="_GoBack"/>
      <w:r>
        <w:rPr>
          <w:rFonts w:hint="eastAsia" w:ascii="仿宋_GB2312" w:eastAsia="仿宋_GB2312"/>
          <w:sz w:val="32"/>
          <w:szCs w:val="32"/>
          <w:lang w:eastAsia="zh-CN"/>
        </w:rPr>
        <w:t>探索多元化用人机制，引进急需专业人才；营造学习型组织氛围，</w:t>
      </w:r>
      <w:bookmarkEnd w:id="0"/>
      <w:r>
        <w:rPr>
          <w:rFonts w:hint="eastAsia" w:ascii="仿宋_GB2312" w:eastAsia="仿宋_GB2312"/>
          <w:sz w:val="32"/>
          <w:szCs w:val="32"/>
          <w:lang w:eastAsia="zh-CN"/>
        </w:rPr>
        <w:t>鼓励创新。</w:t>
      </w:r>
    </w:p>
    <w:p w14:paraId="3BB3DA3F">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lang w:eastAsia="zh-CN"/>
        </w:rPr>
        <w:t>优化协同保障机制：推动建立更高层面的机关事务工作协调机制；完善与财政、发改、住建、公安等相关部门的常态化沟通渠道和信息共享机制；探索建立重大任务保障联合指挥体系。</w:t>
      </w:r>
    </w:p>
    <w:p w14:paraId="5FA79E76">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lang w:eastAsia="zh-CN"/>
        </w:rPr>
        <w:t>持续推进智慧后勤建设：按计划推进智慧后勤综合管理平台后续建设，整合资源、优化流程、提升效率； 探索物联网、大数据等技术在设施设备运维、能源管理、安全管理等场景的应用。</w:t>
      </w:r>
    </w:p>
    <w:p w14:paraId="6D903E00">
      <w:pPr>
        <w:spacing w:line="560" w:lineRule="exact"/>
        <w:rPr>
          <w:rFonts w:ascii="Times New Roman" w:hAnsi="Times New Roman" w:eastAsia="仿宋_GB2312" w:cs="Times New Roman"/>
          <w:sz w:val="32"/>
          <w:szCs w:val="32"/>
        </w:rPr>
      </w:pP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48921">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5EB148">
                          <w:pPr>
                            <w:pStyle w:val="4"/>
                          </w:pPr>
                          <w:r>
                            <w:t xml:space="preserve">— </w:t>
                          </w:r>
                          <w:r>
                            <w:fldChar w:fldCharType="begin"/>
                          </w:r>
                          <w:r>
                            <w:instrText xml:space="preserve"> PAGE  \* MERGEFORMAT </w:instrText>
                          </w:r>
                          <w:r>
                            <w:fldChar w:fldCharType="separate"/>
                          </w:r>
                          <w:r>
                            <w:t>18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A5EB148">
                    <w:pPr>
                      <w:pStyle w:val="4"/>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D087D"/>
    <w:multiLevelType w:val="singleLevel"/>
    <w:tmpl w:val="C2BD087D"/>
    <w:lvl w:ilvl="0" w:tentative="0">
      <w:start w:val="1"/>
      <w:numFmt w:val="decimal"/>
      <w:suff w:val="nothing"/>
      <w:lvlText w:val="%1、"/>
      <w:lvlJc w:val="left"/>
    </w:lvl>
  </w:abstractNum>
  <w:abstractNum w:abstractNumId="1">
    <w:nsid w:val="D47E6796"/>
    <w:multiLevelType w:val="singleLevel"/>
    <w:tmpl w:val="D47E6796"/>
    <w:lvl w:ilvl="0" w:tentative="0">
      <w:start w:val="2"/>
      <w:numFmt w:val="chineseCounting"/>
      <w:suff w:val="nothing"/>
      <w:lvlText w:val="（%1）"/>
      <w:lvlJc w:val="left"/>
      <w:rPr>
        <w:rFonts w:hint="eastAsia"/>
      </w:rPr>
    </w:lvl>
  </w:abstractNum>
  <w:abstractNum w:abstractNumId="2">
    <w:nsid w:val="DF2F8E4C"/>
    <w:multiLevelType w:val="singleLevel"/>
    <w:tmpl w:val="DF2F8E4C"/>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YzExODI0M2QyMWRlNGMxYjMyYTg1ZTEzYWI3NmYifQ=="/>
  </w:docVars>
  <w:rsids>
    <w:rsidRoot w:val="00222CFF"/>
    <w:rsid w:val="00051120"/>
    <w:rsid w:val="00222CFF"/>
    <w:rsid w:val="0094708B"/>
    <w:rsid w:val="05436869"/>
    <w:rsid w:val="0BCD4D32"/>
    <w:rsid w:val="0D564DFD"/>
    <w:rsid w:val="0DB57CB4"/>
    <w:rsid w:val="0E8845BE"/>
    <w:rsid w:val="0F3D21CF"/>
    <w:rsid w:val="14274190"/>
    <w:rsid w:val="18D620ED"/>
    <w:rsid w:val="18D97BBF"/>
    <w:rsid w:val="1C9A5481"/>
    <w:rsid w:val="1EE65901"/>
    <w:rsid w:val="1F397586"/>
    <w:rsid w:val="1F834D11"/>
    <w:rsid w:val="20221513"/>
    <w:rsid w:val="20DD6E94"/>
    <w:rsid w:val="21C276E9"/>
    <w:rsid w:val="2ABB2734"/>
    <w:rsid w:val="2B95569E"/>
    <w:rsid w:val="2EFFB905"/>
    <w:rsid w:val="35CF0410"/>
    <w:rsid w:val="37A570FA"/>
    <w:rsid w:val="3E6A6D4F"/>
    <w:rsid w:val="3FE693AD"/>
    <w:rsid w:val="4035158F"/>
    <w:rsid w:val="455137CA"/>
    <w:rsid w:val="4A9A5B32"/>
    <w:rsid w:val="4AF01932"/>
    <w:rsid w:val="4DD57ADF"/>
    <w:rsid w:val="4F3BD62E"/>
    <w:rsid w:val="4F7B637A"/>
    <w:rsid w:val="524C14DA"/>
    <w:rsid w:val="536974C6"/>
    <w:rsid w:val="53CB15B5"/>
    <w:rsid w:val="577C6C0C"/>
    <w:rsid w:val="590F614C"/>
    <w:rsid w:val="5A260A0C"/>
    <w:rsid w:val="5B43273A"/>
    <w:rsid w:val="5E3D48E1"/>
    <w:rsid w:val="6186789B"/>
    <w:rsid w:val="6260512D"/>
    <w:rsid w:val="63B32BC4"/>
    <w:rsid w:val="64CB5136"/>
    <w:rsid w:val="682E0498"/>
    <w:rsid w:val="68B22B53"/>
    <w:rsid w:val="6B0851D1"/>
    <w:rsid w:val="73594034"/>
    <w:rsid w:val="73FD1AE5"/>
    <w:rsid w:val="742B1ABE"/>
    <w:rsid w:val="77B909F0"/>
    <w:rsid w:val="78540864"/>
    <w:rsid w:val="7BFFF342"/>
    <w:rsid w:val="7CFFB774"/>
    <w:rsid w:val="7F4D52D0"/>
    <w:rsid w:val="7F55F449"/>
    <w:rsid w:val="9F7F477C"/>
    <w:rsid w:val="B3BDE00E"/>
    <w:rsid w:val="BB96D3B8"/>
    <w:rsid w:val="BEB6EF53"/>
    <w:rsid w:val="DFFB7864"/>
    <w:rsid w:val="E7FFF3A3"/>
    <w:rsid w:val="EDFEBBDF"/>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line="576" w:lineRule="auto"/>
      <w:outlineLvl w:val="0"/>
    </w:pPr>
    <w:rPr>
      <w:rFonts w:ascii="Calibri" w:hAnsi="Calibri" w:eastAsia="宋体" w:cs="Times New Roman"/>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rPr>
      <w:rFonts w:hint="eastAsia" w:ascii="宋体" w:hAnsi="宋体" w:eastAsia="宋体" w:cs="Times New Roman"/>
      <w:sz w:val="33"/>
      <w:szCs w:val="33"/>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标题 1 Char"/>
    <w:basedOn w:val="9"/>
    <w:link w:val="2"/>
    <w:qFormat/>
    <w:uiPriority w:val="0"/>
    <w:rPr>
      <w:rFonts w:hint="default" w:ascii="Calibri" w:hAnsi="Calibri" w:cs="Calibri"/>
      <w:b/>
      <w:bCs/>
      <w:kern w:val="44"/>
      <w:sz w:val="44"/>
      <w:szCs w:val="44"/>
    </w:rPr>
  </w:style>
  <w:style w:type="paragraph" w:customStyle="1" w:styleId="12">
    <w:name w:val="msolistparagraph"/>
    <w:basedOn w:val="1"/>
    <w:qFormat/>
    <w:uiPriority w:val="0"/>
    <w:pPr>
      <w:ind w:left="1079" w:hanging="309"/>
    </w:pPr>
    <w:rPr>
      <w:rFonts w:hint="eastAsia" w:ascii="宋体" w:hAnsi="宋体" w:eastAsia="宋体" w:cs="Times New Roman"/>
      <w:szCs w:val="22"/>
    </w:rPr>
  </w:style>
  <w:style w:type="character" w:customStyle="1" w:styleId="13">
    <w:name w:val="正文文本 Char"/>
    <w:basedOn w:val="9"/>
    <w:link w:val="3"/>
    <w:qFormat/>
    <w:uiPriority w:val="0"/>
    <w:rPr>
      <w:rFonts w:hint="eastAsia" w:ascii="宋体" w:hAnsi="宋体" w:eastAsia="宋体" w:cs="宋体"/>
      <w:kern w:val="2"/>
      <w:sz w:val="33"/>
      <w:szCs w:val="33"/>
    </w:rPr>
  </w:style>
  <w:style w:type="character" w:customStyle="1" w:styleId="14">
    <w:name w:val="font41"/>
    <w:basedOn w:val="9"/>
    <w:qFormat/>
    <w:uiPriority w:val="0"/>
    <w:rPr>
      <w:rFonts w:hint="default" w:ascii="Calibri" w:hAnsi="Calibri" w:cs="Calibri"/>
      <w:color w:val="000000"/>
      <w:sz w:val="24"/>
      <w:szCs w:val="24"/>
      <w:u w:val="none"/>
    </w:rPr>
  </w:style>
  <w:style w:type="character" w:customStyle="1" w:styleId="15">
    <w:name w:val="font01"/>
    <w:basedOn w:val="9"/>
    <w:qFormat/>
    <w:uiPriority w:val="0"/>
    <w:rPr>
      <w:rFonts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780</Words>
  <Characters>939</Characters>
  <Lines>73</Lines>
  <Paragraphs>20</Paragraphs>
  <TotalTime>20</TotalTime>
  <ScaleCrop>false</ScaleCrop>
  <LinksUpToDate>false</LinksUpToDate>
  <CharactersWithSpaces>1170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2021-03-24T07:15:00Z</dcterms:created>
  <dc:creator>Administrator</dc:creator>
  <cp:lastModifiedBy>岗子</cp:lastModifiedBy>
  <cp:lastPrinted>2025-09-17T07:16:00Z</cp:lastPrinted>
  <dcterms:modified xsi:type="dcterms:W3CDTF">2025-10-14T07:27:16Z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ADE45A13CC9747E4AAA0C08B77F8CCB8_13</vt:lpwstr>
  </property>
  <property fmtid="{D5CDD505-2E9C-101B-9397-08002B2CF9AE}" pid="4" name="KSOTemplateDocerSaveRecord">
    <vt:lpwstr>eyJoZGlkIjoiNzEzYTJjYTZjY2Y2YjVhYTc5ZDVmZGU5N2FjZmJmYTMiLCJ1c2VySWQiOiI4MzE1ODM4OTUifQ==</vt:lpwstr>
  </property>
</Properties>
</file>