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CC84A">
      <w:pPr>
        <w:pStyle w:val="16"/>
        <w:jc w:val="both"/>
        <w:rPr>
          <w:rFonts w:hint="eastAsia" w:ascii="仿宋" w:hAnsi="仿宋" w:eastAsia="仿宋"/>
          <w:sz w:val="36"/>
          <w:szCs w:val="36"/>
        </w:rPr>
      </w:pPr>
      <w:r>
        <w:rPr>
          <w:rFonts w:hint="eastAsia" w:ascii="仿宋" w:hAnsi="仿宋" w:eastAsia="仿宋"/>
          <w:sz w:val="36"/>
          <w:szCs w:val="36"/>
        </w:rPr>
        <w:t>附件1</w:t>
      </w:r>
    </w:p>
    <w:p w14:paraId="33BC33E7">
      <w:pPr>
        <w:pStyle w:val="16"/>
        <w:jc w:val="center"/>
        <w:rPr>
          <w:rFonts w:hint="eastAsia" w:ascii="仿宋" w:hAnsi="仿宋" w:eastAsia="仿宋" w:cs="Times New Roman"/>
          <w:sz w:val="56"/>
          <w:szCs w:val="56"/>
        </w:rPr>
      </w:pPr>
    </w:p>
    <w:p w14:paraId="40FD4395">
      <w:pPr>
        <w:pStyle w:val="16"/>
        <w:jc w:val="center"/>
        <w:rPr>
          <w:rFonts w:hint="eastAsia" w:ascii="仿宋" w:hAnsi="仿宋" w:eastAsia="仿宋" w:cs="Times New Roman"/>
          <w:sz w:val="84"/>
          <w:szCs w:val="84"/>
        </w:rPr>
      </w:pPr>
    </w:p>
    <w:p w14:paraId="0470B1D1">
      <w:pPr>
        <w:pStyle w:val="16"/>
        <w:jc w:val="center"/>
        <w:rPr>
          <w:rFonts w:hint="eastAsia" w:ascii="仿宋" w:hAnsi="仿宋" w:eastAsia="仿宋" w:cs="Times New Roman"/>
          <w:sz w:val="84"/>
          <w:szCs w:val="84"/>
        </w:rPr>
      </w:pPr>
    </w:p>
    <w:p w14:paraId="2342C197">
      <w:pPr>
        <w:pStyle w:val="16"/>
        <w:jc w:val="center"/>
        <w:rPr>
          <w:rFonts w:hint="eastAsia" w:ascii="仿宋" w:hAnsi="仿宋" w:eastAsia="仿宋" w:cs="Times New Roman"/>
          <w:sz w:val="84"/>
          <w:szCs w:val="84"/>
        </w:rPr>
      </w:pPr>
    </w:p>
    <w:p w14:paraId="45A4972E">
      <w:pPr>
        <w:pStyle w:val="16"/>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株洲市渌口区行政审批服务局</w:t>
      </w:r>
    </w:p>
    <w:p w14:paraId="7C879419">
      <w:pPr>
        <w:pStyle w:val="16"/>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5AF0691A">
      <w:pPr>
        <w:pStyle w:val="16"/>
        <w:spacing w:line="600" w:lineRule="exact"/>
        <w:jc w:val="both"/>
        <w:rPr>
          <w:rFonts w:hint="eastAsia" w:ascii="仿宋" w:hAnsi="仿宋" w:eastAsia="仿宋" w:cs="Times New Roman"/>
          <w:b/>
          <w:sz w:val="36"/>
          <w:szCs w:val="28"/>
        </w:rPr>
      </w:pPr>
    </w:p>
    <w:p w14:paraId="6A26E6FF">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72F2EF96">
      <w:pPr>
        <w:pStyle w:val="16"/>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株洲市渌口区行政审批服务局</w:t>
      </w:r>
      <w:r>
        <w:rPr>
          <w:rFonts w:ascii="仿宋" w:hAnsi="仿宋" w:eastAsia="仿宋" w:cs="仿宋"/>
          <w:b/>
          <w:sz w:val="28"/>
        </w:rPr>
        <w:t>概况</w:t>
      </w:r>
    </w:p>
    <w:p w14:paraId="36D580B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7B4092A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4091953C">
      <w:pPr>
        <w:pStyle w:val="16"/>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7D8A6A40">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4D0D99A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2CE56F53">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6DA45EF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0811B0B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1808145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32E7B952">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086BAA6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3AB7DC3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28598F94">
      <w:pPr>
        <w:pStyle w:val="16"/>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456EE4E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43803582">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6F12E8C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497A8A82">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162F545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288372F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51C679B2">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26E972E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23FA14F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16CCC6A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2F13911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79B6246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2B9D9755">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1A369B36">
      <w:pPr>
        <w:pStyle w:val="16"/>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1AA6315D">
      <w:pPr>
        <w:pStyle w:val="16"/>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658EE484">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4C09850">
      <w:pPr>
        <w:spacing w:line="640" w:lineRule="exact"/>
        <w:rPr>
          <w:rFonts w:hint="eastAsia" w:ascii="仿宋" w:hAnsi="仿宋" w:eastAsia="仿宋" w:cs="Times New Roman"/>
          <w:sz w:val="72"/>
          <w:szCs w:val="72"/>
        </w:rPr>
      </w:pPr>
    </w:p>
    <w:p w14:paraId="591310CA">
      <w:pPr>
        <w:widowControl/>
        <w:spacing w:line="640" w:lineRule="exact"/>
        <w:jc w:val="center"/>
        <w:rPr>
          <w:rFonts w:hint="eastAsia" w:ascii="仿宋" w:hAnsi="仿宋" w:eastAsia="仿宋" w:cs="仿宋"/>
          <w:b/>
          <w:bCs/>
          <w:kern w:val="0"/>
          <w:sz w:val="52"/>
          <w:szCs w:val="52"/>
        </w:rPr>
      </w:pPr>
    </w:p>
    <w:p w14:paraId="30911D6A">
      <w:pPr>
        <w:widowControl/>
        <w:spacing w:line="640" w:lineRule="exact"/>
        <w:jc w:val="center"/>
        <w:rPr>
          <w:rFonts w:hint="eastAsia" w:ascii="仿宋" w:hAnsi="仿宋" w:eastAsia="仿宋" w:cs="仿宋"/>
          <w:b/>
          <w:bCs/>
          <w:kern w:val="0"/>
          <w:sz w:val="52"/>
          <w:szCs w:val="52"/>
        </w:rPr>
      </w:pPr>
    </w:p>
    <w:p w14:paraId="39F01522">
      <w:pPr>
        <w:widowControl/>
        <w:spacing w:line="640" w:lineRule="exact"/>
        <w:jc w:val="center"/>
        <w:rPr>
          <w:rFonts w:hint="eastAsia" w:ascii="仿宋" w:hAnsi="仿宋" w:eastAsia="仿宋" w:cs="仿宋"/>
          <w:b/>
          <w:bCs/>
          <w:kern w:val="0"/>
          <w:sz w:val="52"/>
          <w:szCs w:val="52"/>
        </w:rPr>
      </w:pPr>
    </w:p>
    <w:p w14:paraId="1350D369">
      <w:pPr>
        <w:widowControl/>
        <w:spacing w:line="640" w:lineRule="exact"/>
        <w:jc w:val="center"/>
        <w:rPr>
          <w:rFonts w:hint="eastAsia" w:ascii="仿宋" w:hAnsi="仿宋" w:eastAsia="仿宋" w:cs="仿宋"/>
          <w:b/>
          <w:bCs/>
          <w:kern w:val="0"/>
          <w:sz w:val="52"/>
          <w:szCs w:val="52"/>
        </w:rPr>
      </w:pPr>
    </w:p>
    <w:p w14:paraId="229E2439">
      <w:pPr>
        <w:widowControl/>
        <w:spacing w:line="640" w:lineRule="exact"/>
        <w:jc w:val="center"/>
        <w:rPr>
          <w:rFonts w:hint="eastAsia" w:ascii="仿宋" w:hAnsi="仿宋" w:eastAsia="仿宋" w:cs="仿宋"/>
          <w:b/>
          <w:bCs/>
          <w:kern w:val="0"/>
          <w:sz w:val="52"/>
          <w:szCs w:val="52"/>
        </w:rPr>
      </w:pPr>
    </w:p>
    <w:p w14:paraId="54603CB9">
      <w:pPr>
        <w:widowControl/>
        <w:spacing w:line="640" w:lineRule="exact"/>
        <w:jc w:val="center"/>
        <w:rPr>
          <w:rFonts w:hint="eastAsia" w:ascii="仿宋" w:hAnsi="仿宋" w:eastAsia="仿宋" w:cs="仿宋"/>
          <w:b/>
          <w:bCs/>
          <w:kern w:val="0"/>
          <w:sz w:val="52"/>
          <w:szCs w:val="52"/>
        </w:rPr>
      </w:pPr>
    </w:p>
    <w:p w14:paraId="220EBF5F">
      <w:pPr>
        <w:widowControl/>
        <w:spacing w:line="640" w:lineRule="exact"/>
        <w:jc w:val="center"/>
        <w:rPr>
          <w:rFonts w:hint="eastAsia" w:ascii="仿宋" w:hAnsi="仿宋" w:eastAsia="仿宋" w:cs="仿宋"/>
          <w:b/>
          <w:bCs/>
          <w:kern w:val="0"/>
          <w:sz w:val="52"/>
          <w:szCs w:val="52"/>
        </w:rPr>
      </w:pPr>
    </w:p>
    <w:p w14:paraId="5B1584C6">
      <w:pPr>
        <w:widowControl/>
        <w:spacing w:line="640" w:lineRule="exact"/>
        <w:jc w:val="center"/>
        <w:rPr>
          <w:rFonts w:hint="eastAsia" w:ascii="仿宋" w:hAnsi="仿宋" w:eastAsia="仿宋" w:cs="仿宋"/>
          <w:b/>
          <w:bCs/>
          <w:kern w:val="0"/>
          <w:sz w:val="52"/>
          <w:szCs w:val="52"/>
        </w:rPr>
      </w:pPr>
    </w:p>
    <w:p w14:paraId="252B96C6">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06C75333">
      <w:pPr>
        <w:pStyle w:val="16"/>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株洲市渌口区行政审批服务局部门</w:t>
      </w:r>
      <w:r>
        <w:rPr>
          <w:rFonts w:ascii="仿宋" w:hAnsi="仿宋" w:eastAsia="仿宋" w:cs="仿宋"/>
          <w:b/>
          <w:bCs/>
          <w:sz w:val="52"/>
          <w:szCs w:val="52"/>
        </w:rPr>
        <w:t>概况</w:t>
      </w:r>
    </w:p>
    <w:p w14:paraId="4311FF27">
      <w:pPr>
        <w:pStyle w:val="2"/>
        <w:spacing w:line="640" w:lineRule="exact"/>
        <w:ind w:left="0" w:leftChars="0" w:firstLine="0" w:firstLineChars="0"/>
        <w:rPr>
          <w:rFonts w:hint="eastAsia" w:ascii="仿宋" w:hAnsi="仿宋" w:eastAsia="仿宋" w:cs="Times New Roman"/>
        </w:rPr>
      </w:pPr>
    </w:p>
    <w:p w14:paraId="12FEB291"/>
    <w:p w14:paraId="1BF479C3">
      <w:pPr>
        <w:pStyle w:val="9"/>
      </w:pPr>
    </w:p>
    <w:p w14:paraId="349B2B48">
      <w:pPr>
        <w:pStyle w:val="2"/>
        <w:ind w:firstLine="480"/>
        <w:rPr>
          <w:rFonts w:hint="eastAsia"/>
        </w:rPr>
      </w:pPr>
    </w:p>
    <w:p w14:paraId="051464C5"/>
    <w:p w14:paraId="17EF2BB9">
      <w:pPr>
        <w:pStyle w:val="9"/>
      </w:pPr>
    </w:p>
    <w:p w14:paraId="5282B646">
      <w:pPr>
        <w:pStyle w:val="2"/>
        <w:ind w:firstLine="480"/>
        <w:rPr>
          <w:rFonts w:hint="eastAsia"/>
        </w:rPr>
      </w:pPr>
    </w:p>
    <w:p w14:paraId="295B34BA"/>
    <w:p w14:paraId="2FB967C8">
      <w:pPr>
        <w:pStyle w:val="9"/>
      </w:pPr>
    </w:p>
    <w:p w14:paraId="6A486296">
      <w:pPr>
        <w:pStyle w:val="2"/>
        <w:ind w:firstLine="480"/>
        <w:rPr>
          <w:rFonts w:hint="eastAsia"/>
        </w:rPr>
      </w:pPr>
    </w:p>
    <w:p w14:paraId="7440A0CD"/>
    <w:p w14:paraId="78D4F1DF">
      <w:pPr>
        <w:pStyle w:val="9"/>
      </w:pPr>
    </w:p>
    <w:p w14:paraId="7ECF3892">
      <w:pPr>
        <w:pStyle w:val="2"/>
        <w:ind w:firstLine="480"/>
        <w:rPr>
          <w:rFonts w:hint="eastAsia"/>
        </w:rPr>
      </w:pPr>
    </w:p>
    <w:p w14:paraId="744BBAC1"/>
    <w:p w14:paraId="5350CC2E">
      <w:pPr>
        <w:pStyle w:val="9"/>
      </w:pPr>
    </w:p>
    <w:p w14:paraId="42669289">
      <w:pPr>
        <w:pStyle w:val="2"/>
        <w:ind w:firstLine="480"/>
        <w:rPr>
          <w:rFonts w:hint="eastAsia"/>
        </w:rPr>
      </w:pPr>
    </w:p>
    <w:p w14:paraId="64F2E5B9"/>
    <w:p w14:paraId="1C764654"/>
    <w:p w14:paraId="1BF589F2">
      <w:pPr>
        <w:pStyle w:val="9"/>
      </w:pPr>
    </w:p>
    <w:p w14:paraId="7931F0B0">
      <w:pPr>
        <w:pStyle w:val="5"/>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4C798BF1">
      <w:pPr>
        <w:widowControl/>
        <w:spacing w:line="640" w:lineRule="exact"/>
        <w:ind w:firstLine="640" w:firstLineChars="200"/>
        <w:rPr>
          <w:rFonts w:hint="eastAsia" w:ascii="仿宋" w:hAnsi="仿宋" w:eastAsia="仿宋" w:cs="Times New Roman"/>
          <w:bCs/>
          <w:kern w:val="0"/>
          <w:sz w:val="32"/>
          <w:szCs w:val="32"/>
        </w:rPr>
      </w:pPr>
      <w:r>
        <w:rPr>
          <w:rFonts w:ascii="仿宋" w:hAnsi="仿宋" w:eastAsia="仿宋" w:cs="Times New Roman"/>
          <w:sz w:val="32"/>
          <w:szCs w:val="32"/>
        </w:rPr>
        <w:t>（一）</w:t>
      </w:r>
      <w:r>
        <w:rPr>
          <w:rFonts w:ascii="仿宋" w:hAnsi="仿宋" w:eastAsia="仿宋" w:cs="Times New Roman"/>
          <w:bCs/>
          <w:kern w:val="0"/>
          <w:sz w:val="32"/>
          <w:szCs w:val="32"/>
        </w:rPr>
        <w:t>牵头负责指导、协调、推进全区行政审批制度改革工作；负责全区重点项目行政审批事项督办工作。</w:t>
      </w:r>
    </w:p>
    <w:p w14:paraId="0B2FDF22">
      <w:pPr>
        <w:widowControl/>
        <w:spacing w:line="640" w:lineRule="exact"/>
        <w:ind w:firstLine="640" w:firstLineChars="200"/>
        <w:rPr>
          <w:rFonts w:ascii="仿宋" w:hAnsi="仿宋" w:eastAsia="仿宋" w:cs="Times New Roman"/>
          <w:bCs/>
          <w:kern w:val="0"/>
          <w:sz w:val="32"/>
          <w:szCs w:val="32"/>
        </w:rPr>
      </w:pPr>
      <w:r>
        <w:rPr>
          <w:rFonts w:ascii="仿宋" w:hAnsi="仿宋" w:eastAsia="仿宋" w:cs="Times New Roman"/>
          <w:bCs/>
          <w:kern w:val="0"/>
          <w:sz w:val="32"/>
          <w:szCs w:val="32"/>
        </w:rPr>
        <w:t>（二）统筹推进、监督协调全区“互联网+政务服务”工作。</w:t>
      </w:r>
    </w:p>
    <w:p w14:paraId="00564C0B">
      <w:pPr>
        <w:widowControl/>
        <w:spacing w:line="640" w:lineRule="exact"/>
        <w:ind w:firstLine="640" w:firstLineChars="200"/>
        <w:rPr>
          <w:rFonts w:ascii="仿宋" w:hAnsi="仿宋" w:eastAsia="仿宋" w:cs="Times New Roman"/>
          <w:bCs/>
          <w:kern w:val="0"/>
          <w:sz w:val="32"/>
          <w:szCs w:val="32"/>
        </w:rPr>
      </w:pPr>
      <w:r>
        <w:rPr>
          <w:rFonts w:ascii="仿宋" w:hAnsi="仿宋" w:eastAsia="仿宋" w:cs="Times New Roman"/>
          <w:bCs/>
          <w:kern w:val="0"/>
          <w:sz w:val="32"/>
          <w:szCs w:val="32"/>
        </w:rPr>
        <w:t>（</w:t>
      </w:r>
      <w:r>
        <w:rPr>
          <w:rFonts w:hint="eastAsia" w:ascii="仿宋" w:hAnsi="仿宋" w:eastAsia="仿宋" w:cs="Times New Roman"/>
          <w:bCs/>
          <w:kern w:val="0"/>
          <w:sz w:val="32"/>
          <w:szCs w:val="32"/>
          <w:lang w:eastAsia="zh-CN"/>
        </w:rPr>
        <w:t>三</w:t>
      </w:r>
      <w:r>
        <w:rPr>
          <w:rFonts w:ascii="仿宋" w:hAnsi="仿宋" w:eastAsia="仿宋" w:cs="Times New Roman"/>
          <w:bCs/>
          <w:kern w:val="0"/>
          <w:sz w:val="32"/>
          <w:szCs w:val="32"/>
        </w:rPr>
        <w:t>）负责区集中统一办事大厅政务服务标准化、规范化建设以及进驻部门和人员的日常管理、培训、监督和考核</w:t>
      </w:r>
      <w:r>
        <w:rPr>
          <w:rFonts w:hint="eastAsia" w:ascii="仿宋" w:hAnsi="仿宋" w:eastAsia="仿宋" w:cs="Times New Roman"/>
          <w:bCs/>
          <w:kern w:val="0"/>
          <w:sz w:val="32"/>
          <w:szCs w:val="32"/>
        </w:rPr>
        <w:t>工作</w:t>
      </w:r>
      <w:r>
        <w:rPr>
          <w:rFonts w:ascii="仿宋" w:hAnsi="仿宋" w:eastAsia="仿宋" w:cs="Times New Roman"/>
          <w:bCs/>
          <w:kern w:val="0"/>
          <w:sz w:val="32"/>
          <w:szCs w:val="32"/>
        </w:rPr>
        <w:t>。</w:t>
      </w:r>
    </w:p>
    <w:p w14:paraId="20F6300A">
      <w:pPr>
        <w:widowControl/>
        <w:spacing w:line="640" w:lineRule="exact"/>
        <w:ind w:firstLine="640" w:firstLineChars="200"/>
        <w:rPr>
          <w:rFonts w:ascii="仿宋" w:hAnsi="仿宋" w:eastAsia="仿宋" w:cs="Times New Roman"/>
          <w:bCs/>
          <w:kern w:val="0"/>
          <w:sz w:val="32"/>
          <w:szCs w:val="32"/>
        </w:rPr>
      </w:pPr>
      <w:r>
        <w:rPr>
          <w:rFonts w:hint="eastAsia" w:ascii="仿宋" w:hAnsi="仿宋" w:eastAsia="仿宋" w:cs="Times New Roman"/>
          <w:bCs/>
          <w:kern w:val="0"/>
          <w:sz w:val="32"/>
          <w:szCs w:val="32"/>
          <w:lang w:eastAsia="zh-CN"/>
        </w:rPr>
        <w:t>（四）</w:t>
      </w:r>
      <w:r>
        <w:rPr>
          <w:rFonts w:ascii="仿宋" w:hAnsi="仿宋" w:eastAsia="仿宋" w:cs="Times New Roman"/>
          <w:bCs/>
          <w:kern w:val="0"/>
          <w:sz w:val="32"/>
          <w:szCs w:val="32"/>
        </w:rPr>
        <w:t>指导推进跨领域、跨部门“放管服”改革工作。</w:t>
      </w:r>
    </w:p>
    <w:p w14:paraId="2EF3CA4B">
      <w:pPr>
        <w:widowControl/>
        <w:spacing w:line="640" w:lineRule="exact"/>
        <w:ind w:firstLine="640" w:firstLineChars="200"/>
        <w:rPr>
          <w:rFonts w:hint="eastAsia" w:ascii="仿宋" w:hAnsi="仿宋" w:eastAsia="仿宋" w:cs="Times New Roman"/>
          <w:bCs/>
          <w:kern w:val="0"/>
          <w:sz w:val="32"/>
          <w:szCs w:val="32"/>
        </w:rPr>
      </w:pPr>
      <w:r>
        <w:rPr>
          <w:rFonts w:hint="eastAsia" w:ascii="仿宋" w:hAnsi="仿宋" w:eastAsia="仿宋" w:cs="Times New Roman"/>
          <w:bCs/>
          <w:kern w:val="0"/>
          <w:sz w:val="32"/>
          <w:szCs w:val="32"/>
          <w:lang w:eastAsia="zh-CN"/>
        </w:rPr>
        <w:t>（五）</w:t>
      </w:r>
      <w:r>
        <w:rPr>
          <w:rFonts w:ascii="仿宋" w:hAnsi="仿宋" w:eastAsia="仿宋" w:cs="Times New Roman"/>
          <w:bCs/>
          <w:kern w:val="0"/>
          <w:sz w:val="32"/>
          <w:szCs w:val="32"/>
        </w:rPr>
        <w:t>完成区委、区政府交办的其他任务。</w:t>
      </w:r>
    </w:p>
    <w:p w14:paraId="43D5C90B">
      <w:pPr>
        <w:pStyle w:val="5"/>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0F37ABC1">
      <w:pPr>
        <w:spacing w:line="600" w:lineRule="exact"/>
        <w:ind w:firstLine="640" w:firstLineChars="200"/>
        <w:rPr>
          <w:rFonts w:hint="eastAsia" w:ascii="仿宋" w:hAnsi="仿宋" w:eastAsia="仿宋" w:cs="Times New Roman"/>
          <w:bCs/>
          <w:kern w:val="0"/>
          <w:sz w:val="32"/>
          <w:szCs w:val="32"/>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rPr>
        <w:t>株洲市渌口区行政审批服务局</w:t>
      </w:r>
      <w:r>
        <w:rPr>
          <w:rFonts w:ascii="仿宋" w:hAnsi="仿宋" w:eastAsia="仿宋" w:cs="Times New Roman"/>
          <w:bCs/>
          <w:kern w:val="0"/>
          <w:sz w:val="32"/>
          <w:szCs w:val="32"/>
        </w:rPr>
        <w:t>内设</w:t>
      </w:r>
      <w:r>
        <w:rPr>
          <w:rFonts w:hint="eastAsia" w:ascii="仿宋" w:hAnsi="仿宋" w:eastAsia="仿宋" w:cs="Times New Roman"/>
          <w:bCs/>
          <w:kern w:val="0"/>
          <w:sz w:val="32"/>
          <w:szCs w:val="32"/>
          <w:lang w:eastAsia="zh-CN"/>
        </w:rPr>
        <w:t>股室</w:t>
      </w:r>
      <w:r>
        <w:rPr>
          <w:rFonts w:hint="eastAsia" w:ascii="仿宋" w:hAnsi="仿宋" w:eastAsia="仿宋" w:cs="Times New Roman"/>
          <w:bCs/>
          <w:kern w:val="0"/>
          <w:sz w:val="32"/>
          <w:szCs w:val="32"/>
          <w:lang w:val="en-US" w:eastAsia="zh-CN"/>
        </w:rPr>
        <w:t>3个</w:t>
      </w:r>
      <w:r>
        <w:rPr>
          <w:rFonts w:ascii="仿宋" w:hAnsi="仿宋" w:eastAsia="仿宋" w:cs="Times New Roman"/>
          <w:bCs/>
          <w:kern w:val="0"/>
          <w:sz w:val="32"/>
          <w:szCs w:val="32"/>
        </w:rPr>
        <w:t>包括：</w:t>
      </w:r>
      <w:r>
        <w:rPr>
          <w:rFonts w:hint="eastAsia" w:ascii="仿宋" w:hAnsi="仿宋" w:eastAsia="仿宋" w:cs="Times New Roman"/>
          <w:bCs/>
          <w:kern w:val="0"/>
          <w:sz w:val="32"/>
          <w:szCs w:val="32"/>
        </w:rPr>
        <w:t>办公室、行政审批制度改革股、</w:t>
      </w:r>
      <w:r>
        <w:rPr>
          <w:rFonts w:ascii="仿宋" w:hAnsi="仿宋" w:eastAsia="仿宋" w:cs="Times New Roman"/>
          <w:bCs/>
          <w:kern w:val="0"/>
          <w:sz w:val="32"/>
          <w:szCs w:val="32"/>
        </w:rPr>
        <w:t>政务服务管理股</w:t>
      </w:r>
      <w:r>
        <w:rPr>
          <w:rFonts w:hint="eastAsia" w:ascii="仿宋" w:hAnsi="仿宋" w:eastAsia="仿宋" w:cs="Times New Roman"/>
          <w:bCs/>
          <w:kern w:val="0"/>
          <w:sz w:val="32"/>
          <w:szCs w:val="32"/>
        </w:rPr>
        <w:t>。所属事业单位1个，渌口区政务服务中心为副科级公益一类全额拨款事业单位。单位职能划转，“数字渌口”发展事务中心划转到区数据局。</w:t>
      </w:r>
      <w:r>
        <w:rPr>
          <w:rFonts w:ascii="仿宋" w:hAnsi="仿宋" w:eastAsia="仿宋" w:cs="Times New Roman"/>
          <w:bCs/>
          <w:kern w:val="0"/>
          <w:sz w:val="32"/>
          <w:szCs w:val="32"/>
        </w:rPr>
        <w:t>本部门共有编制人数</w:t>
      </w:r>
      <w:r>
        <w:rPr>
          <w:rFonts w:hint="eastAsia" w:ascii="仿宋" w:hAnsi="仿宋" w:eastAsia="仿宋" w:cs="Times New Roman"/>
          <w:bCs/>
          <w:kern w:val="0"/>
          <w:sz w:val="32"/>
          <w:szCs w:val="32"/>
          <w:lang w:val="en-US" w:eastAsia="zh-CN"/>
        </w:rPr>
        <w:t>12</w:t>
      </w:r>
      <w:r>
        <w:rPr>
          <w:rFonts w:ascii="仿宋" w:hAnsi="仿宋" w:eastAsia="仿宋" w:cs="Times New Roman"/>
          <w:bCs/>
          <w:kern w:val="0"/>
          <w:sz w:val="32"/>
          <w:szCs w:val="32"/>
        </w:rPr>
        <w:t>人，实有人数</w:t>
      </w:r>
      <w:r>
        <w:rPr>
          <w:rFonts w:hint="eastAsia" w:ascii="仿宋" w:hAnsi="仿宋" w:eastAsia="仿宋" w:cs="Times New Roman"/>
          <w:bCs/>
          <w:kern w:val="0"/>
          <w:sz w:val="32"/>
          <w:szCs w:val="32"/>
          <w:lang w:val="en-US" w:eastAsia="zh-CN"/>
        </w:rPr>
        <w:t>8</w:t>
      </w:r>
      <w:r>
        <w:rPr>
          <w:rFonts w:ascii="仿宋" w:hAnsi="仿宋" w:eastAsia="仿宋" w:cs="Times New Roman"/>
          <w:bCs/>
          <w:kern w:val="0"/>
          <w:sz w:val="32"/>
          <w:szCs w:val="32"/>
        </w:rPr>
        <w:t>人。</w:t>
      </w:r>
    </w:p>
    <w:p w14:paraId="54C4EE3A">
      <w:pPr>
        <w:widowControl/>
        <w:spacing w:line="640" w:lineRule="exact"/>
        <w:ind w:firstLine="640" w:firstLineChars="200"/>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lang w:eastAsia="zh-CN"/>
        </w:rPr>
        <w:t>株洲市渌口区行政审批服务局</w:t>
      </w:r>
      <w:r>
        <w:rPr>
          <w:rFonts w:ascii="仿宋" w:hAnsi="仿宋" w:eastAsia="仿宋" w:cs="Times New Roman"/>
          <w:bCs/>
          <w:kern w:val="0"/>
          <w:sz w:val="32"/>
          <w:szCs w:val="32"/>
        </w:rPr>
        <w:t>2024年部门决算汇总公开单位构成包括：</w:t>
      </w:r>
      <w:r>
        <w:rPr>
          <w:rFonts w:hint="eastAsia" w:ascii="仿宋" w:hAnsi="仿宋" w:eastAsia="仿宋" w:cs="Times New Roman"/>
          <w:bCs/>
          <w:kern w:val="0"/>
          <w:sz w:val="32"/>
          <w:szCs w:val="32"/>
          <w:lang w:eastAsia="zh-CN"/>
        </w:rPr>
        <w:t>株洲市渌口区行政审批服务局</w:t>
      </w:r>
      <w:r>
        <w:rPr>
          <w:rFonts w:ascii="仿宋" w:hAnsi="仿宋" w:eastAsia="仿宋" w:cs="Times New Roman"/>
          <w:bCs/>
          <w:kern w:val="0"/>
          <w:sz w:val="32"/>
          <w:szCs w:val="32"/>
        </w:rPr>
        <w:t>本级</w:t>
      </w:r>
      <w:r>
        <w:rPr>
          <w:rFonts w:hint="eastAsia" w:ascii="仿宋" w:hAnsi="仿宋" w:eastAsia="仿宋" w:cs="Times New Roman"/>
          <w:bCs/>
          <w:kern w:val="0"/>
          <w:sz w:val="32"/>
          <w:szCs w:val="32"/>
          <w:lang w:eastAsia="zh-CN"/>
        </w:rPr>
        <w:t>。</w:t>
      </w:r>
    </w:p>
    <w:p w14:paraId="7C451C09">
      <w:pPr>
        <w:widowControl/>
        <w:jc w:val="center"/>
        <w:rPr>
          <w:rFonts w:hint="eastAsia" w:ascii="仿宋" w:hAnsi="仿宋" w:eastAsia="仿宋" w:cs="仿宋"/>
          <w:b/>
          <w:bCs/>
          <w:kern w:val="0"/>
          <w:sz w:val="52"/>
          <w:szCs w:val="52"/>
        </w:rPr>
      </w:pPr>
    </w:p>
    <w:p w14:paraId="702F5AE5">
      <w:pPr>
        <w:widowControl/>
        <w:jc w:val="center"/>
        <w:rPr>
          <w:rFonts w:hint="eastAsia" w:ascii="仿宋" w:hAnsi="仿宋" w:eastAsia="仿宋" w:cs="仿宋"/>
          <w:b/>
          <w:bCs/>
          <w:kern w:val="0"/>
          <w:sz w:val="52"/>
          <w:szCs w:val="52"/>
        </w:rPr>
      </w:pPr>
    </w:p>
    <w:p w14:paraId="046FDCC3">
      <w:pPr>
        <w:widowControl/>
        <w:jc w:val="center"/>
        <w:rPr>
          <w:rFonts w:hint="eastAsia" w:ascii="仿宋" w:hAnsi="仿宋" w:eastAsia="仿宋" w:cs="仿宋"/>
          <w:b/>
          <w:bCs/>
          <w:kern w:val="0"/>
          <w:sz w:val="52"/>
          <w:szCs w:val="52"/>
        </w:rPr>
      </w:pPr>
    </w:p>
    <w:p w14:paraId="3F003986">
      <w:pPr>
        <w:pStyle w:val="9"/>
      </w:pPr>
    </w:p>
    <w:p w14:paraId="093ACAC8">
      <w:pPr>
        <w:pStyle w:val="2"/>
        <w:ind w:firstLine="480"/>
        <w:rPr>
          <w:rFonts w:hint="eastAsia"/>
        </w:rPr>
      </w:pPr>
    </w:p>
    <w:p w14:paraId="5A8E786B">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3F040D9B">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61A513CD">
      <w:pPr>
        <w:pStyle w:val="9"/>
        <w:rPr>
          <w:rFonts w:hint="eastAsia" w:ascii="仿宋" w:hAnsi="仿宋" w:eastAsia="仿宋"/>
        </w:rPr>
      </w:pPr>
    </w:p>
    <w:p w14:paraId="07764B86">
      <w:pPr>
        <w:pStyle w:val="2"/>
        <w:ind w:firstLine="480"/>
        <w:rPr>
          <w:rFonts w:hint="eastAsia" w:ascii="仿宋" w:hAnsi="仿宋" w:eastAsia="仿宋"/>
        </w:rPr>
      </w:pPr>
    </w:p>
    <w:p w14:paraId="360F8404">
      <w:pPr>
        <w:rPr>
          <w:rFonts w:hint="eastAsia" w:ascii="仿宋" w:hAnsi="仿宋" w:eastAsia="仿宋"/>
        </w:rPr>
      </w:pPr>
    </w:p>
    <w:p w14:paraId="5E03477A">
      <w:pPr>
        <w:pStyle w:val="9"/>
        <w:rPr>
          <w:rFonts w:hint="eastAsia" w:ascii="仿宋" w:hAnsi="仿宋" w:eastAsia="仿宋"/>
        </w:rPr>
      </w:pPr>
    </w:p>
    <w:p w14:paraId="7FF0F594">
      <w:pPr>
        <w:pStyle w:val="2"/>
        <w:ind w:firstLine="480"/>
        <w:rPr>
          <w:rFonts w:hint="eastAsia" w:ascii="仿宋" w:hAnsi="仿宋" w:eastAsia="仿宋"/>
        </w:rPr>
      </w:pPr>
    </w:p>
    <w:p w14:paraId="2970885E">
      <w:pPr>
        <w:rPr>
          <w:rFonts w:hint="eastAsia" w:ascii="仿宋" w:hAnsi="仿宋" w:eastAsia="仿宋"/>
        </w:rPr>
      </w:pPr>
    </w:p>
    <w:p w14:paraId="407F334B">
      <w:pPr>
        <w:pStyle w:val="9"/>
        <w:rPr>
          <w:rFonts w:hint="eastAsia" w:ascii="仿宋" w:hAnsi="仿宋" w:eastAsia="仿宋"/>
        </w:rPr>
      </w:pPr>
    </w:p>
    <w:p w14:paraId="78F4AF2D">
      <w:pPr>
        <w:pStyle w:val="2"/>
        <w:ind w:firstLine="480"/>
        <w:rPr>
          <w:rFonts w:hint="eastAsia" w:ascii="仿宋" w:hAnsi="仿宋" w:eastAsia="仿宋"/>
        </w:rPr>
      </w:pPr>
    </w:p>
    <w:p w14:paraId="19CDAEA9">
      <w:pPr>
        <w:rPr>
          <w:rFonts w:hint="eastAsia" w:ascii="仿宋" w:hAnsi="仿宋" w:eastAsia="仿宋"/>
        </w:rPr>
      </w:pPr>
    </w:p>
    <w:p w14:paraId="1F53DF6D">
      <w:pPr>
        <w:pStyle w:val="2"/>
        <w:ind w:firstLine="480"/>
        <w:rPr>
          <w:rFonts w:hint="eastAsia" w:ascii="仿宋" w:hAnsi="仿宋" w:eastAsia="仿宋"/>
        </w:rPr>
      </w:pPr>
    </w:p>
    <w:p w14:paraId="39150297">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137B401D">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381EAB69">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株洲市渌口区行政审批服务局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3309D2EA">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C3448B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2F139F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30B2C7F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7CE11B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F3F530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4A7B4F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045ABC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9D818B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F84A03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775BD19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35DC81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6B16276">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73DFCC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CF4D52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DA56445">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B8A943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77013B9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DF1BE6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A76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E636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972.81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8233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5F6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5DC59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683.64</w:t>
            </w:r>
          </w:p>
        </w:tc>
      </w:tr>
      <w:tr w14:paraId="2D96C2F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EF8F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090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CC34EF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23F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82B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68DEBC">
            <w:pPr>
              <w:widowControl/>
              <w:spacing w:line="222" w:lineRule="exact"/>
              <w:jc w:val="center"/>
              <w:rPr>
                <w:rFonts w:hint="eastAsia" w:ascii="仿宋" w:hAnsi="仿宋" w:eastAsia="仿宋" w:cs="宋体"/>
                <w:kern w:val="0"/>
                <w:sz w:val="20"/>
                <w:szCs w:val="20"/>
              </w:rPr>
            </w:pPr>
          </w:p>
        </w:tc>
      </w:tr>
      <w:tr w14:paraId="3472D28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3B338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4A1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96392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38C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933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40EDAD2">
            <w:pPr>
              <w:widowControl/>
              <w:spacing w:line="222" w:lineRule="exact"/>
              <w:jc w:val="center"/>
              <w:rPr>
                <w:rFonts w:hint="eastAsia" w:ascii="仿宋" w:hAnsi="仿宋" w:eastAsia="仿宋" w:cs="宋体"/>
                <w:kern w:val="0"/>
                <w:sz w:val="20"/>
                <w:szCs w:val="20"/>
              </w:rPr>
            </w:pPr>
          </w:p>
        </w:tc>
      </w:tr>
      <w:tr w14:paraId="135ABE7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074A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1D7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58C4E8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6C5C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D4E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4676C93">
            <w:pPr>
              <w:widowControl/>
              <w:spacing w:line="222" w:lineRule="exact"/>
              <w:jc w:val="center"/>
              <w:rPr>
                <w:rFonts w:hint="eastAsia" w:ascii="仿宋" w:hAnsi="仿宋" w:eastAsia="仿宋" w:cs="宋体"/>
                <w:kern w:val="0"/>
                <w:sz w:val="20"/>
                <w:szCs w:val="20"/>
              </w:rPr>
            </w:pPr>
          </w:p>
        </w:tc>
      </w:tr>
      <w:tr w14:paraId="632535C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9602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5D5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71E4534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BB36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BD1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B092FAE">
            <w:pPr>
              <w:widowControl/>
              <w:spacing w:line="222" w:lineRule="exact"/>
              <w:jc w:val="center"/>
              <w:rPr>
                <w:rFonts w:hint="eastAsia" w:ascii="仿宋" w:hAnsi="仿宋" w:eastAsia="仿宋" w:cs="宋体"/>
                <w:kern w:val="0"/>
                <w:sz w:val="20"/>
                <w:szCs w:val="20"/>
              </w:rPr>
            </w:pPr>
          </w:p>
        </w:tc>
      </w:tr>
      <w:tr w14:paraId="1FDB887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219F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C5B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686017F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1E2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9CB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8320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246.89</w:t>
            </w:r>
          </w:p>
        </w:tc>
      </w:tr>
      <w:tr w14:paraId="5D6CD66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573E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F94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BA7B98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B954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769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10D524B">
            <w:pPr>
              <w:widowControl/>
              <w:spacing w:line="222" w:lineRule="exact"/>
              <w:jc w:val="center"/>
              <w:rPr>
                <w:rFonts w:hint="eastAsia" w:ascii="仿宋" w:hAnsi="仿宋" w:eastAsia="仿宋" w:cs="宋体"/>
                <w:kern w:val="0"/>
                <w:sz w:val="20"/>
                <w:szCs w:val="20"/>
              </w:rPr>
            </w:pPr>
          </w:p>
        </w:tc>
      </w:tr>
      <w:tr w14:paraId="503EC4F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5099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167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EE3B60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D2C4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056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29F0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22.3</w:t>
            </w:r>
          </w:p>
        </w:tc>
      </w:tr>
      <w:tr w14:paraId="4B9B9E8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4039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C60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4A0808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62C1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C1E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8614F3">
            <w:pPr>
              <w:widowControl/>
              <w:spacing w:line="222" w:lineRule="exact"/>
              <w:jc w:val="center"/>
              <w:rPr>
                <w:rFonts w:hint="eastAsia" w:ascii="仿宋" w:hAnsi="仿宋" w:eastAsia="仿宋" w:cs="宋体"/>
                <w:kern w:val="0"/>
                <w:sz w:val="20"/>
                <w:szCs w:val="20"/>
              </w:rPr>
            </w:pPr>
          </w:p>
        </w:tc>
      </w:tr>
      <w:tr w14:paraId="2BAECA9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17B9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196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2287CE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B5AE4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0F9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ADC05A7">
            <w:pPr>
              <w:widowControl/>
              <w:spacing w:line="222" w:lineRule="exact"/>
              <w:jc w:val="center"/>
              <w:rPr>
                <w:rFonts w:hint="eastAsia" w:ascii="仿宋" w:hAnsi="仿宋" w:eastAsia="仿宋" w:cs="宋体"/>
                <w:kern w:val="0"/>
                <w:sz w:val="20"/>
                <w:szCs w:val="20"/>
              </w:rPr>
            </w:pPr>
          </w:p>
        </w:tc>
      </w:tr>
      <w:tr w14:paraId="104F71D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E515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95D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FDEAD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3AA18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410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9862B0">
            <w:pPr>
              <w:widowControl/>
              <w:spacing w:line="222" w:lineRule="exact"/>
              <w:jc w:val="center"/>
              <w:rPr>
                <w:rFonts w:hint="eastAsia" w:ascii="仿宋" w:hAnsi="仿宋" w:eastAsia="仿宋" w:cs="宋体"/>
                <w:kern w:val="0"/>
                <w:sz w:val="20"/>
                <w:szCs w:val="20"/>
              </w:rPr>
            </w:pPr>
          </w:p>
        </w:tc>
      </w:tr>
      <w:tr w14:paraId="3C45203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6BA8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605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4A5AA4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6841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14D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DA7022">
            <w:pPr>
              <w:widowControl/>
              <w:spacing w:line="222" w:lineRule="exact"/>
              <w:jc w:val="center"/>
              <w:rPr>
                <w:rFonts w:hint="eastAsia" w:ascii="仿宋" w:hAnsi="仿宋" w:eastAsia="仿宋" w:cs="宋体"/>
                <w:kern w:val="0"/>
                <w:sz w:val="20"/>
                <w:szCs w:val="20"/>
              </w:rPr>
            </w:pPr>
          </w:p>
        </w:tc>
      </w:tr>
      <w:tr w14:paraId="7B9C7C7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C2A9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030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8CD107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5A064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D6A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07F8D3">
            <w:pPr>
              <w:widowControl/>
              <w:spacing w:line="222" w:lineRule="exact"/>
              <w:jc w:val="center"/>
              <w:rPr>
                <w:rFonts w:hint="eastAsia" w:ascii="仿宋" w:hAnsi="仿宋" w:eastAsia="仿宋" w:cs="宋体"/>
                <w:kern w:val="0"/>
                <w:sz w:val="20"/>
                <w:szCs w:val="20"/>
              </w:rPr>
            </w:pPr>
          </w:p>
        </w:tc>
      </w:tr>
      <w:tr w14:paraId="5EC4149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A4B1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3B8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CF3FCA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5B81F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5E5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045297">
            <w:pPr>
              <w:widowControl/>
              <w:spacing w:line="222" w:lineRule="exact"/>
              <w:jc w:val="center"/>
              <w:rPr>
                <w:rFonts w:hint="eastAsia" w:ascii="仿宋" w:hAnsi="仿宋" w:eastAsia="仿宋" w:cs="宋体"/>
                <w:kern w:val="0"/>
                <w:sz w:val="20"/>
                <w:szCs w:val="20"/>
              </w:rPr>
            </w:pPr>
          </w:p>
        </w:tc>
      </w:tr>
      <w:tr w14:paraId="67119E5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271B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89D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E1B841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5D4E7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BA0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993845">
            <w:pPr>
              <w:widowControl/>
              <w:spacing w:line="222" w:lineRule="exact"/>
              <w:jc w:val="center"/>
              <w:rPr>
                <w:rFonts w:hint="eastAsia" w:ascii="仿宋" w:hAnsi="仿宋" w:eastAsia="仿宋" w:cs="宋体"/>
                <w:kern w:val="0"/>
                <w:sz w:val="20"/>
                <w:szCs w:val="20"/>
              </w:rPr>
            </w:pPr>
          </w:p>
        </w:tc>
      </w:tr>
      <w:tr w14:paraId="51F245C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693C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93B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B1A8E4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C91B8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735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061916D">
            <w:pPr>
              <w:widowControl/>
              <w:spacing w:line="222" w:lineRule="exact"/>
              <w:jc w:val="center"/>
              <w:rPr>
                <w:rFonts w:hint="eastAsia" w:ascii="仿宋" w:hAnsi="仿宋" w:eastAsia="仿宋" w:cs="宋体"/>
                <w:kern w:val="0"/>
                <w:sz w:val="20"/>
                <w:szCs w:val="20"/>
              </w:rPr>
            </w:pPr>
          </w:p>
        </w:tc>
      </w:tr>
      <w:tr w14:paraId="0B15D9F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40F1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305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A356B2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46884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000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04E46EF">
            <w:pPr>
              <w:widowControl/>
              <w:spacing w:line="222" w:lineRule="exact"/>
              <w:jc w:val="center"/>
              <w:rPr>
                <w:rFonts w:hint="eastAsia" w:ascii="仿宋" w:hAnsi="仿宋" w:eastAsia="仿宋" w:cs="宋体"/>
                <w:kern w:val="0"/>
                <w:sz w:val="20"/>
                <w:szCs w:val="20"/>
              </w:rPr>
            </w:pPr>
          </w:p>
        </w:tc>
      </w:tr>
      <w:tr w14:paraId="07089FC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D943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6F8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AA757F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B100F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C50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76CE2F">
            <w:pPr>
              <w:widowControl/>
              <w:spacing w:line="222" w:lineRule="exact"/>
              <w:jc w:val="center"/>
              <w:rPr>
                <w:rFonts w:hint="eastAsia" w:ascii="仿宋" w:hAnsi="仿宋" w:eastAsia="仿宋" w:cs="宋体"/>
                <w:kern w:val="0"/>
                <w:sz w:val="20"/>
                <w:szCs w:val="20"/>
              </w:rPr>
            </w:pPr>
          </w:p>
        </w:tc>
      </w:tr>
      <w:tr w14:paraId="4144DF8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89A6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05F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9AD8D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3523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CCF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0CD4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19.98</w:t>
            </w:r>
          </w:p>
        </w:tc>
      </w:tr>
      <w:tr w14:paraId="568061F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0522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EA8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3CBB47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D75F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4A9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C0E59B1">
            <w:pPr>
              <w:widowControl/>
              <w:spacing w:line="222" w:lineRule="exact"/>
              <w:jc w:val="center"/>
              <w:rPr>
                <w:rFonts w:hint="eastAsia" w:ascii="仿宋" w:hAnsi="仿宋" w:eastAsia="仿宋" w:cs="宋体"/>
                <w:kern w:val="0"/>
                <w:sz w:val="20"/>
                <w:szCs w:val="20"/>
              </w:rPr>
            </w:pPr>
          </w:p>
        </w:tc>
      </w:tr>
      <w:tr w14:paraId="59A6FD5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8B39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BCE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83AEF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924F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71A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B79505D">
            <w:pPr>
              <w:widowControl/>
              <w:spacing w:line="222" w:lineRule="exact"/>
              <w:jc w:val="center"/>
              <w:rPr>
                <w:rFonts w:hint="eastAsia" w:ascii="仿宋" w:hAnsi="仿宋" w:eastAsia="仿宋" w:cs="宋体"/>
                <w:kern w:val="0"/>
                <w:sz w:val="20"/>
                <w:szCs w:val="20"/>
              </w:rPr>
            </w:pPr>
          </w:p>
        </w:tc>
      </w:tr>
      <w:tr w14:paraId="299E98B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0462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BA2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20A5E7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9130E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422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B55BF8A">
            <w:pPr>
              <w:widowControl/>
              <w:spacing w:line="222" w:lineRule="exact"/>
              <w:jc w:val="center"/>
              <w:rPr>
                <w:rFonts w:hint="eastAsia" w:ascii="仿宋" w:hAnsi="仿宋" w:eastAsia="仿宋" w:cs="宋体"/>
                <w:kern w:val="0"/>
                <w:sz w:val="20"/>
                <w:szCs w:val="20"/>
              </w:rPr>
            </w:pPr>
          </w:p>
        </w:tc>
      </w:tr>
      <w:tr w14:paraId="1E68D19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30D3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AF1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BEE722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DCDE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4EA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44673B4">
            <w:pPr>
              <w:widowControl/>
              <w:spacing w:line="222" w:lineRule="exact"/>
              <w:jc w:val="center"/>
              <w:rPr>
                <w:rFonts w:hint="eastAsia" w:ascii="仿宋" w:hAnsi="仿宋" w:eastAsia="仿宋" w:cs="宋体"/>
                <w:kern w:val="0"/>
                <w:sz w:val="20"/>
                <w:szCs w:val="20"/>
              </w:rPr>
            </w:pPr>
          </w:p>
        </w:tc>
      </w:tr>
      <w:tr w14:paraId="7F65EBD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F962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D1D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BB86C0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899A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A63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D92965">
            <w:pPr>
              <w:widowControl/>
              <w:spacing w:line="222" w:lineRule="exact"/>
              <w:jc w:val="center"/>
              <w:rPr>
                <w:rFonts w:hint="eastAsia" w:ascii="仿宋" w:hAnsi="仿宋" w:eastAsia="仿宋" w:cs="宋体"/>
                <w:kern w:val="0"/>
                <w:sz w:val="20"/>
                <w:szCs w:val="20"/>
              </w:rPr>
            </w:pPr>
          </w:p>
        </w:tc>
      </w:tr>
      <w:tr w14:paraId="5C6C2C3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8C54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A9A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6334B5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C095F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FCB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FD02152">
            <w:pPr>
              <w:widowControl/>
              <w:spacing w:line="222" w:lineRule="exact"/>
              <w:jc w:val="center"/>
              <w:rPr>
                <w:rFonts w:hint="eastAsia" w:ascii="仿宋" w:hAnsi="仿宋" w:eastAsia="仿宋" w:cs="宋体"/>
                <w:kern w:val="0"/>
                <w:sz w:val="20"/>
                <w:szCs w:val="20"/>
              </w:rPr>
            </w:pPr>
          </w:p>
        </w:tc>
      </w:tr>
      <w:tr w14:paraId="3814F37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EB104B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507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03D07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DCE9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DC8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D416D8">
            <w:pPr>
              <w:widowControl/>
              <w:spacing w:line="222" w:lineRule="exact"/>
              <w:jc w:val="center"/>
              <w:rPr>
                <w:rFonts w:hint="eastAsia" w:ascii="仿宋" w:hAnsi="仿宋" w:eastAsia="仿宋" w:cs="宋体"/>
                <w:kern w:val="0"/>
                <w:sz w:val="20"/>
                <w:szCs w:val="20"/>
              </w:rPr>
            </w:pPr>
          </w:p>
        </w:tc>
      </w:tr>
      <w:tr w14:paraId="0115F01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22459E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8BA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539A9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972.81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E27F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2D2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4FF7D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972.81</w:t>
            </w:r>
          </w:p>
        </w:tc>
      </w:tr>
      <w:tr w14:paraId="34CF474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4C34EA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C0A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CD266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819B1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222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0A6B739">
            <w:pPr>
              <w:widowControl/>
              <w:spacing w:line="222" w:lineRule="exact"/>
              <w:jc w:val="center"/>
              <w:rPr>
                <w:rFonts w:hint="eastAsia" w:ascii="仿宋" w:hAnsi="仿宋" w:eastAsia="仿宋" w:cs="宋体"/>
                <w:kern w:val="0"/>
                <w:sz w:val="20"/>
                <w:szCs w:val="20"/>
              </w:rPr>
            </w:pPr>
          </w:p>
        </w:tc>
      </w:tr>
      <w:tr w14:paraId="65B7BA4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458400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853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4B435E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057F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71F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094A8A6">
            <w:pPr>
              <w:widowControl/>
              <w:spacing w:line="222" w:lineRule="exact"/>
              <w:jc w:val="center"/>
              <w:rPr>
                <w:rFonts w:hint="eastAsia" w:ascii="仿宋" w:hAnsi="仿宋" w:eastAsia="仿宋" w:cs="宋体"/>
                <w:kern w:val="0"/>
                <w:sz w:val="20"/>
                <w:szCs w:val="20"/>
              </w:rPr>
            </w:pPr>
          </w:p>
        </w:tc>
      </w:tr>
      <w:tr w14:paraId="7B9DC18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FC60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A31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AB306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972.81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57EB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A00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F974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972.81</w:t>
            </w:r>
          </w:p>
        </w:tc>
      </w:tr>
    </w:tbl>
    <w:p w14:paraId="2C60F8CB">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25435D04">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5B2C1F24">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0E91841A">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7FC3BDA0">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株洲市渌口区行政审批服务局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4DCCA1B4">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C760D9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D67C90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E1BB7E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1A6DC9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6C8BD1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6EF287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EDCFBE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08F06C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751972BD">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2D7E45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724543A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EC5A55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A069DC2">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194A80C">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78A543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6FF59B6">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405B2971">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C10A0C8">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92DDCCC">
            <w:pPr>
              <w:widowControl/>
              <w:spacing w:line="222" w:lineRule="exact"/>
              <w:jc w:val="center"/>
              <w:rPr>
                <w:rFonts w:hint="eastAsia" w:ascii="仿宋" w:hAnsi="仿宋" w:eastAsia="仿宋" w:cs="宋体"/>
                <w:kern w:val="0"/>
                <w:sz w:val="20"/>
                <w:szCs w:val="20"/>
              </w:rPr>
            </w:pPr>
          </w:p>
        </w:tc>
      </w:tr>
      <w:tr w14:paraId="7E85AF14">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19A3190">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6B025ED">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D15EEDF">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685229D">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98740E6">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B4F7BC2">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0276407">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447CDBE">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1C908B2">
            <w:pPr>
              <w:widowControl/>
              <w:spacing w:line="222" w:lineRule="exact"/>
              <w:jc w:val="center"/>
              <w:rPr>
                <w:rFonts w:hint="eastAsia" w:ascii="仿宋" w:hAnsi="仿宋" w:eastAsia="仿宋" w:cs="宋体"/>
                <w:kern w:val="0"/>
                <w:sz w:val="20"/>
                <w:szCs w:val="20"/>
              </w:rPr>
            </w:pPr>
          </w:p>
        </w:tc>
      </w:tr>
      <w:tr w14:paraId="5A2647CC">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27D254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7F947F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E21063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8408B9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A47BF3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E809F2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C586B2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7DF5A8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08556F17">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5BF278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942F44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972.81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E03D07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972.81</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303F43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CEA6BE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BA5801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E08B8E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15A278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5B30184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BA8A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7B8A2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3F72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683.64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4780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683.64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A2C74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51380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7B31C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35A54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CBBEA8">
            <w:pPr>
              <w:widowControl/>
              <w:spacing w:line="222" w:lineRule="exact"/>
              <w:jc w:val="right"/>
              <w:rPr>
                <w:rFonts w:hint="eastAsia" w:ascii="仿宋" w:hAnsi="仿宋" w:eastAsia="仿宋" w:cs="宋体"/>
                <w:kern w:val="0"/>
                <w:sz w:val="20"/>
                <w:szCs w:val="20"/>
              </w:rPr>
            </w:pPr>
          </w:p>
        </w:tc>
      </w:tr>
      <w:tr w14:paraId="1BB0C0A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21D6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BA6D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政府办公厅（室）及相关机构事务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84DB0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671.25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D35D4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671.25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65B04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D425C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96252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21A7C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38501E">
            <w:pPr>
              <w:widowControl/>
              <w:spacing w:line="222" w:lineRule="exact"/>
              <w:jc w:val="right"/>
              <w:rPr>
                <w:rFonts w:hint="eastAsia" w:ascii="仿宋" w:hAnsi="仿宋" w:eastAsia="仿宋" w:cs="宋体"/>
                <w:kern w:val="0"/>
                <w:sz w:val="20"/>
                <w:szCs w:val="20"/>
              </w:rPr>
            </w:pPr>
          </w:p>
        </w:tc>
      </w:tr>
      <w:tr w14:paraId="24EC58C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960CC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3A2F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6602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668.17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60B1C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668.17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0CEDA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DE9EE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D15A9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0DE38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36DF3D">
            <w:pPr>
              <w:widowControl/>
              <w:spacing w:line="222" w:lineRule="exact"/>
              <w:jc w:val="right"/>
              <w:rPr>
                <w:rFonts w:hint="eastAsia" w:ascii="仿宋" w:hAnsi="仿宋" w:eastAsia="仿宋" w:cs="宋体"/>
                <w:kern w:val="0"/>
                <w:sz w:val="20"/>
                <w:szCs w:val="20"/>
              </w:rPr>
            </w:pPr>
          </w:p>
        </w:tc>
      </w:tr>
      <w:tr w14:paraId="3F886FC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877E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2010350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D23A1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6C3FA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5CF8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337EE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EF09C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620AC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102B1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E8D3D3">
            <w:pPr>
              <w:widowControl/>
              <w:spacing w:line="222" w:lineRule="exact"/>
              <w:jc w:val="right"/>
              <w:rPr>
                <w:rFonts w:hint="eastAsia" w:ascii="仿宋" w:hAnsi="仿宋" w:eastAsia="仿宋" w:cs="宋体"/>
                <w:kern w:val="0"/>
                <w:sz w:val="20"/>
                <w:szCs w:val="20"/>
              </w:rPr>
            </w:pPr>
          </w:p>
        </w:tc>
      </w:tr>
      <w:tr w14:paraId="317421F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9AFF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826A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纪检监察事务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6ABC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E036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1ED94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B6430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A00D1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4DBA9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35FBD5">
            <w:pPr>
              <w:widowControl/>
              <w:spacing w:line="222" w:lineRule="exact"/>
              <w:jc w:val="right"/>
              <w:rPr>
                <w:rFonts w:hint="eastAsia" w:ascii="仿宋" w:hAnsi="仿宋" w:eastAsia="仿宋" w:cs="宋体"/>
                <w:kern w:val="0"/>
                <w:sz w:val="20"/>
                <w:szCs w:val="20"/>
              </w:rPr>
            </w:pPr>
          </w:p>
        </w:tc>
      </w:tr>
      <w:tr w14:paraId="520F2CF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4A6AE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FFAD6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其他纪检监察事务支出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EDD9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E6927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1B6A9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72147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0A327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BAEB9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F1FC04">
            <w:pPr>
              <w:widowControl/>
              <w:spacing w:line="222" w:lineRule="exact"/>
              <w:jc w:val="right"/>
              <w:rPr>
                <w:rFonts w:hint="eastAsia" w:ascii="仿宋" w:hAnsi="仿宋" w:eastAsia="仿宋" w:cs="宋体"/>
                <w:kern w:val="0"/>
                <w:sz w:val="20"/>
                <w:szCs w:val="20"/>
              </w:rPr>
            </w:pPr>
          </w:p>
        </w:tc>
      </w:tr>
      <w:tr w14:paraId="2F90506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AEC03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383AF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871D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B910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56881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3F52E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9910C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10B09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07BAD1">
            <w:pPr>
              <w:widowControl/>
              <w:spacing w:line="222" w:lineRule="exact"/>
              <w:jc w:val="right"/>
              <w:rPr>
                <w:rFonts w:hint="eastAsia" w:ascii="仿宋" w:hAnsi="仿宋" w:eastAsia="仿宋" w:cs="宋体"/>
                <w:kern w:val="0"/>
                <w:sz w:val="20"/>
                <w:szCs w:val="20"/>
              </w:rPr>
            </w:pPr>
          </w:p>
        </w:tc>
      </w:tr>
      <w:tr w14:paraId="6DDBD3A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8E3D1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4E2C6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5C2B6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9A1A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61FF5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99333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6310B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F10F2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18E4FF">
            <w:pPr>
              <w:widowControl/>
              <w:spacing w:line="222" w:lineRule="exact"/>
              <w:jc w:val="right"/>
              <w:rPr>
                <w:rFonts w:hint="eastAsia" w:ascii="仿宋" w:hAnsi="仿宋" w:eastAsia="仿宋" w:cs="宋体"/>
                <w:kern w:val="0"/>
                <w:sz w:val="20"/>
                <w:szCs w:val="20"/>
              </w:rPr>
            </w:pPr>
          </w:p>
        </w:tc>
      </w:tr>
      <w:tr w14:paraId="2C2045E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3F1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BE011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B6A4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246.89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E439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246.89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F280A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23534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789F7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A2B24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3B6075">
            <w:pPr>
              <w:widowControl/>
              <w:spacing w:line="222" w:lineRule="exact"/>
              <w:jc w:val="right"/>
              <w:rPr>
                <w:rFonts w:hint="eastAsia" w:ascii="仿宋" w:hAnsi="仿宋" w:eastAsia="仿宋" w:cs="宋体"/>
                <w:kern w:val="0"/>
                <w:sz w:val="20"/>
                <w:szCs w:val="20"/>
              </w:rPr>
            </w:pPr>
          </w:p>
        </w:tc>
      </w:tr>
      <w:tr w14:paraId="35797FE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7423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E233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01FE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211.42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4739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211.42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5807D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7C371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E6F35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CDF55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827187">
            <w:pPr>
              <w:widowControl/>
              <w:spacing w:line="222" w:lineRule="exact"/>
              <w:jc w:val="right"/>
              <w:rPr>
                <w:rFonts w:hint="eastAsia" w:ascii="仿宋" w:hAnsi="仿宋" w:eastAsia="仿宋" w:cs="宋体"/>
                <w:kern w:val="0"/>
                <w:sz w:val="20"/>
                <w:szCs w:val="20"/>
              </w:rPr>
            </w:pPr>
          </w:p>
        </w:tc>
      </w:tr>
      <w:tr w14:paraId="7235521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94FD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F6D45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其他科学技术管理事务支出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0AE0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211.42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5650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211.42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3527D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17B19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D0774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5BC8B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63B070">
            <w:pPr>
              <w:widowControl/>
              <w:spacing w:line="222" w:lineRule="exact"/>
              <w:jc w:val="right"/>
              <w:rPr>
                <w:rFonts w:hint="eastAsia" w:ascii="仿宋" w:hAnsi="仿宋" w:eastAsia="仿宋" w:cs="宋体"/>
                <w:kern w:val="0"/>
                <w:sz w:val="20"/>
                <w:szCs w:val="20"/>
              </w:rPr>
            </w:pPr>
          </w:p>
        </w:tc>
      </w:tr>
      <w:tr w14:paraId="112937C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5C76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5993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5FA2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35.47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770CB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35.47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56136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66B93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7F0D2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47A76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52849C">
            <w:pPr>
              <w:widowControl/>
              <w:spacing w:line="222" w:lineRule="exact"/>
              <w:jc w:val="right"/>
              <w:rPr>
                <w:rFonts w:hint="eastAsia" w:ascii="仿宋" w:hAnsi="仿宋" w:eastAsia="仿宋" w:cs="宋体"/>
                <w:kern w:val="0"/>
                <w:sz w:val="20"/>
                <w:szCs w:val="20"/>
              </w:rPr>
            </w:pPr>
          </w:p>
        </w:tc>
      </w:tr>
      <w:tr w14:paraId="07D1953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1848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EDE00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D5AF0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35.47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F02F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35.47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25652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DE9DB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D0B35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39F8D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ACD7B1">
            <w:pPr>
              <w:widowControl/>
              <w:spacing w:line="222" w:lineRule="exact"/>
              <w:jc w:val="right"/>
              <w:rPr>
                <w:rFonts w:hint="eastAsia" w:ascii="仿宋" w:hAnsi="仿宋" w:eastAsia="仿宋" w:cs="宋体"/>
                <w:kern w:val="0"/>
                <w:sz w:val="20"/>
                <w:szCs w:val="20"/>
              </w:rPr>
            </w:pPr>
          </w:p>
        </w:tc>
      </w:tr>
      <w:tr w14:paraId="1296AF8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6CE0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27DFF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4D84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26FAB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2BD3A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A0AD1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05641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CCDB6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258000">
            <w:pPr>
              <w:widowControl/>
              <w:spacing w:line="222" w:lineRule="exact"/>
              <w:jc w:val="right"/>
              <w:rPr>
                <w:rFonts w:hint="eastAsia" w:ascii="仿宋" w:hAnsi="仿宋" w:eastAsia="仿宋" w:cs="宋体"/>
                <w:kern w:val="0"/>
                <w:sz w:val="20"/>
                <w:szCs w:val="20"/>
              </w:rPr>
            </w:pPr>
          </w:p>
        </w:tc>
      </w:tr>
      <w:tr w14:paraId="746F7D2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94F9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60755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C00A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6B1F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D177D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E1857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A1A84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CC03F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CEF555">
            <w:pPr>
              <w:widowControl/>
              <w:spacing w:line="222" w:lineRule="exact"/>
              <w:jc w:val="right"/>
              <w:rPr>
                <w:rFonts w:hint="eastAsia" w:ascii="仿宋" w:hAnsi="仿宋" w:eastAsia="仿宋" w:cs="宋体"/>
                <w:kern w:val="0"/>
                <w:sz w:val="20"/>
                <w:szCs w:val="20"/>
              </w:rPr>
            </w:pPr>
          </w:p>
        </w:tc>
      </w:tr>
      <w:tr w14:paraId="7846A23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1B861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547D5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07DF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0.24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704FE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0.24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84F81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7EC18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10AE7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1304D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B7F2CC">
            <w:pPr>
              <w:widowControl/>
              <w:spacing w:line="222" w:lineRule="exact"/>
              <w:jc w:val="right"/>
              <w:rPr>
                <w:rFonts w:hint="eastAsia" w:ascii="仿宋" w:hAnsi="仿宋" w:eastAsia="仿宋" w:cs="宋体"/>
                <w:kern w:val="0"/>
                <w:sz w:val="20"/>
                <w:szCs w:val="20"/>
              </w:rPr>
            </w:pPr>
          </w:p>
        </w:tc>
      </w:tr>
      <w:tr w14:paraId="26D5B34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79AB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2C22D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D659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7C2D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B0AD3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32523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12D88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2A81D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EA00B8">
            <w:pPr>
              <w:widowControl/>
              <w:spacing w:line="222" w:lineRule="exact"/>
              <w:jc w:val="right"/>
              <w:rPr>
                <w:rFonts w:hint="eastAsia" w:ascii="仿宋" w:hAnsi="仿宋" w:eastAsia="仿宋" w:cs="宋体"/>
                <w:kern w:val="0"/>
                <w:sz w:val="20"/>
                <w:szCs w:val="20"/>
              </w:rPr>
            </w:pPr>
          </w:p>
        </w:tc>
      </w:tr>
      <w:tr w14:paraId="1DBE924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10006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F48CE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E5C1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057B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3AAB9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61D2A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00272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C369D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D4A8A4">
            <w:pPr>
              <w:widowControl/>
              <w:spacing w:line="222" w:lineRule="exact"/>
              <w:jc w:val="right"/>
              <w:rPr>
                <w:rFonts w:hint="eastAsia" w:ascii="仿宋" w:hAnsi="仿宋" w:eastAsia="仿宋" w:cs="宋体"/>
                <w:kern w:val="0"/>
                <w:sz w:val="20"/>
                <w:szCs w:val="20"/>
              </w:rPr>
            </w:pPr>
          </w:p>
        </w:tc>
      </w:tr>
      <w:tr w14:paraId="69214FD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F5BBC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D0248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3D06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AA39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9AFA4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E05E4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7DEBD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142D6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54B3D8">
            <w:pPr>
              <w:widowControl/>
              <w:spacing w:line="222" w:lineRule="exact"/>
              <w:jc w:val="right"/>
              <w:rPr>
                <w:rFonts w:hint="eastAsia" w:ascii="仿宋" w:hAnsi="仿宋" w:eastAsia="仿宋" w:cs="宋体"/>
                <w:kern w:val="0"/>
                <w:sz w:val="20"/>
                <w:szCs w:val="20"/>
              </w:rPr>
            </w:pPr>
          </w:p>
        </w:tc>
      </w:tr>
      <w:tr w14:paraId="7A1FB42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90846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7378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03D90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8AAC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416B7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3ECB7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97278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2D22A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82ED10">
            <w:pPr>
              <w:widowControl/>
              <w:spacing w:line="222" w:lineRule="exact"/>
              <w:jc w:val="right"/>
              <w:rPr>
                <w:rFonts w:hint="eastAsia" w:ascii="仿宋" w:hAnsi="仿宋" w:eastAsia="仿宋" w:cs="宋体"/>
                <w:kern w:val="0"/>
                <w:sz w:val="20"/>
                <w:szCs w:val="20"/>
              </w:rPr>
            </w:pPr>
          </w:p>
        </w:tc>
      </w:tr>
    </w:tbl>
    <w:p w14:paraId="5423ACA1">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413FA523">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33C21359">
      <w:pPr>
        <w:widowControl/>
        <w:jc w:val="center"/>
        <w:textAlignment w:val="center"/>
        <w:rPr>
          <w:rFonts w:hint="eastAsia" w:ascii="仿宋" w:hAnsi="仿宋" w:eastAsia="仿宋" w:cs="Times New Roman"/>
          <w:color w:val="000000"/>
          <w:kern w:val="0"/>
          <w:sz w:val="32"/>
          <w:szCs w:val="32"/>
          <w:lang w:bidi="ar"/>
        </w:rPr>
      </w:pPr>
    </w:p>
    <w:p w14:paraId="0B576469">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6A8CA0CC">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2C3F0B31">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株洲市渌口区行政审批服务局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8"/>
        <w:gridCol w:w="3419"/>
        <w:gridCol w:w="1060"/>
        <w:gridCol w:w="1055"/>
        <w:gridCol w:w="1012"/>
        <w:gridCol w:w="1087"/>
        <w:gridCol w:w="1022"/>
        <w:gridCol w:w="1036"/>
      </w:tblGrid>
      <w:tr w14:paraId="24304DE5">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793797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5BC44D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ECDD78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F28E48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F17801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6E17CD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345E74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7A09B00B">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4CF9C3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64"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32C7C09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D3C9B05">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5228A7C4">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6C284752">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3FF2CA62">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635FCCB7">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20950463">
            <w:pPr>
              <w:widowControl/>
              <w:spacing w:line="222" w:lineRule="exact"/>
              <w:jc w:val="center"/>
              <w:rPr>
                <w:rFonts w:hint="eastAsia" w:ascii="仿宋" w:hAnsi="仿宋" w:eastAsia="仿宋" w:cs="宋体"/>
                <w:kern w:val="0"/>
                <w:sz w:val="20"/>
                <w:szCs w:val="20"/>
              </w:rPr>
            </w:pPr>
          </w:p>
        </w:tc>
      </w:tr>
      <w:tr w14:paraId="2AA44E01">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AD2F552">
            <w:pPr>
              <w:widowControl/>
              <w:spacing w:line="222" w:lineRule="exact"/>
              <w:jc w:val="center"/>
              <w:rPr>
                <w:rFonts w:hint="eastAsia" w:ascii="仿宋" w:hAnsi="仿宋" w:eastAsia="仿宋" w:cs="宋体"/>
                <w:kern w:val="0"/>
                <w:sz w:val="20"/>
                <w:szCs w:val="20"/>
              </w:rPr>
            </w:pPr>
          </w:p>
        </w:tc>
        <w:tc>
          <w:tcPr>
            <w:tcW w:w="1264"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965564B">
            <w:pPr>
              <w:widowControl/>
              <w:spacing w:line="222" w:lineRule="exact"/>
              <w:jc w:val="center"/>
              <w:rPr>
                <w:rFonts w:hint="eastAsia"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A277C7C">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7BF79E38">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48A02DAB">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07B11F5D">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7AA5E12B">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2CC7C6DA">
            <w:pPr>
              <w:widowControl/>
              <w:spacing w:line="222" w:lineRule="exact"/>
              <w:jc w:val="center"/>
              <w:rPr>
                <w:rFonts w:hint="eastAsia" w:ascii="仿宋" w:hAnsi="仿宋" w:eastAsia="仿宋" w:cs="宋体"/>
                <w:kern w:val="0"/>
                <w:sz w:val="20"/>
                <w:szCs w:val="20"/>
              </w:rPr>
            </w:pPr>
          </w:p>
        </w:tc>
      </w:tr>
      <w:tr w14:paraId="703BDB68">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10D60B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35E6EC9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2921FB6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34829E5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47705E0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47FC734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1E4FA03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18719B4F">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FA963C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2435F6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972.81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32EB2C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726.39</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552C0F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246.42</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35C3B7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404638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1DFD97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22CF59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BBD3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264" w:type="pct"/>
            <w:tcBorders>
              <w:top w:val="nil"/>
              <w:left w:val="nil"/>
              <w:bottom w:val="single" w:color="auto" w:sz="4" w:space="0"/>
              <w:right w:val="single" w:color="auto" w:sz="4" w:space="0"/>
            </w:tcBorders>
            <w:shd w:val="clear" w:color="000000" w:fill="FFFFFF"/>
            <w:noWrap/>
            <w:vAlign w:val="center"/>
          </w:tcPr>
          <w:p w14:paraId="57379F6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92" w:type="pct"/>
            <w:tcBorders>
              <w:top w:val="nil"/>
              <w:left w:val="nil"/>
              <w:bottom w:val="single" w:color="auto" w:sz="4" w:space="0"/>
              <w:right w:val="single" w:color="auto" w:sz="4" w:space="0"/>
            </w:tcBorders>
            <w:noWrap/>
            <w:vAlign w:val="center"/>
          </w:tcPr>
          <w:p w14:paraId="3E23676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683.64</w:t>
            </w:r>
          </w:p>
        </w:tc>
        <w:tc>
          <w:tcPr>
            <w:tcW w:w="390" w:type="pct"/>
            <w:tcBorders>
              <w:top w:val="nil"/>
              <w:left w:val="nil"/>
              <w:bottom w:val="single" w:color="auto" w:sz="4" w:space="0"/>
              <w:right w:val="single" w:color="auto" w:sz="4" w:space="0"/>
            </w:tcBorders>
            <w:noWrap/>
            <w:vAlign w:val="center"/>
          </w:tcPr>
          <w:p w14:paraId="47E2D0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678.64</w:t>
            </w:r>
          </w:p>
        </w:tc>
        <w:tc>
          <w:tcPr>
            <w:tcW w:w="374" w:type="pct"/>
            <w:tcBorders>
              <w:top w:val="nil"/>
              <w:left w:val="nil"/>
              <w:bottom w:val="single" w:color="auto" w:sz="4" w:space="0"/>
              <w:right w:val="single" w:color="auto" w:sz="4" w:space="0"/>
            </w:tcBorders>
            <w:noWrap/>
            <w:vAlign w:val="center"/>
          </w:tcPr>
          <w:p w14:paraId="7551847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402" w:type="pct"/>
            <w:tcBorders>
              <w:top w:val="nil"/>
              <w:left w:val="nil"/>
              <w:bottom w:val="single" w:color="auto" w:sz="4" w:space="0"/>
              <w:right w:val="single" w:color="auto" w:sz="4" w:space="0"/>
            </w:tcBorders>
            <w:noWrap/>
            <w:vAlign w:val="center"/>
          </w:tcPr>
          <w:p w14:paraId="07EF74D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4D4329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8745AE4">
            <w:pPr>
              <w:widowControl/>
              <w:spacing w:line="222" w:lineRule="exact"/>
              <w:jc w:val="right"/>
              <w:rPr>
                <w:rFonts w:hint="eastAsia" w:ascii="仿宋" w:hAnsi="仿宋" w:eastAsia="仿宋" w:cs="宋体"/>
                <w:kern w:val="0"/>
                <w:sz w:val="20"/>
                <w:szCs w:val="20"/>
              </w:rPr>
            </w:pPr>
          </w:p>
        </w:tc>
      </w:tr>
      <w:tr w14:paraId="58517FE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1A6EB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w:t>
            </w:r>
          </w:p>
        </w:tc>
        <w:tc>
          <w:tcPr>
            <w:tcW w:w="1264" w:type="pct"/>
            <w:tcBorders>
              <w:top w:val="nil"/>
              <w:left w:val="nil"/>
              <w:bottom w:val="single" w:color="auto" w:sz="4" w:space="0"/>
              <w:right w:val="single" w:color="auto" w:sz="4" w:space="0"/>
            </w:tcBorders>
            <w:shd w:val="clear" w:color="000000" w:fill="FFFFFF"/>
            <w:noWrap/>
            <w:vAlign w:val="center"/>
          </w:tcPr>
          <w:p w14:paraId="741294F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政府办公厅（室）及相关机构事务</w:t>
            </w:r>
          </w:p>
        </w:tc>
        <w:tc>
          <w:tcPr>
            <w:tcW w:w="392" w:type="pct"/>
            <w:tcBorders>
              <w:top w:val="nil"/>
              <w:left w:val="nil"/>
              <w:bottom w:val="single" w:color="auto" w:sz="4" w:space="0"/>
              <w:right w:val="single" w:color="auto" w:sz="4" w:space="0"/>
            </w:tcBorders>
            <w:noWrap/>
            <w:vAlign w:val="center"/>
          </w:tcPr>
          <w:p w14:paraId="55BFD1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671.25</w:t>
            </w:r>
          </w:p>
        </w:tc>
        <w:tc>
          <w:tcPr>
            <w:tcW w:w="390" w:type="pct"/>
            <w:tcBorders>
              <w:top w:val="nil"/>
              <w:left w:val="nil"/>
              <w:bottom w:val="single" w:color="auto" w:sz="4" w:space="0"/>
              <w:right w:val="single" w:color="auto" w:sz="4" w:space="0"/>
            </w:tcBorders>
            <w:noWrap/>
            <w:vAlign w:val="center"/>
          </w:tcPr>
          <w:p w14:paraId="3A9A79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671.25</w:t>
            </w:r>
          </w:p>
        </w:tc>
        <w:tc>
          <w:tcPr>
            <w:tcW w:w="374" w:type="pct"/>
            <w:tcBorders>
              <w:top w:val="nil"/>
              <w:left w:val="nil"/>
              <w:bottom w:val="single" w:color="auto" w:sz="4" w:space="0"/>
              <w:right w:val="single" w:color="auto" w:sz="4" w:space="0"/>
            </w:tcBorders>
            <w:noWrap/>
            <w:vAlign w:val="center"/>
          </w:tcPr>
          <w:p w14:paraId="1E815DE8">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68F5731">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059B0F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265CCD4">
            <w:pPr>
              <w:widowControl/>
              <w:spacing w:line="222" w:lineRule="exact"/>
              <w:jc w:val="right"/>
              <w:rPr>
                <w:rFonts w:hint="eastAsia" w:ascii="仿宋" w:hAnsi="仿宋" w:eastAsia="仿宋" w:cs="宋体"/>
                <w:kern w:val="0"/>
                <w:sz w:val="20"/>
                <w:szCs w:val="20"/>
              </w:rPr>
            </w:pPr>
          </w:p>
        </w:tc>
      </w:tr>
      <w:tr w14:paraId="670D0B9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35D56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2010301</w:t>
            </w:r>
          </w:p>
        </w:tc>
        <w:tc>
          <w:tcPr>
            <w:tcW w:w="1264" w:type="pct"/>
            <w:tcBorders>
              <w:top w:val="nil"/>
              <w:left w:val="nil"/>
              <w:bottom w:val="single" w:color="auto" w:sz="4" w:space="0"/>
              <w:right w:val="single" w:color="auto" w:sz="4" w:space="0"/>
            </w:tcBorders>
            <w:shd w:val="clear" w:color="000000" w:fill="FFFFFF"/>
            <w:noWrap/>
            <w:vAlign w:val="center"/>
          </w:tcPr>
          <w:p w14:paraId="7C759D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2871268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668.17</w:t>
            </w:r>
          </w:p>
        </w:tc>
        <w:tc>
          <w:tcPr>
            <w:tcW w:w="390" w:type="pct"/>
            <w:tcBorders>
              <w:top w:val="nil"/>
              <w:left w:val="nil"/>
              <w:bottom w:val="single" w:color="auto" w:sz="4" w:space="0"/>
              <w:right w:val="single" w:color="auto" w:sz="4" w:space="0"/>
            </w:tcBorders>
            <w:noWrap/>
            <w:vAlign w:val="center"/>
          </w:tcPr>
          <w:p w14:paraId="04116C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668.17</w:t>
            </w:r>
          </w:p>
        </w:tc>
        <w:tc>
          <w:tcPr>
            <w:tcW w:w="374" w:type="pct"/>
            <w:tcBorders>
              <w:top w:val="nil"/>
              <w:left w:val="nil"/>
              <w:bottom w:val="single" w:color="auto" w:sz="4" w:space="0"/>
              <w:right w:val="single" w:color="auto" w:sz="4" w:space="0"/>
            </w:tcBorders>
            <w:noWrap/>
            <w:vAlign w:val="center"/>
          </w:tcPr>
          <w:p w14:paraId="2D3C0BBD">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DCF394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8A26439">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F425B99">
            <w:pPr>
              <w:widowControl/>
              <w:spacing w:line="222" w:lineRule="exact"/>
              <w:jc w:val="right"/>
              <w:rPr>
                <w:rFonts w:hint="eastAsia" w:ascii="仿宋" w:hAnsi="仿宋" w:eastAsia="仿宋" w:cs="宋体"/>
                <w:kern w:val="0"/>
                <w:sz w:val="20"/>
                <w:szCs w:val="20"/>
              </w:rPr>
            </w:pPr>
          </w:p>
        </w:tc>
      </w:tr>
      <w:tr w14:paraId="791186D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0E71C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2010350</w:t>
            </w:r>
          </w:p>
        </w:tc>
        <w:tc>
          <w:tcPr>
            <w:tcW w:w="1264" w:type="pct"/>
            <w:tcBorders>
              <w:top w:val="nil"/>
              <w:left w:val="nil"/>
              <w:bottom w:val="single" w:color="auto" w:sz="4" w:space="0"/>
              <w:right w:val="single" w:color="auto" w:sz="4" w:space="0"/>
            </w:tcBorders>
            <w:shd w:val="clear" w:color="000000" w:fill="FFFFFF"/>
            <w:noWrap/>
            <w:vAlign w:val="center"/>
          </w:tcPr>
          <w:p w14:paraId="7BB3716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事业运行</w:t>
            </w:r>
          </w:p>
        </w:tc>
        <w:tc>
          <w:tcPr>
            <w:tcW w:w="392" w:type="pct"/>
            <w:tcBorders>
              <w:top w:val="nil"/>
              <w:left w:val="nil"/>
              <w:bottom w:val="single" w:color="auto" w:sz="4" w:space="0"/>
              <w:right w:val="single" w:color="auto" w:sz="4" w:space="0"/>
            </w:tcBorders>
            <w:noWrap/>
            <w:vAlign w:val="center"/>
          </w:tcPr>
          <w:p w14:paraId="00A383D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3.08</w:t>
            </w:r>
          </w:p>
        </w:tc>
        <w:tc>
          <w:tcPr>
            <w:tcW w:w="390" w:type="pct"/>
            <w:tcBorders>
              <w:top w:val="nil"/>
              <w:left w:val="nil"/>
              <w:bottom w:val="single" w:color="auto" w:sz="4" w:space="0"/>
              <w:right w:val="single" w:color="auto" w:sz="4" w:space="0"/>
            </w:tcBorders>
            <w:noWrap/>
            <w:vAlign w:val="center"/>
          </w:tcPr>
          <w:p w14:paraId="2DF3C1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3.08</w:t>
            </w:r>
          </w:p>
        </w:tc>
        <w:tc>
          <w:tcPr>
            <w:tcW w:w="374" w:type="pct"/>
            <w:tcBorders>
              <w:top w:val="nil"/>
              <w:left w:val="nil"/>
              <w:bottom w:val="single" w:color="auto" w:sz="4" w:space="0"/>
              <w:right w:val="single" w:color="auto" w:sz="4" w:space="0"/>
            </w:tcBorders>
            <w:noWrap/>
            <w:vAlign w:val="center"/>
          </w:tcPr>
          <w:p w14:paraId="398ED51E">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6194F9E">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708EB77">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47F449B">
            <w:pPr>
              <w:widowControl/>
              <w:spacing w:line="222" w:lineRule="exact"/>
              <w:jc w:val="right"/>
              <w:rPr>
                <w:rFonts w:hint="eastAsia" w:ascii="仿宋" w:hAnsi="仿宋" w:eastAsia="仿宋" w:cs="宋体"/>
                <w:kern w:val="0"/>
                <w:sz w:val="20"/>
                <w:szCs w:val="20"/>
              </w:rPr>
            </w:pPr>
          </w:p>
        </w:tc>
      </w:tr>
      <w:tr w14:paraId="6E317A4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03113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w:t>
            </w:r>
          </w:p>
        </w:tc>
        <w:tc>
          <w:tcPr>
            <w:tcW w:w="1264" w:type="pct"/>
            <w:tcBorders>
              <w:top w:val="nil"/>
              <w:left w:val="nil"/>
              <w:bottom w:val="single" w:color="auto" w:sz="4" w:space="0"/>
              <w:right w:val="single" w:color="auto" w:sz="4" w:space="0"/>
            </w:tcBorders>
            <w:shd w:val="clear" w:color="000000" w:fill="FFFFFF"/>
            <w:noWrap/>
            <w:vAlign w:val="center"/>
          </w:tcPr>
          <w:p w14:paraId="32852E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纪检监察事务</w:t>
            </w:r>
          </w:p>
        </w:tc>
        <w:tc>
          <w:tcPr>
            <w:tcW w:w="392" w:type="pct"/>
            <w:tcBorders>
              <w:top w:val="nil"/>
              <w:left w:val="nil"/>
              <w:bottom w:val="single" w:color="auto" w:sz="4" w:space="0"/>
              <w:right w:val="single" w:color="auto" w:sz="4" w:space="0"/>
            </w:tcBorders>
            <w:noWrap/>
            <w:vAlign w:val="center"/>
          </w:tcPr>
          <w:p w14:paraId="0AA29A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390" w:type="pct"/>
            <w:tcBorders>
              <w:top w:val="nil"/>
              <w:left w:val="nil"/>
              <w:bottom w:val="single" w:color="auto" w:sz="4" w:space="0"/>
              <w:right w:val="single" w:color="auto" w:sz="4" w:space="0"/>
            </w:tcBorders>
            <w:noWrap/>
            <w:vAlign w:val="center"/>
          </w:tcPr>
          <w:p w14:paraId="16F0B63E">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050F039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402" w:type="pct"/>
            <w:tcBorders>
              <w:top w:val="nil"/>
              <w:left w:val="nil"/>
              <w:bottom w:val="single" w:color="auto" w:sz="4" w:space="0"/>
              <w:right w:val="single" w:color="auto" w:sz="4" w:space="0"/>
            </w:tcBorders>
            <w:noWrap/>
            <w:vAlign w:val="center"/>
          </w:tcPr>
          <w:p w14:paraId="0BB7FFD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80BDFB3">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B9C92EA">
            <w:pPr>
              <w:widowControl/>
              <w:spacing w:line="222" w:lineRule="exact"/>
              <w:jc w:val="right"/>
              <w:rPr>
                <w:rFonts w:hint="eastAsia" w:ascii="仿宋" w:hAnsi="仿宋" w:eastAsia="仿宋" w:cs="宋体"/>
                <w:kern w:val="0"/>
                <w:sz w:val="20"/>
                <w:szCs w:val="20"/>
              </w:rPr>
            </w:pPr>
          </w:p>
        </w:tc>
      </w:tr>
      <w:tr w14:paraId="66B5787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F4598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2011199</w:t>
            </w:r>
          </w:p>
        </w:tc>
        <w:tc>
          <w:tcPr>
            <w:tcW w:w="1264" w:type="pct"/>
            <w:tcBorders>
              <w:top w:val="nil"/>
              <w:left w:val="nil"/>
              <w:bottom w:val="single" w:color="auto" w:sz="4" w:space="0"/>
              <w:right w:val="single" w:color="auto" w:sz="4" w:space="0"/>
            </w:tcBorders>
            <w:shd w:val="clear" w:color="000000" w:fill="FFFFFF"/>
            <w:noWrap/>
            <w:vAlign w:val="center"/>
          </w:tcPr>
          <w:p w14:paraId="49F4B28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其他纪检监察事务支出</w:t>
            </w:r>
          </w:p>
        </w:tc>
        <w:tc>
          <w:tcPr>
            <w:tcW w:w="392" w:type="pct"/>
            <w:tcBorders>
              <w:top w:val="nil"/>
              <w:left w:val="nil"/>
              <w:bottom w:val="single" w:color="auto" w:sz="4" w:space="0"/>
              <w:right w:val="single" w:color="auto" w:sz="4" w:space="0"/>
            </w:tcBorders>
            <w:noWrap/>
            <w:vAlign w:val="center"/>
          </w:tcPr>
          <w:p w14:paraId="0456664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390" w:type="pct"/>
            <w:tcBorders>
              <w:top w:val="nil"/>
              <w:left w:val="nil"/>
              <w:bottom w:val="single" w:color="auto" w:sz="4" w:space="0"/>
              <w:right w:val="single" w:color="auto" w:sz="4" w:space="0"/>
            </w:tcBorders>
            <w:noWrap/>
            <w:vAlign w:val="center"/>
          </w:tcPr>
          <w:p w14:paraId="518CA542">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56EFD8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402" w:type="pct"/>
            <w:tcBorders>
              <w:top w:val="nil"/>
              <w:left w:val="nil"/>
              <w:bottom w:val="single" w:color="auto" w:sz="4" w:space="0"/>
              <w:right w:val="single" w:color="auto" w:sz="4" w:space="0"/>
            </w:tcBorders>
            <w:noWrap/>
            <w:vAlign w:val="center"/>
          </w:tcPr>
          <w:p w14:paraId="2A572381">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015DAC7">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FEB2E82">
            <w:pPr>
              <w:widowControl/>
              <w:spacing w:line="222" w:lineRule="exact"/>
              <w:jc w:val="right"/>
              <w:rPr>
                <w:rFonts w:hint="eastAsia" w:ascii="仿宋" w:hAnsi="仿宋" w:eastAsia="仿宋" w:cs="宋体"/>
                <w:kern w:val="0"/>
                <w:sz w:val="20"/>
                <w:szCs w:val="20"/>
              </w:rPr>
            </w:pPr>
          </w:p>
        </w:tc>
      </w:tr>
      <w:tr w14:paraId="7C0F209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D468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1264" w:type="pct"/>
            <w:tcBorders>
              <w:top w:val="nil"/>
              <w:left w:val="nil"/>
              <w:bottom w:val="single" w:color="auto" w:sz="4" w:space="0"/>
              <w:right w:val="single" w:color="auto" w:sz="4" w:space="0"/>
            </w:tcBorders>
            <w:shd w:val="clear" w:color="000000" w:fill="FFFFFF"/>
            <w:noWrap/>
            <w:vAlign w:val="center"/>
          </w:tcPr>
          <w:p w14:paraId="54F8423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392" w:type="pct"/>
            <w:tcBorders>
              <w:top w:val="nil"/>
              <w:left w:val="nil"/>
              <w:bottom w:val="single" w:color="auto" w:sz="4" w:space="0"/>
              <w:right w:val="single" w:color="auto" w:sz="4" w:space="0"/>
            </w:tcBorders>
            <w:noWrap/>
            <w:vAlign w:val="center"/>
          </w:tcPr>
          <w:p w14:paraId="4A7E97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7.39</w:t>
            </w:r>
          </w:p>
        </w:tc>
        <w:tc>
          <w:tcPr>
            <w:tcW w:w="390" w:type="pct"/>
            <w:tcBorders>
              <w:top w:val="nil"/>
              <w:left w:val="nil"/>
              <w:bottom w:val="single" w:color="auto" w:sz="4" w:space="0"/>
              <w:right w:val="single" w:color="auto" w:sz="4" w:space="0"/>
            </w:tcBorders>
            <w:noWrap/>
            <w:vAlign w:val="center"/>
          </w:tcPr>
          <w:p w14:paraId="2765D1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7.39</w:t>
            </w:r>
          </w:p>
        </w:tc>
        <w:tc>
          <w:tcPr>
            <w:tcW w:w="374" w:type="pct"/>
            <w:tcBorders>
              <w:top w:val="nil"/>
              <w:left w:val="nil"/>
              <w:bottom w:val="single" w:color="auto" w:sz="4" w:space="0"/>
              <w:right w:val="single" w:color="auto" w:sz="4" w:space="0"/>
            </w:tcBorders>
            <w:noWrap/>
            <w:vAlign w:val="center"/>
          </w:tcPr>
          <w:p w14:paraId="7844F2FF">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1D83A1B8">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164FD0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B4744A3">
            <w:pPr>
              <w:widowControl/>
              <w:spacing w:line="222" w:lineRule="exact"/>
              <w:jc w:val="right"/>
              <w:rPr>
                <w:rFonts w:hint="eastAsia" w:ascii="仿宋" w:hAnsi="仿宋" w:eastAsia="仿宋" w:cs="宋体"/>
                <w:kern w:val="0"/>
                <w:sz w:val="20"/>
                <w:szCs w:val="20"/>
              </w:rPr>
            </w:pPr>
          </w:p>
        </w:tc>
      </w:tr>
      <w:tr w14:paraId="2E12F77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A191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1264" w:type="pct"/>
            <w:tcBorders>
              <w:top w:val="nil"/>
              <w:left w:val="nil"/>
              <w:bottom w:val="single" w:color="auto" w:sz="4" w:space="0"/>
              <w:right w:val="single" w:color="auto" w:sz="4" w:space="0"/>
            </w:tcBorders>
            <w:shd w:val="clear" w:color="000000" w:fill="FFFFFF"/>
            <w:noWrap/>
            <w:vAlign w:val="center"/>
          </w:tcPr>
          <w:p w14:paraId="4613DFC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392" w:type="pct"/>
            <w:tcBorders>
              <w:top w:val="nil"/>
              <w:left w:val="nil"/>
              <w:bottom w:val="single" w:color="auto" w:sz="4" w:space="0"/>
              <w:right w:val="single" w:color="auto" w:sz="4" w:space="0"/>
            </w:tcBorders>
            <w:noWrap/>
            <w:vAlign w:val="center"/>
          </w:tcPr>
          <w:p w14:paraId="35C88F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7.39</w:t>
            </w:r>
          </w:p>
        </w:tc>
        <w:tc>
          <w:tcPr>
            <w:tcW w:w="390" w:type="pct"/>
            <w:tcBorders>
              <w:top w:val="nil"/>
              <w:left w:val="nil"/>
              <w:bottom w:val="single" w:color="auto" w:sz="4" w:space="0"/>
              <w:right w:val="single" w:color="auto" w:sz="4" w:space="0"/>
            </w:tcBorders>
            <w:noWrap/>
            <w:vAlign w:val="center"/>
          </w:tcPr>
          <w:p w14:paraId="1344DC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7.39</w:t>
            </w:r>
          </w:p>
        </w:tc>
        <w:tc>
          <w:tcPr>
            <w:tcW w:w="374" w:type="pct"/>
            <w:tcBorders>
              <w:top w:val="nil"/>
              <w:left w:val="nil"/>
              <w:bottom w:val="single" w:color="auto" w:sz="4" w:space="0"/>
              <w:right w:val="single" w:color="auto" w:sz="4" w:space="0"/>
            </w:tcBorders>
            <w:noWrap/>
            <w:vAlign w:val="center"/>
          </w:tcPr>
          <w:p w14:paraId="5036FE3D">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FBE982F">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EB3808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6F81C99">
            <w:pPr>
              <w:widowControl/>
              <w:spacing w:line="222" w:lineRule="exact"/>
              <w:jc w:val="right"/>
              <w:rPr>
                <w:rFonts w:hint="eastAsia" w:ascii="仿宋" w:hAnsi="仿宋" w:eastAsia="仿宋" w:cs="宋体"/>
                <w:kern w:val="0"/>
                <w:sz w:val="20"/>
                <w:szCs w:val="20"/>
              </w:rPr>
            </w:pPr>
          </w:p>
        </w:tc>
      </w:tr>
      <w:tr w14:paraId="100B8EC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C7EA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w:t>
            </w:r>
          </w:p>
        </w:tc>
        <w:tc>
          <w:tcPr>
            <w:tcW w:w="1264" w:type="pct"/>
            <w:tcBorders>
              <w:top w:val="nil"/>
              <w:left w:val="nil"/>
              <w:bottom w:val="single" w:color="auto" w:sz="4" w:space="0"/>
              <w:right w:val="single" w:color="auto" w:sz="4" w:space="0"/>
            </w:tcBorders>
            <w:shd w:val="clear" w:color="000000" w:fill="FFFFFF"/>
            <w:noWrap/>
            <w:vAlign w:val="center"/>
          </w:tcPr>
          <w:p w14:paraId="216A2B0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科学技术支出</w:t>
            </w:r>
          </w:p>
        </w:tc>
        <w:tc>
          <w:tcPr>
            <w:tcW w:w="392" w:type="pct"/>
            <w:tcBorders>
              <w:top w:val="nil"/>
              <w:left w:val="nil"/>
              <w:bottom w:val="single" w:color="auto" w:sz="4" w:space="0"/>
              <w:right w:val="single" w:color="auto" w:sz="4" w:space="0"/>
            </w:tcBorders>
            <w:noWrap/>
            <w:vAlign w:val="center"/>
          </w:tcPr>
          <w:p w14:paraId="78D43B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246.89</w:t>
            </w:r>
          </w:p>
        </w:tc>
        <w:tc>
          <w:tcPr>
            <w:tcW w:w="390" w:type="pct"/>
            <w:tcBorders>
              <w:top w:val="nil"/>
              <w:left w:val="nil"/>
              <w:bottom w:val="single" w:color="auto" w:sz="4" w:space="0"/>
              <w:right w:val="single" w:color="auto" w:sz="4" w:space="0"/>
            </w:tcBorders>
            <w:noWrap/>
            <w:vAlign w:val="center"/>
          </w:tcPr>
          <w:p w14:paraId="70A6BD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5.47</w:t>
            </w:r>
          </w:p>
        </w:tc>
        <w:tc>
          <w:tcPr>
            <w:tcW w:w="374" w:type="pct"/>
            <w:tcBorders>
              <w:top w:val="nil"/>
              <w:left w:val="nil"/>
              <w:bottom w:val="single" w:color="auto" w:sz="4" w:space="0"/>
              <w:right w:val="single" w:color="auto" w:sz="4" w:space="0"/>
            </w:tcBorders>
            <w:noWrap/>
            <w:vAlign w:val="center"/>
          </w:tcPr>
          <w:p w14:paraId="3CBEB94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241.42</w:t>
            </w:r>
          </w:p>
        </w:tc>
        <w:tc>
          <w:tcPr>
            <w:tcW w:w="402" w:type="pct"/>
            <w:tcBorders>
              <w:top w:val="nil"/>
              <w:left w:val="nil"/>
              <w:bottom w:val="single" w:color="auto" w:sz="4" w:space="0"/>
              <w:right w:val="single" w:color="auto" w:sz="4" w:space="0"/>
            </w:tcBorders>
            <w:noWrap/>
            <w:vAlign w:val="center"/>
          </w:tcPr>
          <w:p w14:paraId="7BE4D25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9C2573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E7845B6">
            <w:pPr>
              <w:widowControl/>
              <w:spacing w:line="222" w:lineRule="exact"/>
              <w:jc w:val="right"/>
              <w:rPr>
                <w:rFonts w:hint="eastAsia" w:ascii="仿宋" w:hAnsi="仿宋" w:eastAsia="仿宋" w:cs="宋体"/>
                <w:kern w:val="0"/>
                <w:sz w:val="20"/>
                <w:szCs w:val="20"/>
              </w:rPr>
            </w:pPr>
          </w:p>
        </w:tc>
      </w:tr>
      <w:tr w14:paraId="699172C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B77F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w:t>
            </w:r>
          </w:p>
        </w:tc>
        <w:tc>
          <w:tcPr>
            <w:tcW w:w="1264" w:type="pct"/>
            <w:tcBorders>
              <w:top w:val="nil"/>
              <w:left w:val="nil"/>
              <w:bottom w:val="single" w:color="auto" w:sz="4" w:space="0"/>
              <w:right w:val="single" w:color="auto" w:sz="4" w:space="0"/>
            </w:tcBorders>
            <w:shd w:val="clear" w:color="000000" w:fill="FFFFFF"/>
            <w:noWrap/>
            <w:vAlign w:val="center"/>
          </w:tcPr>
          <w:p w14:paraId="0AAB068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科学技术管理事务</w:t>
            </w:r>
          </w:p>
        </w:tc>
        <w:tc>
          <w:tcPr>
            <w:tcW w:w="392" w:type="pct"/>
            <w:tcBorders>
              <w:top w:val="nil"/>
              <w:left w:val="nil"/>
              <w:bottom w:val="single" w:color="auto" w:sz="4" w:space="0"/>
              <w:right w:val="single" w:color="auto" w:sz="4" w:space="0"/>
            </w:tcBorders>
            <w:noWrap/>
            <w:vAlign w:val="center"/>
          </w:tcPr>
          <w:p w14:paraId="305533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211.42</w:t>
            </w:r>
          </w:p>
        </w:tc>
        <w:tc>
          <w:tcPr>
            <w:tcW w:w="390" w:type="pct"/>
            <w:tcBorders>
              <w:top w:val="nil"/>
              <w:left w:val="nil"/>
              <w:bottom w:val="single" w:color="auto" w:sz="4" w:space="0"/>
              <w:right w:val="single" w:color="auto" w:sz="4" w:space="0"/>
            </w:tcBorders>
            <w:noWrap/>
            <w:vAlign w:val="center"/>
          </w:tcPr>
          <w:p w14:paraId="0F017511">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28C8A6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211.42</w:t>
            </w:r>
          </w:p>
        </w:tc>
        <w:tc>
          <w:tcPr>
            <w:tcW w:w="402" w:type="pct"/>
            <w:tcBorders>
              <w:top w:val="nil"/>
              <w:left w:val="nil"/>
              <w:bottom w:val="single" w:color="auto" w:sz="4" w:space="0"/>
              <w:right w:val="single" w:color="auto" w:sz="4" w:space="0"/>
            </w:tcBorders>
            <w:noWrap/>
            <w:vAlign w:val="center"/>
          </w:tcPr>
          <w:p w14:paraId="0E8A042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687DDCE">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05A2383">
            <w:pPr>
              <w:widowControl/>
              <w:spacing w:line="222" w:lineRule="exact"/>
              <w:jc w:val="right"/>
              <w:rPr>
                <w:rFonts w:hint="eastAsia" w:ascii="仿宋" w:hAnsi="仿宋" w:eastAsia="仿宋" w:cs="宋体"/>
                <w:kern w:val="0"/>
                <w:sz w:val="20"/>
                <w:szCs w:val="20"/>
              </w:rPr>
            </w:pPr>
          </w:p>
        </w:tc>
      </w:tr>
      <w:tr w14:paraId="5BA02F0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8803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2060199</w:t>
            </w:r>
          </w:p>
        </w:tc>
        <w:tc>
          <w:tcPr>
            <w:tcW w:w="1264" w:type="pct"/>
            <w:tcBorders>
              <w:top w:val="nil"/>
              <w:left w:val="nil"/>
              <w:bottom w:val="single" w:color="auto" w:sz="4" w:space="0"/>
              <w:right w:val="single" w:color="auto" w:sz="4" w:space="0"/>
            </w:tcBorders>
            <w:shd w:val="clear" w:color="000000" w:fill="FFFFFF"/>
            <w:noWrap/>
            <w:vAlign w:val="center"/>
          </w:tcPr>
          <w:p w14:paraId="2A065D8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其他科学技术管理事务支出</w:t>
            </w:r>
          </w:p>
        </w:tc>
        <w:tc>
          <w:tcPr>
            <w:tcW w:w="392" w:type="pct"/>
            <w:tcBorders>
              <w:top w:val="nil"/>
              <w:left w:val="nil"/>
              <w:bottom w:val="single" w:color="auto" w:sz="4" w:space="0"/>
              <w:right w:val="single" w:color="auto" w:sz="4" w:space="0"/>
            </w:tcBorders>
            <w:noWrap/>
            <w:vAlign w:val="center"/>
          </w:tcPr>
          <w:p w14:paraId="4041CB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211.42</w:t>
            </w:r>
          </w:p>
        </w:tc>
        <w:tc>
          <w:tcPr>
            <w:tcW w:w="390" w:type="pct"/>
            <w:tcBorders>
              <w:top w:val="nil"/>
              <w:left w:val="nil"/>
              <w:bottom w:val="single" w:color="auto" w:sz="4" w:space="0"/>
              <w:right w:val="single" w:color="auto" w:sz="4" w:space="0"/>
            </w:tcBorders>
            <w:noWrap/>
            <w:vAlign w:val="center"/>
          </w:tcPr>
          <w:p w14:paraId="1C787772">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178345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211.42</w:t>
            </w:r>
          </w:p>
        </w:tc>
        <w:tc>
          <w:tcPr>
            <w:tcW w:w="402" w:type="pct"/>
            <w:tcBorders>
              <w:top w:val="nil"/>
              <w:left w:val="nil"/>
              <w:bottom w:val="single" w:color="auto" w:sz="4" w:space="0"/>
              <w:right w:val="single" w:color="auto" w:sz="4" w:space="0"/>
            </w:tcBorders>
            <w:noWrap/>
            <w:vAlign w:val="center"/>
          </w:tcPr>
          <w:p w14:paraId="16B7D7E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90E9122">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6AB84F7">
            <w:pPr>
              <w:widowControl/>
              <w:spacing w:line="222" w:lineRule="exact"/>
              <w:jc w:val="right"/>
              <w:rPr>
                <w:rFonts w:hint="eastAsia" w:ascii="仿宋" w:hAnsi="仿宋" w:eastAsia="仿宋" w:cs="宋体"/>
                <w:kern w:val="0"/>
                <w:sz w:val="20"/>
                <w:szCs w:val="20"/>
              </w:rPr>
            </w:pPr>
          </w:p>
        </w:tc>
      </w:tr>
      <w:tr w14:paraId="32A1ACB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FFD9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w:t>
            </w:r>
          </w:p>
        </w:tc>
        <w:tc>
          <w:tcPr>
            <w:tcW w:w="1264" w:type="pct"/>
            <w:tcBorders>
              <w:top w:val="nil"/>
              <w:left w:val="nil"/>
              <w:bottom w:val="single" w:color="auto" w:sz="4" w:space="0"/>
              <w:right w:val="single" w:color="auto" w:sz="4" w:space="0"/>
            </w:tcBorders>
            <w:shd w:val="clear" w:color="000000" w:fill="FFFFFF"/>
            <w:noWrap/>
            <w:vAlign w:val="center"/>
          </w:tcPr>
          <w:p w14:paraId="6D731CC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392" w:type="pct"/>
            <w:tcBorders>
              <w:top w:val="nil"/>
              <w:left w:val="nil"/>
              <w:bottom w:val="single" w:color="auto" w:sz="4" w:space="0"/>
              <w:right w:val="single" w:color="auto" w:sz="4" w:space="0"/>
            </w:tcBorders>
            <w:noWrap/>
            <w:vAlign w:val="center"/>
          </w:tcPr>
          <w:p w14:paraId="7789F3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35.47</w:t>
            </w:r>
          </w:p>
        </w:tc>
        <w:tc>
          <w:tcPr>
            <w:tcW w:w="390" w:type="pct"/>
            <w:tcBorders>
              <w:top w:val="nil"/>
              <w:left w:val="nil"/>
              <w:bottom w:val="single" w:color="auto" w:sz="4" w:space="0"/>
              <w:right w:val="single" w:color="auto" w:sz="4" w:space="0"/>
            </w:tcBorders>
            <w:noWrap/>
            <w:vAlign w:val="center"/>
          </w:tcPr>
          <w:p w14:paraId="606D70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5.47</w:t>
            </w:r>
          </w:p>
        </w:tc>
        <w:tc>
          <w:tcPr>
            <w:tcW w:w="374" w:type="pct"/>
            <w:tcBorders>
              <w:top w:val="nil"/>
              <w:left w:val="nil"/>
              <w:bottom w:val="single" w:color="auto" w:sz="4" w:space="0"/>
              <w:right w:val="single" w:color="auto" w:sz="4" w:space="0"/>
            </w:tcBorders>
            <w:noWrap/>
            <w:vAlign w:val="center"/>
          </w:tcPr>
          <w:p w14:paraId="022A73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402" w:type="pct"/>
            <w:tcBorders>
              <w:top w:val="nil"/>
              <w:left w:val="nil"/>
              <w:bottom w:val="single" w:color="auto" w:sz="4" w:space="0"/>
              <w:right w:val="single" w:color="auto" w:sz="4" w:space="0"/>
            </w:tcBorders>
            <w:noWrap/>
            <w:vAlign w:val="center"/>
          </w:tcPr>
          <w:p w14:paraId="0F775AC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93419B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610FFD7">
            <w:pPr>
              <w:widowControl/>
              <w:spacing w:line="222" w:lineRule="exact"/>
              <w:jc w:val="right"/>
              <w:rPr>
                <w:rFonts w:hint="eastAsia" w:ascii="仿宋" w:hAnsi="仿宋" w:eastAsia="仿宋" w:cs="宋体"/>
                <w:kern w:val="0"/>
                <w:sz w:val="20"/>
                <w:szCs w:val="20"/>
              </w:rPr>
            </w:pPr>
          </w:p>
        </w:tc>
      </w:tr>
      <w:tr w14:paraId="03CFB22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C849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2069999</w:t>
            </w:r>
          </w:p>
        </w:tc>
        <w:tc>
          <w:tcPr>
            <w:tcW w:w="1264" w:type="pct"/>
            <w:tcBorders>
              <w:top w:val="nil"/>
              <w:left w:val="nil"/>
              <w:bottom w:val="single" w:color="auto" w:sz="4" w:space="0"/>
              <w:right w:val="single" w:color="auto" w:sz="4" w:space="0"/>
            </w:tcBorders>
            <w:shd w:val="clear" w:color="000000" w:fill="FFFFFF"/>
            <w:noWrap/>
            <w:vAlign w:val="center"/>
          </w:tcPr>
          <w:p w14:paraId="0193A63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其他科学技术支出</w:t>
            </w:r>
          </w:p>
        </w:tc>
        <w:tc>
          <w:tcPr>
            <w:tcW w:w="392" w:type="pct"/>
            <w:tcBorders>
              <w:top w:val="nil"/>
              <w:left w:val="nil"/>
              <w:bottom w:val="single" w:color="auto" w:sz="4" w:space="0"/>
              <w:right w:val="single" w:color="auto" w:sz="4" w:space="0"/>
            </w:tcBorders>
            <w:noWrap/>
            <w:vAlign w:val="center"/>
          </w:tcPr>
          <w:p w14:paraId="3B5AA3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35.47</w:t>
            </w:r>
          </w:p>
        </w:tc>
        <w:tc>
          <w:tcPr>
            <w:tcW w:w="390" w:type="pct"/>
            <w:tcBorders>
              <w:top w:val="nil"/>
              <w:left w:val="nil"/>
              <w:bottom w:val="single" w:color="auto" w:sz="4" w:space="0"/>
              <w:right w:val="single" w:color="auto" w:sz="4" w:space="0"/>
            </w:tcBorders>
            <w:noWrap/>
            <w:vAlign w:val="center"/>
          </w:tcPr>
          <w:p w14:paraId="0576DA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5.47</w:t>
            </w:r>
          </w:p>
        </w:tc>
        <w:tc>
          <w:tcPr>
            <w:tcW w:w="374" w:type="pct"/>
            <w:tcBorders>
              <w:top w:val="nil"/>
              <w:left w:val="nil"/>
              <w:bottom w:val="single" w:color="auto" w:sz="4" w:space="0"/>
              <w:right w:val="single" w:color="auto" w:sz="4" w:space="0"/>
            </w:tcBorders>
            <w:noWrap/>
            <w:vAlign w:val="center"/>
          </w:tcPr>
          <w:p w14:paraId="71C2E2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w:t>
            </w:r>
          </w:p>
        </w:tc>
        <w:tc>
          <w:tcPr>
            <w:tcW w:w="402" w:type="pct"/>
            <w:tcBorders>
              <w:top w:val="nil"/>
              <w:left w:val="nil"/>
              <w:bottom w:val="single" w:color="auto" w:sz="4" w:space="0"/>
              <w:right w:val="single" w:color="auto" w:sz="4" w:space="0"/>
            </w:tcBorders>
            <w:noWrap/>
            <w:vAlign w:val="center"/>
          </w:tcPr>
          <w:p w14:paraId="484AEB53">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FD203CB">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FFAB741">
            <w:pPr>
              <w:widowControl/>
              <w:spacing w:line="222" w:lineRule="exact"/>
              <w:jc w:val="right"/>
              <w:rPr>
                <w:rFonts w:hint="eastAsia" w:ascii="仿宋" w:hAnsi="仿宋" w:eastAsia="仿宋" w:cs="宋体"/>
                <w:kern w:val="0"/>
                <w:sz w:val="20"/>
                <w:szCs w:val="20"/>
              </w:rPr>
            </w:pPr>
          </w:p>
        </w:tc>
      </w:tr>
      <w:tr w14:paraId="616B857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0E45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64" w:type="pct"/>
            <w:tcBorders>
              <w:top w:val="nil"/>
              <w:left w:val="nil"/>
              <w:bottom w:val="single" w:color="auto" w:sz="4" w:space="0"/>
              <w:right w:val="single" w:color="auto" w:sz="4" w:space="0"/>
            </w:tcBorders>
            <w:shd w:val="clear" w:color="000000" w:fill="FFFFFF"/>
            <w:noWrap/>
            <w:vAlign w:val="center"/>
          </w:tcPr>
          <w:p w14:paraId="4B5BC0C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1DBABA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22.3</w:t>
            </w:r>
          </w:p>
        </w:tc>
        <w:tc>
          <w:tcPr>
            <w:tcW w:w="390" w:type="pct"/>
            <w:tcBorders>
              <w:top w:val="nil"/>
              <w:left w:val="nil"/>
              <w:bottom w:val="single" w:color="auto" w:sz="4" w:space="0"/>
              <w:right w:val="single" w:color="auto" w:sz="4" w:space="0"/>
            </w:tcBorders>
            <w:noWrap/>
            <w:vAlign w:val="center"/>
          </w:tcPr>
          <w:p w14:paraId="3E1ECC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22.3</w:t>
            </w:r>
          </w:p>
        </w:tc>
        <w:tc>
          <w:tcPr>
            <w:tcW w:w="374" w:type="pct"/>
            <w:tcBorders>
              <w:top w:val="nil"/>
              <w:left w:val="nil"/>
              <w:bottom w:val="single" w:color="auto" w:sz="4" w:space="0"/>
              <w:right w:val="single" w:color="auto" w:sz="4" w:space="0"/>
            </w:tcBorders>
            <w:noWrap/>
            <w:vAlign w:val="center"/>
          </w:tcPr>
          <w:p w14:paraId="0FFFD774">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C7DEC01">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7E9117D">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E88F37F">
            <w:pPr>
              <w:widowControl/>
              <w:spacing w:line="222" w:lineRule="exact"/>
              <w:jc w:val="right"/>
              <w:rPr>
                <w:rFonts w:hint="eastAsia" w:ascii="仿宋" w:hAnsi="仿宋" w:eastAsia="仿宋" w:cs="宋体"/>
                <w:kern w:val="0"/>
                <w:sz w:val="20"/>
                <w:szCs w:val="20"/>
              </w:rPr>
            </w:pPr>
          </w:p>
        </w:tc>
      </w:tr>
      <w:tr w14:paraId="68616A8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6BD2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64" w:type="pct"/>
            <w:tcBorders>
              <w:top w:val="nil"/>
              <w:left w:val="nil"/>
              <w:bottom w:val="single" w:color="auto" w:sz="4" w:space="0"/>
              <w:right w:val="single" w:color="auto" w:sz="4" w:space="0"/>
            </w:tcBorders>
            <w:shd w:val="clear" w:color="000000" w:fill="FFFFFF"/>
            <w:noWrap/>
            <w:vAlign w:val="center"/>
          </w:tcPr>
          <w:p w14:paraId="04C1FC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1BF2A6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22.3</w:t>
            </w:r>
          </w:p>
        </w:tc>
        <w:tc>
          <w:tcPr>
            <w:tcW w:w="390" w:type="pct"/>
            <w:tcBorders>
              <w:top w:val="nil"/>
              <w:left w:val="nil"/>
              <w:bottom w:val="single" w:color="auto" w:sz="4" w:space="0"/>
              <w:right w:val="single" w:color="auto" w:sz="4" w:space="0"/>
            </w:tcBorders>
            <w:noWrap/>
            <w:vAlign w:val="center"/>
          </w:tcPr>
          <w:p w14:paraId="6CD086B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22.3</w:t>
            </w:r>
          </w:p>
        </w:tc>
        <w:tc>
          <w:tcPr>
            <w:tcW w:w="374" w:type="pct"/>
            <w:tcBorders>
              <w:top w:val="nil"/>
              <w:left w:val="nil"/>
              <w:bottom w:val="single" w:color="auto" w:sz="4" w:space="0"/>
              <w:right w:val="single" w:color="auto" w:sz="4" w:space="0"/>
            </w:tcBorders>
            <w:noWrap/>
            <w:vAlign w:val="center"/>
          </w:tcPr>
          <w:p w14:paraId="433BECEB">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B8442C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47BDD8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7572BBF">
            <w:pPr>
              <w:widowControl/>
              <w:spacing w:line="222" w:lineRule="exact"/>
              <w:jc w:val="right"/>
              <w:rPr>
                <w:rFonts w:hint="eastAsia" w:ascii="仿宋" w:hAnsi="仿宋" w:eastAsia="仿宋" w:cs="宋体"/>
                <w:kern w:val="0"/>
                <w:sz w:val="20"/>
                <w:szCs w:val="20"/>
              </w:rPr>
            </w:pPr>
          </w:p>
        </w:tc>
      </w:tr>
      <w:tr w14:paraId="3D537D5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2423E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264" w:type="pct"/>
            <w:tcBorders>
              <w:top w:val="nil"/>
              <w:left w:val="nil"/>
              <w:bottom w:val="single" w:color="auto" w:sz="4" w:space="0"/>
              <w:right w:val="single" w:color="auto" w:sz="4" w:space="0"/>
            </w:tcBorders>
            <w:shd w:val="clear" w:color="000000" w:fill="FFFFFF"/>
            <w:noWrap/>
            <w:vAlign w:val="center"/>
          </w:tcPr>
          <w:p w14:paraId="483ECDE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92" w:type="pct"/>
            <w:tcBorders>
              <w:top w:val="nil"/>
              <w:left w:val="nil"/>
              <w:bottom w:val="single" w:color="auto" w:sz="4" w:space="0"/>
              <w:right w:val="single" w:color="auto" w:sz="4" w:space="0"/>
            </w:tcBorders>
            <w:noWrap/>
            <w:vAlign w:val="center"/>
          </w:tcPr>
          <w:p w14:paraId="7AB3A5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0.24</w:t>
            </w:r>
          </w:p>
        </w:tc>
        <w:tc>
          <w:tcPr>
            <w:tcW w:w="390" w:type="pct"/>
            <w:tcBorders>
              <w:top w:val="nil"/>
              <w:left w:val="nil"/>
              <w:bottom w:val="single" w:color="auto" w:sz="4" w:space="0"/>
              <w:right w:val="single" w:color="auto" w:sz="4" w:space="0"/>
            </w:tcBorders>
            <w:noWrap/>
            <w:vAlign w:val="center"/>
          </w:tcPr>
          <w:p w14:paraId="540B27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0.24</w:t>
            </w:r>
          </w:p>
        </w:tc>
        <w:tc>
          <w:tcPr>
            <w:tcW w:w="374" w:type="pct"/>
            <w:tcBorders>
              <w:top w:val="nil"/>
              <w:left w:val="nil"/>
              <w:bottom w:val="single" w:color="auto" w:sz="4" w:space="0"/>
              <w:right w:val="single" w:color="auto" w:sz="4" w:space="0"/>
            </w:tcBorders>
            <w:noWrap/>
            <w:vAlign w:val="center"/>
          </w:tcPr>
          <w:p w14:paraId="78920DDF">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4011D7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A5783B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0C3441A">
            <w:pPr>
              <w:widowControl/>
              <w:spacing w:line="222" w:lineRule="exact"/>
              <w:jc w:val="right"/>
              <w:rPr>
                <w:rFonts w:hint="eastAsia" w:ascii="仿宋" w:hAnsi="仿宋" w:eastAsia="仿宋" w:cs="宋体"/>
                <w:kern w:val="0"/>
                <w:sz w:val="20"/>
                <w:szCs w:val="20"/>
              </w:rPr>
            </w:pPr>
          </w:p>
        </w:tc>
      </w:tr>
      <w:tr w14:paraId="0D2975D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6401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64" w:type="pct"/>
            <w:tcBorders>
              <w:top w:val="nil"/>
              <w:left w:val="nil"/>
              <w:bottom w:val="single" w:color="auto" w:sz="4" w:space="0"/>
              <w:right w:val="single" w:color="auto" w:sz="4" w:space="0"/>
            </w:tcBorders>
            <w:shd w:val="clear" w:color="000000" w:fill="FFFFFF"/>
            <w:noWrap/>
            <w:vAlign w:val="center"/>
          </w:tcPr>
          <w:p w14:paraId="6147E4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47BBD36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22.06</w:t>
            </w:r>
          </w:p>
        </w:tc>
        <w:tc>
          <w:tcPr>
            <w:tcW w:w="390" w:type="pct"/>
            <w:tcBorders>
              <w:top w:val="nil"/>
              <w:left w:val="nil"/>
              <w:bottom w:val="single" w:color="auto" w:sz="4" w:space="0"/>
              <w:right w:val="single" w:color="auto" w:sz="4" w:space="0"/>
            </w:tcBorders>
            <w:noWrap/>
            <w:vAlign w:val="center"/>
          </w:tcPr>
          <w:p w14:paraId="06946C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22.06</w:t>
            </w:r>
          </w:p>
        </w:tc>
        <w:tc>
          <w:tcPr>
            <w:tcW w:w="374" w:type="pct"/>
            <w:tcBorders>
              <w:top w:val="nil"/>
              <w:left w:val="nil"/>
              <w:bottom w:val="single" w:color="auto" w:sz="4" w:space="0"/>
              <w:right w:val="single" w:color="auto" w:sz="4" w:space="0"/>
            </w:tcBorders>
            <w:noWrap/>
            <w:vAlign w:val="center"/>
          </w:tcPr>
          <w:p w14:paraId="078EE562">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E572FAE">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90BF6D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94DA8A9">
            <w:pPr>
              <w:widowControl/>
              <w:spacing w:line="222" w:lineRule="exact"/>
              <w:jc w:val="right"/>
              <w:rPr>
                <w:rFonts w:hint="eastAsia" w:ascii="仿宋" w:hAnsi="仿宋" w:eastAsia="仿宋" w:cs="宋体"/>
                <w:kern w:val="0"/>
                <w:sz w:val="20"/>
                <w:szCs w:val="20"/>
              </w:rPr>
            </w:pPr>
          </w:p>
        </w:tc>
      </w:tr>
      <w:tr w14:paraId="18EE8F9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DF247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64" w:type="pct"/>
            <w:tcBorders>
              <w:top w:val="nil"/>
              <w:left w:val="nil"/>
              <w:bottom w:val="single" w:color="auto" w:sz="4" w:space="0"/>
              <w:right w:val="single" w:color="auto" w:sz="4" w:space="0"/>
            </w:tcBorders>
            <w:shd w:val="clear" w:color="000000" w:fill="FFFFFF"/>
            <w:noWrap/>
            <w:vAlign w:val="center"/>
          </w:tcPr>
          <w:p w14:paraId="32618C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223FAA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19.98</w:t>
            </w:r>
          </w:p>
        </w:tc>
        <w:tc>
          <w:tcPr>
            <w:tcW w:w="390" w:type="pct"/>
            <w:tcBorders>
              <w:top w:val="nil"/>
              <w:left w:val="nil"/>
              <w:bottom w:val="single" w:color="auto" w:sz="4" w:space="0"/>
              <w:right w:val="single" w:color="auto" w:sz="4" w:space="0"/>
            </w:tcBorders>
            <w:noWrap/>
            <w:vAlign w:val="center"/>
          </w:tcPr>
          <w:p w14:paraId="197882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19.98</w:t>
            </w:r>
          </w:p>
        </w:tc>
        <w:tc>
          <w:tcPr>
            <w:tcW w:w="374" w:type="pct"/>
            <w:tcBorders>
              <w:top w:val="nil"/>
              <w:left w:val="nil"/>
              <w:bottom w:val="single" w:color="auto" w:sz="4" w:space="0"/>
              <w:right w:val="single" w:color="auto" w:sz="4" w:space="0"/>
            </w:tcBorders>
            <w:noWrap/>
            <w:vAlign w:val="center"/>
          </w:tcPr>
          <w:p w14:paraId="3844E191">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44828F0">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CF51E6E">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206013A">
            <w:pPr>
              <w:widowControl/>
              <w:spacing w:line="222" w:lineRule="exact"/>
              <w:jc w:val="right"/>
              <w:rPr>
                <w:rFonts w:hint="eastAsia" w:ascii="仿宋" w:hAnsi="仿宋" w:eastAsia="仿宋" w:cs="宋体"/>
                <w:kern w:val="0"/>
                <w:sz w:val="20"/>
                <w:szCs w:val="20"/>
              </w:rPr>
            </w:pPr>
          </w:p>
        </w:tc>
      </w:tr>
      <w:tr w14:paraId="40BCCF7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3293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64" w:type="pct"/>
            <w:tcBorders>
              <w:top w:val="nil"/>
              <w:left w:val="nil"/>
              <w:bottom w:val="single" w:color="auto" w:sz="4" w:space="0"/>
              <w:right w:val="single" w:color="auto" w:sz="4" w:space="0"/>
            </w:tcBorders>
            <w:shd w:val="clear" w:color="000000" w:fill="FFFFFF"/>
            <w:noWrap/>
            <w:vAlign w:val="center"/>
          </w:tcPr>
          <w:p w14:paraId="7EC6DE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4C4477B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19.98</w:t>
            </w:r>
          </w:p>
        </w:tc>
        <w:tc>
          <w:tcPr>
            <w:tcW w:w="390" w:type="pct"/>
            <w:tcBorders>
              <w:top w:val="nil"/>
              <w:left w:val="nil"/>
              <w:bottom w:val="single" w:color="auto" w:sz="4" w:space="0"/>
              <w:right w:val="single" w:color="auto" w:sz="4" w:space="0"/>
            </w:tcBorders>
            <w:noWrap/>
            <w:vAlign w:val="center"/>
          </w:tcPr>
          <w:p w14:paraId="1D240DA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19.98</w:t>
            </w:r>
          </w:p>
        </w:tc>
        <w:tc>
          <w:tcPr>
            <w:tcW w:w="374" w:type="pct"/>
            <w:tcBorders>
              <w:top w:val="nil"/>
              <w:left w:val="nil"/>
              <w:bottom w:val="single" w:color="auto" w:sz="4" w:space="0"/>
              <w:right w:val="single" w:color="auto" w:sz="4" w:space="0"/>
            </w:tcBorders>
            <w:noWrap/>
            <w:vAlign w:val="center"/>
          </w:tcPr>
          <w:p w14:paraId="3D165262">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8B7B939">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EE55197">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15DBEE7">
            <w:pPr>
              <w:widowControl/>
              <w:spacing w:line="222" w:lineRule="exact"/>
              <w:jc w:val="right"/>
              <w:rPr>
                <w:rFonts w:hint="eastAsia" w:ascii="仿宋" w:hAnsi="仿宋" w:eastAsia="仿宋" w:cs="宋体"/>
                <w:kern w:val="0"/>
                <w:sz w:val="20"/>
                <w:szCs w:val="20"/>
              </w:rPr>
            </w:pPr>
          </w:p>
        </w:tc>
      </w:tr>
      <w:tr w14:paraId="7AC8F73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1DA99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64" w:type="pct"/>
            <w:tcBorders>
              <w:top w:val="nil"/>
              <w:left w:val="nil"/>
              <w:bottom w:val="single" w:color="auto" w:sz="4" w:space="0"/>
              <w:right w:val="single" w:color="auto" w:sz="4" w:space="0"/>
            </w:tcBorders>
            <w:shd w:val="clear" w:color="000000" w:fill="FFFFFF"/>
            <w:noWrap/>
            <w:vAlign w:val="center"/>
          </w:tcPr>
          <w:p w14:paraId="2009CC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2F53709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19.98</w:t>
            </w:r>
          </w:p>
        </w:tc>
        <w:tc>
          <w:tcPr>
            <w:tcW w:w="390" w:type="pct"/>
            <w:tcBorders>
              <w:top w:val="nil"/>
              <w:left w:val="nil"/>
              <w:bottom w:val="single" w:color="auto" w:sz="4" w:space="0"/>
              <w:right w:val="single" w:color="auto" w:sz="4" w:space="0"/>
            </w:tcBorders>
            <w:noWrap/>
            <w:vAlign w:val="center"/>
          </w:tcPr>
          <w:p w14:paraId="4D6371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19.98</w:t>
            </w:r>
          </w:p>
        </w:tc>
        <w:tc>
          <w:tcPr>
            <w:tcW w:w="374" w:type="pct"/>
            <w:tcBorders>
              <w:top w:val="nil"/>
              <w:left w:val="nil"/>
              <w:bottom w:val="single" w:color="auto" w:sz="4" w:space="0"/>
              <w:right w:val="single" w:color="auto" w:sz="4" w:space="0"/>
            </w:tcBorders>
            <w:noWrap/>
            <w:vAlign w:val="center"/>
          </w:tcPr>
          <w:p w14:paraId="2425E067">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94667B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BEFC5D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0762218">
            <w:pPr>
              <w:widowControl/>
              <w:spacing w:line="222" w:lineRule="exact"/>
              <w:jc w:val="right"/>
              <w:rPr>
                <w:rFonts w:hint="eastAsia" w:ascii="仿宋" w:hAnsi="仿宋" w:eastAsia="仿宋" w:cs="宋体"/>
                <w:kern w:val="0"/>
                <w:sz w:val="20"/>
                <w:szCs w:val="20"/>
              </w:rPr>
            </w:pPr>
          </w:p>
        </w:tc>
      </w:tr>
    </w:tbl>
    <w:p w14:paraId="57C108D7">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68FAF1BF">
      <w:pPr>
        <w:pStyle w:val="9"/>
        <w:rPr>
          <w:rFonts w:hint="eastAsia" w:ascii="仿宋" w:hAnsi="仿宋" w:eastAsia="仿宋"/>
        </w:rPr>
      </w:pPr>
    </w:p>
    <w:p w14:paraId="15D11E49">
      <w:pPr>
        <w:pStyle w:val="2"/>
        <w:ind w:firstLine="480"/>
        <w:rPr>
          <w:rFonts w:hint="eastAsia" w:ascii="仿宋" w:hAnsi="仿宋" w:eastAsia="仿宋"/>
        </w:rPr>
      </w:pPr>
    </w:p>
    <w:p w14:paraId="26C3DB18">
      <w:pPr>
        <w:rPr>
          <w:rFonts w:hint="eastAsia" w:ascii="仿宋" w:hAnsi="仿宋" w:eastAsia="仿宋"/>
        </w:rPr>
      </w:pPr>
    </w:p>
    <w:p w14:paraId="410E4E54">
      <w:pPr>
        <w:pStyle w:val="9"/>
        <w:rPr>
          <w:rFonts w:hint="eastAsia" w:ascii="仿宋" w:hAnsi="仿宋" w:eastAsia="仿宋"/>
        </w:rPr>
      </w:pPr>
    </w:p>
    <w:p w14:paraId="7E35D507">
      <w:pPr>
        <w:pStyle w:val="2"/>
        <w:ind w:firstLine="480"/>
        <w:rPr>
          <w:rFonts w:hint="eastAsia" w:ascii="仿宋" w:hAnsi="仿宋" w:eastAsia="仿宋"/>
        </w:rPr>
      </w:pPr>
    </w:p>
    <w:p w14:paraId="644DB36E">
      <w:pPr>
        <w:rPr>
          <w:rFonts w:hint="eastAsia" w:ascii="仿宋" w:hAnsi="仿宋" w:eastAsia="仿宋"/>
        </w:rPr>
      </w:pPr>
    </w:p>
    <w:p w14:paraId="22AABBD6">
      <w:pPr>
        <w:pStyle w:val="9"/>
        <w:rPr>
          <w:rFonts w:hint="eastAsia" w:ascii="仿宋" w:hAnsi="仿宋" w:eastAsia="仿宋"/>
        </w:rPr>
      </w:pPr>
    </w:p>
    <w:p w14:paraId="4B99B55B">
      <w:pPr>
        <w:pStyle w:val="2"/>
        <w:ind w:firstLine="480"/>
        <w:rPr>
          <w:rFonts w:hint="eastAsia" w:ascii="仿宋" w:hAnsi="仿宋" w:eastAsia="仿宋"/>
        </w:rPr>
      </w:pPr>
    </w:p>
    <w:p w14:paraId="52363089">
      <w:pPr>
        <w:rPr>
          <w:rFonts w:hint="eastAsia" w:ascii="仿宋" w:hAnsi="仿宋" w:eastAsia="仿宋"/>
        </w:rPr>
      </w:pPr>
    </w:p>
    <w:p w14:paraId="5C8FE6D0">
      <w:pPr>
        <w:pStyle w:val="9"/>
        <w:rPr>
          <w:rFonts w:hint="eastAsia" w:ascii="仿宋" w:hAnsi="仿宋" w:eastAsia="仿宋"/>
        </w:rPr>
      </w:pPr>
    </w:p>
    <w:p w14:paraId="0DC2E34A">
      <w:pPr>
        <w:pStyle w:val="2"/>
        <w:ind w:firstLine="480"/>
        <w:rPr>
          <w:rFonts w:hint="eastAsia" w:ascii="仿宋" w:hAnsi="仿宋" w:eastAsia="仿宋"/>
        </w:rPr>
      </w:pPr>
    </w:p>
    <w:p w14:paraId="7374B553">
      <w:pPr>
        <w:rPr>
          <w:rFonts w:hint="eastAsia" w:ascii="仿宋" w:hAnsi="仿宋" w:eastAsia="仿宋"/>
        </w:rPr>
      </w:pPr>
    </w:p>
    <w:p w14:paraId="183CC2B3">
      <w:pPr>
        <w:pStyle w:val="9"/>
        <w:rPr>
          <w:rFonts w:hint="eastAsia" w:ascii="仿宋" w:hAnsi="仿宋" w:eastAsia="仿宋"/>
        </w:rPr>
      </w:pPr>
    </w:p>
    <w:p w14:paraId="7E84E2A8">
      <w:pPr>
        <w:pStyle w:val="2"/>
        <w:ind w:firstLine="480"/>
        <w:rPr>
          <w:rFonts w:hint="eastAsia" w:ascii="仿宋" w:hAnsi="仿宋" w:eastAsia="仿宋"/>
        </w:rPr>
      </w:pPr>
    </w:p>
    <w:p w14:paraId="6FEA6B7D">
      <w:pPr>
        <w:rPr>
          <w:rFonts w:hint="eastAsia" w:ascii="仿宋" w:hAnsi="仿宋" w:eastAsia="仿宋"/>
        </w:rPr>
      </w:pPr>
    </w:p>
    <w:p w14:paraId="2F44849B">
      <w:pPr>
        <w:pStyle w:val="9"/>
        <w:rPr>
          <w:rFonts w:hint="eastAsia" w:ascii="仿宋" w:hAnsi="仿宋" w:eastAsia="仿宋"/>
        </w:rPr>
      </w:pPr>
    </w:p>
    <w:p w14:paraId="655EC1DB">
      <w:pPr>
        <w:pStyle w:val="2"/>
        <w:ind w:firstLine="480"/>
        <w:rPr>
          <w:rFonts w:hint="eastAsia" w:ascii="仿宋" w:hAnsi="仿宋" w:eastAsia="仿宋"/>
        </w:rPr>
      </w:pPr>
    </w:p>
    <w:p w14:paraId="36D8DA72"/>
    <w:p w14:paraId="63C6A545">
      <w:pPr>
        <w:pStyle w:val="9"/>
      </w:pPr>
    </w:p>
    <w:p w14:paraId="3DB21994">
      <w:pPr>
        <w:pStyle w:val="2"/>
        <w:ind w:firstLine="480"/>
        <w:rPr>
          <w:rFonts w:hint="eastAsia"/>
        </w:rPr>
      </w:pPr>
    </w:p>
    <w:p w14:paraId="7FAD1491">
      <w:pPr>
        <w:pStyle w:val="2"/>
        <w:ind w:left="0" w:leftChars="0" w:firstLine="0" w:firstLineChars="0"/>
        <w:rPr>
          <w:rFonts w:hint="eastAsia" w:ascii="仿宋" w:hAnsi="仿宋" w:eastAsia="仿宋"/>
        </w:rPr>
      </w:pPr>
    </w:p>
    <w:p w14:paraId="097646C4">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56BE703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642A8B79">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2305F888">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株洲市渌口区行政审批服务局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35"/>
        <w:gridCol w:w="1586"/>
        <w:gridCol w:w="1703"/>
      </w:tblGrid>
      <w:tr w14:paraId="3E6513D8">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1CFB52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443849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1402CD0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4883155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85A15C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C18F7E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D0CD6E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DA1699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F87FA3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1BF59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2853CF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478EB4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4F11625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65B6C86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449CBC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11B68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81CB4D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DDD7C4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C3F6AE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F3C034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59B60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C36187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3EC3D4F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A61B92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3FFE0F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4021AF1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972.81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ABDE8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47A5C3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0F5695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683.64</w:t>
            </w:r>
          </w:p>
        </w:tc>
        <w:tc>
          <w:tcPr>
            <w:tcW w:w="0" w:type="auto"/>
            <w:tcBorders>
              <w:top w:val="nil"/>
              <w:left w:val="nil"/>
              <w:bottom w:val="single" w:color="auto" w:sz="4" w:space="0"/>
              <w:right w:val="single" w:color="auto" w:sz="4" w:space="0"/>
            </w:tcBorders>
            <w:noWrap/>
            <w:vAlign w:val="center"/>
          </w:tcPr>
          <w:p w14:paraId="17A214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683.64</w:t>
            </w:r>
          </w:p>
        </w:tc>
        <w:tc>
          <w:tcPr>
            <w:tcW w:w="0" w:type="auto"/>
            <w:tcBorders>
              <w:top w:val="nil"/>
              <w:left w:val="nil"/>
              <w:bottom w:val="single" w:color="auto" w:sz="4" w:space="0"/>
              <w:right w:val="single" w:color="auto" w:sz="4" w:space="0"/>
            </w:tcBorders>
            <w:noWrap/>
            <w:vAlign w:val="center"/>
          </w:tcPr>
          <w:p w14:paraId="3DF8BC9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7ECB1C">
            <w:pPr>
              <w:widowControl/>
              <w:spacing w:line="222" w:lineRule="exact"/>
              <w:jc w:val="right"/>
              <w:rPr>
                <w:rFonts w:hint="eastAsia" w:ascii="仿宋" w:hAnsi="仿宋" w:eastAsia="仿宋" w:cs="宋体"/>
                <w:kern w:val="0"/>
                <w:sz w:val="20"/>
                <w:szCs w:val="20"/>
              </w:rPr>
            </w:pPr>
          </w:p>
        </w:tc>
      </w:tr>
      <w:tr w14:paraId="5C8F041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520363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12591F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625C204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59CAF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29578D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187033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9E569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9980B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E40A3E">
            <w:pPr>
              <w:widowControl/>
              <w:spacing w:line="222" w:lineRule="exact"/>
              <w:jc w:val="right"/>
              <w:rPr>
                <w:rFonts w:hint="eastAsia" w:ascii="仿宋" w:hAnsi="仿宋" w:eastAsia="仿宋" w:cs="宋体"/>
                <w:kern w:val="0"/>
                <w:sz w:val="20"/>
                <w:szCs w:val="20"/>
              </w:rPr>
            </w:pPr>
          </w:p>
        </w:tc>
      </w:tr>
      <w:tr w14:paraId="536FB06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49D2E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0A0501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1741380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14D375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4727EE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5847F9C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1B053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B0F61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646C23">
            <w:pPr>
              <w:widowControl/>
              <w:spacing w:line="222" w:lineRule="exact"/>
              <w:jc w:val="right"/>
              <w:rPr>
                <w:rFonts w:hint="eastAsia" w:ascii="仿宋" w:hAnsi="仿宋" w:eastAsia="仿宋" w:cs="宋体"/>
                <w:kern w:val="0"/>
                <w:sz w:val="20"/>
                <w:szCs w:val="20"/>
              </w:rPr>
            </w:pPr>
          </w:p>
        </w:tc>
      </w:tr>
      <w:tr w14:paraId="4FE20FD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7F774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01654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31291A4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072629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5781B6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3F5E099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E505A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0AB8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E746EE">
            <w:pPr>
              <w:widowControl/>
              <w:spacing w:line="222" w:lineRule="exact"/>
              <w:jc w:val="right"/>
              <w:rPr>
                <w:rFonts w:hint="eastAsia" w:ascii="仿宋" w:hAnsi="仿宋" w:eastAsia="仿宋" w:cs="宋体"/>
                <w:kern w:val="0"/>
                <w:sz w:val="20"/>
                <w:szCs w:val="20"/>
              </w:rPr>
            </w:pPr>
          </w:p>
        </w:tc>
      </w:tr>
      <w:tr w14:paraId="3586678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283DB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0AEA3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3831070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662B84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77A42E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624012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45A90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6121B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5B5356">
            <w:pPr>
              <w:widowControl/>
              <w:spacing w:line="222" w:lineRule="exact"/>
              <w:jc w:val="right"/>
              <w:rPr>
                <w:rFonts w:hint="eastAsia" w:ascii="仿宋" w:hAnsi="仿宋" w:eastAsia="仿宋" w:cs="宋体"/>
                <w:kern w:val="0"/>
                <w:sz w:val="20"/>
                <w:szCs w:val="20"/>
              </w:rPr>
            </w:pPr>
          </w:p>
        </w:tc>
      </w:tr>
      <w:tr w14:paraId="7CE0C60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E5C704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9F21B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44D4F72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E32721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5E0512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115E45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246.89</w:t>
            </w:r>
          </w:p>
        </w:tc>
        <w:tc>
          <w:tcPr>
            <w:tcW w:w="0" w:type="auto"/>
            <w:tcBorders>
              <w:top w:val="nil"/>
              <w:left w:val="nil"/>
              <w:bottom w:val="single" w:color="auto" w:sz="4" w:space="0"/>
              <w:right w:val="single" w:color="auto" w:sz="4" w:space="0"/>
            </w:tcBorders>
            <w:noWrap/>
            <w:vAlign w:val="center"/>
          </w:tcPr>
          <w:p w14:paraId="4BE5BB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246.89</w:t>
            </w:r>
          </w:p>
        </w:tc>
        <w:tc>
          <w:tcPr>
            <w:tcW w:w="0" w:type="auto"/>
            <w:tcBorders>
              <w:top w:val="nil"/>
              <w:left w:val="nil"/>
              <w:bottom w:val="single" w:color="auto" w:sz="4" w:space="0"/>
              <w:right w:val="single" w:color="auto" w:sz="4" w:space="0"/>
            </w:tcBorders>
            <w:noWrap/>
            <w:vAlign w:val="center"/>
          </w:tcPr>
          <w:p w14:paraId="27D50F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EF0707">
            <w:pPr>
              <w:widowControl/>
              <w:spacing w:line="222" w:lineRule="exact"/>
              <w:jc w:val="right"/>
              <w:rPr>
                <w:rFonts w:hint="eastAsia" w:ascii="仿宋" w:hAnsi="仿宋" w:eastAsia="仿宋" w:cs="宋体"/>
                <w:kern w:val="0"/>
                <w:sz w:val="20"/>
                <w:szCs w:val="20"/>
              </w:rPr>
            </w:pPr>
          </w:p>
        </w:tc>
      </w:tr>
      <w:tr w14:paraId="59DFC50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586561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D8963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61A9496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AE604E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30D145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0B1F62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9CA0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3975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D89D35">
            <w:pPr>
              <w:widowControl/>
              <w:spacing w:line="222" w:lineRule="exact"/>
              <w:jc w:val="right"/>
              <w:rPr>
                <w:rFonts w:hint="eastAsia" w:ascii="仿宋" w:hAnsi="仿宋" w:eastAsia="仿宋" w:cs="宋体"/>
                <w:kern w:val="0"/>
                <w:sz w:val="20"/>
                <w:szCs w:val="20"/>
              </w:rPr>
            </w:pPr>
          </w:p>
        </w:tc>
      </w:tr>
      <w:tr w14:paraId="0AE8561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AC9172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4EFD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34B4AAD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00D99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1BADAF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77B47B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22.3</w:t>
            </w:r>
          </w:p>
        </w:tc>
        <w:tc>
          <w:tcPr>
            <w:tcW w:w="0" w:type="auto"/>
            <w:tcBorders>
              <w:top w:val="nil"/>
              <w:left w:val="nil"/>
              <w:bottom w:val="single" w:color="auto" w:sz="4" w:space="0"/>
              <w:right w:val="single" w:color="auto" w:sz="4" w:space="0"/>
            </w:tcBorders>
            <w:noWrap/>
            <w:vAlign w:val="center"/>
          </w:tcPr>
          <w:p w14:paraId="520DE8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22.3</w:t>
            </w:r>
          </w:p>
        </w:tc>
        <w:tc>
          <w:tcPr>
            <w:tcW w:w="0" w:type="auto"/>
            <w:tcBorders>
              <w:top w:val="nil"/>
              <w:left w:val="nil"/>
              <w:bottom w:val="single" w:color="auto" w:sz="4" w:space="0"/>
              <w:right w:val="single" w:color="auto" w:sz="4" w:space="0"/>
            </w:tcBorders>
            <w:noWrap/>
            <w:vAlign w:val="center"/>
          </w:tcPr>
          <w:p w14:paraId="2857D93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E2CE6A">
            <w:pPr>
              <w:widowControl/>
              <w:spacing w:line="222" w:lineRule="exact"/>
              <w:jc w:val="right"/>
              <w:rPr>
                <w:rFonts w:hint="eastAsia" w:ascii="仿宋" w:hAnsi="仿宋" w:eastAsia="仿宋" w:cs="宋体"/>
                <w:kern w:val="0"/>
                <w:sz w:val="20"/>
                <w:szCs w:val="20"/>
              </w:rPr>
            </w:pPr>
          </w:p>
        </w:tc>
      </w:tr>
      <w:tr w14:paraId="58DD33A6">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B93C7F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75C4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0E41DE8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1525D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6C0DA0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0297991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38106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05122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FE2CF2">
            <w:pPr>
              <w:widowControl/>
              <w:spacing w:line="222" w:lineRule="exact"/>
              <w:jc w:val="right"/>
              <w:rPr>
                <w:rFonts w:hint="eastAsia" w:ascii="仿宋" w:hAnsi="仿宋" w:eastAsia="仿宋" w:cs="宋体"/>
                <w:kern w:val="0"/>
                <w:sz w:val="20"/>
                <w:szCs w:val="20"/>
              </w:rPr>
            </w:pPr>
          </w:p>
        </w:tc>
      </w:tr>
      <w:tr w14:paraId="717CD65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D5AB0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6EB5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20F801F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95F52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6DCD2D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4884A7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5F735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809D4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CDB5B7">
            <w:pPr>
              <w:widowControl/>
              <w:spacing w:line="222" w:lineRule="exact"/>
              <w:jc w:val="right"/>
              <w:rPr>
                <w:rFonts w:hint="eastAsia" w:ascii="仿宋" w:hAnsi="仿宋" w:eastAsia="仿宋" w:cs="宋体"/>
                <w:kern w:val="0"/>
                <w:sz w:val="20"/>
                <w:szCs w:val="20"/>
              </w:rPr>
            </w:pPr>
          </w:p>
        </w:tc>
      </w:tr>
      <w:tr w14:paraId="4B47407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932761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EA48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7A782A7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A85B9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32078D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74DA79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425C1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21ACB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7CF0AA">
            <w:pPr>
              <w:widowControl/>
              <w:spacing w:line="222" w:lineRule="exact"/>
              <w:jc w:val="right"/>
              <w:rPr>
                <w:rFonts w:hint="eastAsia" w:ascii="仿宋" w:hAnsi="仿宋" w:eastAsia="仿宋" w:cs="宋体"/>
                <w:kern w:val="0"/>
                <w:sz w:val="20"/>
                <w:szCs w:val="20"/>
              </w:rPr>
            </w:pPr>
          </w:p>
        </w:tc>
      </w:tr>
      <w:tr w14:paraId="62E6052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5C7C07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010A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28DB8FD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0AC7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571579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52EF5E5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86DE5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C7827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229CC9">
            <w:pPr>
              <w:widowControl/>
              <w:spacing w:line="222" w:lineRule="exact"/>
              <w:jc w:val="right"/>
              <w:rPr>
                <w:rFonts w:hint="eastAsia" w:ascii="仿宋" w:hAnsi="仿宋" w:eastAsia="仿宋" w:cs="宋体"/>
                <w:kern w:val="0"/>
                <w:sz w:val="20"/>
                <w:szCs w:val="20"/>
              </w:rPr>
            </w:pPr>
          </w:p>
        </w:tc>
      </w:tr>
      <w:tr w14:paraId="0BC2296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8FDD7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805E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6C1DC64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6A446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61DCB1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79E8424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21981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15FE1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883C9D">
            <w:pPr>
              <w:widowControl/>
              <w:spacing w:line="222" w:lineRule="exact"/>
              <w:jc w:val="right"/>
              <w:rPr>
                <w:rFonts w:hint="eastAsia" w:ascii="仿宋" w:hAnsi="仿宋" w:eastAsia="仿宋" w:cs="宋体"/>
                <w:kern w:val="0"/>
                <w:sz w:val="20"/>
                <w:szCs w:val="20"/>
              </w:rPr>
            </w:pPr>
          </w:p>
        </w:tc>
      </w:tr>
      <w:tr w14:paraId="1C78FF0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43CD61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60AE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05F3DEA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25E84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7D97F0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23A5369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1A822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56B8F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A5EA0A">
            <w:pPr>
              <w:widowControl/>
              <w:spacing w:line="222" w:lineRule="exact"/>
              <w:jc w:val="right"/>
              <w:rPr>
                <w:rFonts w:hint="eastAsia" w:ascii="仿宋" w:hAnsi="仿宋" w:eastAsia="仿宋" w:cs="宋体"/>
                <w:kern w:val="0"/>
                <w:sz w:val="20"/>
                <w:szCs w:val="20"/>
              </w:rPr>
            </w:pPr>
          </w:p>
        </w:tc>
      </w:tr>
      <w:tr w14:paraId="001BCEF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73912F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0F30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087A7C6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D465B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4E839E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742E40D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CCAF4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AFB8B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504925">
            <w:pPr>
              <w:widowControl/>
              <w:spacing w:line="222" w:lineRule="exact"/>
              <w:jc w:val="right"/>
              <w:rPr>
                <w:rFonts w:hint="eastAsia" w:ascii="仿宋" w:hAnsi="仿宋" w:eastAsia="仿宋" w:cs="宋体"/>
                <w:kern w:val="0"/>
                <w:sz w:val="20"/>
                <w:szCs w:val="20"/>
              </w:rPr>
            </w:pPr>
          </w:p>
        </w:tc>
      </w:tr>
      <w:tr w14:paraId="61A4B03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EFE470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BE22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5672C21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66DE9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1BBF4B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02316A9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FBA77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8C747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50DE96">
            <w:pPr>
              <w:widowControl/>
              <w:spacing w:line="222" w:lineRule="exact"/>
              <w:jc w:val="right"/>
              <w:rPr>
                <w:rFonts w:hint="eastAsia" w:ascii="仿宋" w:hAnsi="仿宋" w:eastAsia="仿宋" w:cs="宋体"/>
                <w:kern w:val="0"/>
                <w:sz w:val="20"/>
                <w:szCs w:val="20"/>
              </w:rPr>
            </w:pPr>
          </w:p>
        </w:tc>
      </w:tr>
      <w:tr w14:paraId="1C6F77E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D8FDAA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D8E5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11EE9CD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4070E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45E476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17FE4DD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C4260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97555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BDD726">
            <w:pPr>
              <w:widowControl/>
              <w:spacing w:line="222" w:lineRule="exact"/>
              <w:jc w:val="right"/>
              <w:rPr>
                <w:rFonts w:hint="eastAsia" w:ascii="仿宋" w:hAnsi="仿宋" w:eastAsia="仿宋" w:cs="宋体"/>
                <w:kern w:val="0"/>
                <w:sz w:val="20"/>
                <w:szCs w:val="20"/>
              </w:rPr>
            </w:pPr>
          </w:p>
        </w:tc>
      </w:tr>
      <w:tr w14:paraId="7FFDE25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3DD06B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A806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36A00DA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3BE55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7C0D71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74542D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B85C5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F85CF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778963">
            <w:pPr>
              <w:widowControl/>
              <w:spacing w:line="222" w:lineRule="exact"/>
              <w:jc w:val="right"/>
              <w:rPr>
                <w:rFonts w:hint="eastAsia" w:ascii="仿宋" w:hAnsi="仿宋" w:eastAsia="仿宋" w:cs="宋体"/>
                <w:kern w:val="0"/>
                <w:sz w:val="20"/>
                <w:szCs w:val="20"/>
              </w:rPr>
            </w:pPr>
          </w:p>
        </w:tc>
      </w:tr>
      <w:tr w14:paraId="24376AE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5406BB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10D4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5454CC1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6010F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7FB73A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5CA06A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19.98</w:t>
            </w:r>
          </w:p>
        </w:tc>
        <w:tc>
          <w:tcPr>
            <w:tcW w:w="0" w:type="auto"/>
            <w:tcBorders>
              <w:top w:val="nil"/>
              <w:left w:val="nil"/>
              <w:bottom w:val="single" w:color="auto" w:sz="4" w:space="0"/>
              <w:right w:val="single" w:color="auto" w:sz="4" w:space="0"/>
            </w:tcBorders>
            <w:noWrap/>
            <w:vAlign w:val="center"/>
          </w:tcPr>
          <w:p w14:paraId="6247A1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19.98</w:t>
            </w:r>
          </w:p>
        </w:tc>
        <w:tc>
          <w:tcPr>
            <w:tcW w:w="0" w:type="auto"/>
            <w:tcBorders>
              <w:top w:val="nil"/>
              <w:left w:val="nil"/>
              <w:bottom w:val="single" w:color="auto" w:sz="4" w:space="0"/>
              <w:right w:val="single" w:color="auto" w:sz="4" w:space="0"/>
            </w:tcBorders>
            <w:noWrap/>
            <w:vAlign w:val="center"/>
          </w:tcPr>
          <w:p w14:paraId="34CFF27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095655">
            <w:pPr>
              <w:widowControl/>
              <w:spacing w:line="222" w:lineRule="exact"/>
              <w:jc w:val="right"/>
              <w:rPr>
                <w:rFonts w:hint="eastAsia" w:ascii="仿宋" w:hAnsi="仿宋" w:eastAsia="仿宋" w:cs="宋体"/>
                <w:kern w:val="0"/>
                <w:sz w:val="20"/>
                <w:szCs w:val="20"/>
              </w:rPr>
            </w:pPr>
          </w:p>
        </w:tc>
      </w:tr>
      <w:tr w14:paraId="0D7CD59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EC2D65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769D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315850C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7CFCA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253D13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14BAA6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31E91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1A006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BCA263">
            <w:pPr>
              <w:widowControl/>
              <w:spacing w:line="222" w:lineRule="exact"/>
              <w:jc w:val="right"/>
              <w:rPr>
                <w:rFonts w:hint="eastAsia" w:ascii="仿宋" w:hAnsi="仿宋" w:eastAsia="仿宋" w:cs="宋体"/>
                <w:kern w:val="0"/>
                <w:sz w:val="20"/>
                <w:szCs w:val="20"/>
              </w:rPr>
            </w:pPr>
          </w:p>
        </w:tc>
      </w:tr>
      <w:tr w14:paraId="2A2CDF4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A5FDB5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2998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5D938F4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A68AE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1E9190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5C42502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FE8FD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D094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4D6E33">
            <w:pPr>
              <w:widowControl/>
              <w:spacing w:line="222" w:lineRule="exact"/>
              <w:jc w:val="right"/>
              <w:rPr>
                <w:rFonts w:hint="eastAsia" w:ascii="仿宋" w:hAnsi="仿宋" w:eastAsia="仿宋" w:cs="宋体"/>
                <w:kern w:val="0"/>
                <w:sz w:val="20"/>
                <w:szCs w:val="20"/>
              </w:rPr>
            </w:pPr>
          </w:p>
        </w:tc>
      </w:tr>
      <w:tr w14:paraId="2561A4C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BC1566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B463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28648C4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7545B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45EE4D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603416F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17E2B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ED1B8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074B2F">
            <w:pPr>
              <w:widowControl/>
              <w:spacing w:line="222" w:lineRule="exact"/>
              <w:jc w:val="right"/>
              <w:rPr>
                <w:rFonts w:hint="eastAsia" w:ascii="仿宋" w:hAnsi="仿宋" w:eastAsia="仿宋" w:cs="宋体"/>
                <w:kern w:val="0"/>
                <w:sz w:val="20"/>
                <w:szCs w:val="20"/>
              </w:rPr>
            </w:pPr>
          </w:p>
        </w:tc>
      </w:tr>
      <w:tr w14:paraId="72A116F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658A6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0F5B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761F13B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EBD39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56D1EA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708FBF7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F91A0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A5F98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C3E009">
            <w:pPr>
              <w:widowControl/>
              <w:spacing w:line="222" w:lineRule="exact"/>
              <w:jc w:val="right"/>
              <w:rPr>
                <w:rFonts w:hint="eastAsia" w:ascii="仿宋" w:hAnsi="仿宋" w:eastAsia="仿宋" w:cs="宋体"/>
                <w:kern w:val="0"/>
                <w:sz w:val="20"/>
                <w:szCs w:val="20"/>
              </w:rPr>
            </w:pPr>
          </w:p>
        </w:tc>
      </w:tr>
      <w:tr w14:paraId="22AAF8A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0A70D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5E19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25D2EDE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4CDB3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2E01AE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5427EAE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C435E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BD421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7548B3">
            <w:pPr>
              <w:widowControl/>
              <w:spacing w:line="222" w:lineRule="exact"/>
              <w:jc w:val="right"/>
              <w:rPr>
                <w:rFonts w:hint="eastAsia" w:ascii="仿宋" w:hAnsi="仿宋" w:eastAsia="仿宋" w:cs="宋体"/>
                <w:kern w:val="0"/>
                <w:sz w:val="20"/>
                <w:szCs w:val="20"/>
              </w:rPr>
            </w:pPr>
          </w:p>
        </w:tc>
      </w:tr>
      <w:tr w14:paraId="4CC478A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717E82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3D09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16843E8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9967B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5F7035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7DFF91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F8174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23350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C3060D">
            <w:pPr>
              <w:widowControl/>
              <w:spacing w:line="222" w:lineRule="exact"/>
              <w:jc w:val="right"/>
              <w:rPr>
                <w:rFonts w:hint="eastAsia" w:ascii="仿宋" w:hAnsi="仿宋" w:eastAsia="仿宋" w:cs="宋体"/>
                <w:kern w:val="0"/>
                <w:sz w:val="20"/>
                <w:szCs w:val="20"/>
              </w:rPr>
            </w:pPr>
          </w:p>
        </w:tc>
      </w:tr>
      <w:tr w14:paraId="6712E40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57E247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2CF2C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459672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95A22C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4B5514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77B4D6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5A7FC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36FD7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F1D522">
            <w:pPr>
              <w:widowControl/>
              <w:spacing w:line="222" w:lineRule="exact"/>
              <w:jc w:val="center"/>
              <w:rPr>
                <w:rFonts w:hint="eastAsia" w:ascii="仿宋" w:hAnsi="仿宋" w:eastAsia="仿宋" w:cs="宋体"/>
                <w:kern w:val="0"/>
                <w:sz w:val="20"/>
                <w:szCs w:val="20"/>
              </w:rPr>
            </w:pPr>
          </w:p>
        </w:tc>
      </w:tr>
      <w:tr w14:paraId="27E6437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676B8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256EF3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6E9A7A8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972.81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B96D0E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60D17CC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313D432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972.81</w:t>
            </w:r>
          </w:p>
        </w:tc>
        <w:tc>
          <w:tcPr>
            <w:tcW w:w="0" w:type="auto"/>
            <w:tcBorders>
              <w:top w:val="nil"/>
              <w:left w:val="nil"/>
              <w:bottom w:val="single" w:color="auto" w:sz="4" w:space="0"/>
              <w:right w:val="single" w:color="auto" w:sz="4" w:space="0"/>
            </w:tcBorders>
            <w:noWrap/>
            <w:vAlign w:val="center"/>
          </w:tcPr>
          <w:p w14:paraId="7B18B76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972.81</w:t>
            </w:r>
          </w:p>
        </w:tc>
        <w:tc>
          <w:tcPr>
            <w:tcW w:w="0" w:type="auto"/>
            <w:tcBorders>
              <w:top w:val="nil"/>
              <w:left w:val="nil"/>
              <w:bottom w:val="single" w:color="auto" w:sz="4" w:space="0"/>
              <w:right w:val="single" w:color="auto" w:sz="4" w:space="0"/>
            </w:tcBorders>
            <w:noWrap/>
            <w:vAlign w:val="center"/>
          </w:tcPr>
          <w:p w14:paraId="2DC5902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41F6FF">
            <w:pPr>
              <w:widowControl/>
              <w:spacing w:line="222" w:lineRule="exact"/>
              <w:jc w:val="left"/>
              <w:rPr>
                <w:rFonts w:hint="eastAsia" w:ascii="仿宋" w:hAnsi="仿宋" w:eastAsia="仿宋" w:cs="宋体"/>
                <w:kern w:val="0"/>
                <w:sz w:val="20"/>
                <w:szCs w:val="20"/>
              </w:rPr>
            </w:pPr>
          </w:p>
        </w:tc>
      </w:tr>
      <w:tr w14:paraId="7922F93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49901A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6DBF67A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56965C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F40F78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2B82B60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6F8CB49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833A5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22DCE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456A0C">
            <w:pPr>
              <w:widowControl/>
              <w:spacing w:line="222" w:lineRule="exact"/>
              <w:jc w:val="left"/>
              <w:rPr>
                <w:rFonts w:hint="eastAsia" w:ascii="仿宋" w:hAnsi="仿宋" w:eastAsia="仿宋" w:cs="宋体"/>
                <w:kern w:val="0"/>
                <w:sz w:val="20"/>
                <w:szCs w:val="20"/>
              </w:rPr>
            </w:pPr>
          </w:p>
        </w:tc>
      </w:tr>
      <w:tr w14:paraId="6EFD804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FDD6F7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6912D50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4FA5EA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F2F8AB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3CEFD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40976BD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95D1E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ADE00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2B7782">
            <w:pPr>
              <w:widowControl/>
              <w:spacing w:line="222" w:lineRule="exact"/>
              <w:jc w:val="left"/>
              <w:rPr>
                <w:rFonts w:hint="eastAsia" w:ascii="仿宋" w:hAnsi="仿宋" w:eastAsia="仿宋" w:cs="宋体"/>
                <w:kern w:val="0"/>
                <w:sz w:val="20"/>
                <w:szCs w:val="20"/>
              </w:rPr>
            </w:pPr>
          </w:p>
        </w:tc>
      </w:tr>
      <w:tr w14:paraId="65D10B5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0A8B21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6238DB0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77D0ED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32EA4E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77922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375265E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7F8F2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7AB91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9AA6D4">
            <w:pPr>
              <w:widowControl/>
              <w:spacing w:line="222" w:lineRule="exact"/>
              <w:jc w:val="left"/>
              <w:rPr>
                <w:rFonts w:hint="eastAsia" w:ascii="仿宋" w:hAnsi="仿宋" w:eastAsia="仿宋" w:cs="宋体"/>
                <w:kern w:val="0"/>
                <w:sz w:val="20"/>
                <w:szCs w:val="20"/>
              </w:rPr>
            </w:pPr>
          </w:p>
        </w:tc>
      </w:tr>
      <w:tr w14:paraId="58FC3E1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52305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785189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1B7DF3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0B722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90090B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212CDC2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E6096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D0439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AE2C83">
            <w:pPr>
              <w:widowControl/>
              <w:spacing w:line="222" w:lineRule="exact"/>
              <w:jc w:val="left"/>
              <w:rPr>
                <w:rFonts w:hint="eastAsia" w:ascii="仿宋" w:hAnsi="仿宋" w:eastAsia="仿宋" w:cs="宋体"/>
                <w:kern w:val="0"/>
                <w:sz w:val="20"/>
                <w:szCs w:val="20"/>
              </w:rPr>
            </w:pPr>
          </w:p>
        </w:tc>
      </w:tr>
      <w:tr w14:paraId="0A3601D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1035B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446FEE8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76221BD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972.81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1C21D8D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76E398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104F114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972.81</w:t>
            </w:r>
          </w:p>
        </w:tc>
        <w:tc>
          <w:tcPr>
            <w:tcW w:w="0" w:type="auto"/>
            <w:tcBorders>
              <w:top w:val="nil"/>
              <w:left w:val="nil"/>
              <w:bottom w:val="single" w:color="auto" w:sz="4" w:space="0"/>
              <w:right w:val="single" w:color="auto" w:sz="4" w:space="0"/>
            </w:tcBorders>
            <w:shd w:val="clear" w:color="000000" w:fill="FFFFFF"/>
            <w:noWrap/>
            <w:vAlign w:val="center"/>
          </w:tcPr>
          <w:p w14:paraId="26F6384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972.81</w:t>
            </w:r>
          </w:p>
        </w:tc>
        <w:tc>
          <w:tcPr>
            <w:tcW w:w="0" w:type="auto"/>
            <w:tcBorders>
              <w:top w:val="nil"/>
              <w:left w:val="nil"/>
              <w:bottom w:val="single" w:color="auto" w:sz="4" w:space="0"/>
              <w:right w:val="single" w:color="auto" w:sz="4" w:space="0"/>
            </w:tcBorders>
            <w:noWrap/>
            <w:vAlign w:val="center"/>
          </w:tcPr>
          <w:p w14:paraId="42D7259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7719E0">
            <w:pPr>
              <w:widowControl/>
              <w:spacing w:line="222" w:lineRule="exact"/>
              <w:jc w:val="left"/>
              <w:rPr>
                <w:rFonts w:hint="eastAsia" w:ascii="仿宋" w:hAnsi="仿宋" w:eastAsia="仿宋" w:cs="宋体"/>
                <w:kern w:val="0"/>
                <w:sz w:val="20"/>
                <w:szCs w:val="20"/>
              </w:rPr>
            </w:pPr>
          </w:p>
        </w:tc>
      </w:tr>
    </w:tbl>
    <w:p w14:paraId="0613B8A1">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2AFC604A">
      <w:pPr>
        <w:pStyle w:val="9"/>
      </w:pPr>
    </w:p>
    <w:p w14:paraId="797E9DE3">
      <w:pPr>
        <w:pStyle w:val="2"/>
        <w:ind w:firstLine="480"/>
        <w:rPr>
          <w:rFonts w:hint="eastAsia"/>
        </w:rPr>
      </w:pPr>
    </w:p>
    <w:p w14:paraId="0DACE599"/>
    <w:p w14:paraId="306AAFFC">
      <w:pPr>
        <w:pStyle w:val="9"/>
      </w:pPr>
    </w:p>
    <w:p w14:paraId="19907C92">
      <w:pPr>
        <w:widowControl/>
        <w:spacing w:after="156" w:afterLines="50"/>
        <w:jc w:val="both"/>
        <w:textAlignment w:val="center"/>
        <w:rPr>
          <w:rFonts w:hint="eastAsia" w:ascii="仿宋" w:hAnsi="仿宋" w:eastAsia="仿宋" w:cs="Times New Roman"/>
          <w:color w:val="000000"/>
          <w:kern w:val="0"/>
          <w:sz w:val="36"/>
          <w:szCs w:val="36"/>
          <w:lang w:bidi="ar"/>
        </w:rPr>
      </w:pPr>
    </w:p>
    <w:p w14:paraId="0DD7BEC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27CEFD45">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1266B9B0">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株洲市渌口区行政审批服务局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43C43A4F">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56F11BC0">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0734DBA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47EB2367">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0E099C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66623F3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BF8F84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0E55C6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3EE553C">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5A34FC30">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5F34BA6">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039477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75AAA36">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06ECD50">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E241A07">
            <w:pPr>
              <w:widowControl/>
              <w:jc w:val="left"/>
              <w:rPr>
                <w:rFonts w:hint="eastAsia" w:ascii="仿宋" w:hAnsi="仿宋" w:eastAsia="仿宋" w:cs="Times New Roman"/>
                <w:kern w:val="0"/>
                <w:sz w:val="20"/>
                <w:szCs w:val="20"/>
              </w:rPr>
            </w:pPr>
          </w:p>
        </w:tc>
      </w:tr>
      <w:tr w14:paraId="12DF7244">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7448531">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F4E7AF5">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DFBE125">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1CEFCF4">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1CE8B7A">
            <w:pPr>
              <w:widowControl/>
              <w:jc w:val="left"/>
              <w:rPr>
                <w:rFonts w:hint="eastAsia" w:ascii="仿宋" w:hAnsi="仿宋" w:eastAsia="仿宋" w:cs="Times New Roman"/>
                <w:kern w:val="0"/>
                <w:sz w:val="20"/>
                <w:szCs w:val="20"/>
              </w:rPr>
            </w:pPr>
          </w:p>
        </w:tc>
      </w:tr>
      <w:tr w14:paraId="136341F2">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43F195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4C71D5B5">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70404DAB">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6EECA46B">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20CA6CAB">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381A6BC">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183BCE2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972.81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372517F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726.39</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2F24141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246.42</w:t>
            </w:r>
          </w:p>
        </w:tc>
      </w:tr>
      <w:tr w14:paraId="74ECA3A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956343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6459398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3A46BD6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683.64</w:t>
            </w:r>
          </w:p>
        </w:tc>
        <w:tc>
          <w:tcPr>
            <w:tcW w:w="3492" w:type="dxa"/>
            <w:tcBorders>
              <w:top w:val="nil"/>
              <w:left w:val="nil"/>
              <w:bottom w:val="single" w:color="auto" w:sz="4" w:space="0"/>
              <w:right w:val="single" w:color="auto" w:sz="4" w:space="0"/>
            </w:tcBorders>
            <w:vAlign w:val="center"/>
          </w:tcPr>
          <w:p w14:paraId="5707E01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678.64</w:t>
            </w:r>
          </w:p>
        </w:tc>
        <w:tc>
          <w:tcPr>
            <w:tcW w:w="3000" w:type="dxa"/>
            <w:tcBorders>
              <w:top w:val="nil"/>
              <w:left w:val="nil"/>
              <w:bottom w:val="single" w:color="auto" w:sz="4" w:space="0"/>
              <w:right w:val="single" w:color="auto" w:sz="8" w:space="0"/>
            </w:tcBorders>
            <w:vAlign w:val="center"/>
          </w:tcPr>
          <w:p w14:paraId="2DB2234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r>
      <w:tr w14:paraId="0C4FB05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2CF4B3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20103</w:t>
            </w:r>
          </w:p>
        </w:tc>
        <w:tc>
          <w:tcPr>
            <w:tcW w:w="3527" w:type="dxa"/>
            <w:tcBorders>
              <w:top w:val="nil"/>
              <w:left w:val="nil"/>
              <w:bottom w:val="single" w:color="auto" w:sz="4" w:space="0"/>
              <w:right w:val="single" w:color="auto" w:sz="4" w:space="0"/>
            </w:tcBorders>
            <w:vAlign w:val="center"/>
          </w:tcPr>
          <w:p w14:paraId="1E9D9D2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政府办公厅（室）及相关机构事务</w:t>
            </w:r>
          </w:p>
        </w:tc>
        <w:tc>
          <w:tcPr>
            <w:tcW w:w="3000" w:type="dxa"/>
            <w:tcBorders>
              <w:top w:val="nil"/>
              <w:left w:val="nil"/>
              <w:bottom w:val="single" w:color="auto" w:sz="4" w:space="0"/>
              <w:right w:val="single" w:color="auto" w:sz="4" w:space="0"/>
            </w:tcBorders>
            <w:vAlign w:val="center"/>
          </w:tcPr>
          <w:p w14:paraId="03C5559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671.25</w:t>
            </w:r>
          </w:p>
        </w:tc>
        <w:tc>
          <w:tcPr>
            <w:tcW w:w="3492" w:type="dxa"/>
            <w:tcBorders>
              <w:top w:val="nil"/>
              <w:left w:val="nil"/>
              <w:bottom w:val="single" w:color="auto" w:sz="4" w:space="0"/>
              <w:right w:val="single" w:color="auto" w:sz="4" w:space="0"/>
            </w:tcBorders>
            <w:vAlign w:val="center"/>
          </w:tcPr>
          <w:p w14:paraId="2F19A7D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671.25</w:t>
            </w:r>
          </w:p>
        </w:tc>
        <w:tc>
          <w:tcPr>
            <w:tcW w:w="3000" w:type="dxa"/>
            <w:tcBorders>
              <w:top w:val="nil"/>
              <w:left w:val="nil"/>
              <w:bottom w:val="single" w:color="auto" w:sz="4" w:space="0"/>
              <w:right w:val="single" w:color="auto" w:sz="8" w:space="0"/>
            </w:tcBorders>
            <w:vAlign w:val="center"/>
          </w:tcPr>
          <w:p w14:paraId="059B402A">
            <w:pPr>
              <w:widowControl/>
              <w:jc w:val="right"/>
              <w:rPr>
                <w:rFonts w:hint="eastAsia" w:ascii="仿宋" w:hAnsi="仿宋" w:eastAsia="仿宋" w:cs="Times New Roman"/>
                <w:kern w:val="0"/>
                <w:sz w:val="20"/>
                <w:szCs w:val="20"/>
              </w:rPr>
            </w:pPr>
          </w:p>
        </w:tc>
      </w:tr>
      <w:tr w14:paraId="739889C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1284D3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2010301</w:t>
            </w:r>
          </w:p>
        </w:tc>
        <w:tc>
          <w:tcPr>
            <w:tcW w:w="3527" w:type="dxa"/>
            <w:tcBorders>
              <w:top w:val="nil"/>
              <w:left w:val="nil"/>
              <w:bottom w:val="single" w:color="auto" w:sz="4" w:space="0"/>
              <w:right w:val="single" w:color="auto" w:sz="4" w:space="0"/>
            </w:tcBorders>
            <w:vAlign w:val="center"/>
          </w:tcPr>
          <w:p w14:paraId="202D92B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785D11D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668.17</w:t>
            </w:r>
          </w:p>
        </w:tc>
        <w:tc>
          <w:tcPr>
            <w:tcW w:w="3492" w:type="dxa"/>
            <w:tcBorders>
              <w:top w:val="nil"/>
              <w:left w:val="nil"/>
              <w:bottom w:val="single" w:color="auto" w:sz="4" w:space="0"/>
              <w:right w:val="single" w:color="auto" w:sz="4" w:space="0"/>
            </w:tcBorders>
            <w:vAlign w:val="center"/>
          </w:tcPr>
          <w:p w14:paraId="44B2692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668.17</w:t>
            </w:r>
          </w:p>
        </w:tc>
        <w:tc>
          <w:tcPr>
            <w:tcW w:w="3000" w:type="dxa"/>
            <w:tcBorders>
              <w:top w:val="nil"/>
              <w:left w:val="nil"/>
              <w:bottom w:val="single" w:color="auto" w:sz="4" w:space="0"/>
              <w:right w:val="single" w:color="auto" w:sz="8" w:space="0"/>
            </w:tcBorders>
            <w:vAlign w:val="center"/>
          </w:tcPr>
          <w:p w14:paraId="117A7F5D">
            <w:pPr>
              <w:widowControl/>
              <w:jc w:val="right"/>
              <w:rPr>
                <w:rFonts w:hint="eastAsia" w:ascii="仿宋" w:hAnsi="仿宋" w:eastAsia="仿宋" w:cs="Times New Roman"/>
                <w:kern w:val="0"/>
                <w:sz w:val="20"/>
                <w:szCs w:val="20"/>
              </w:rPr>
            </w:pPr>
          </w:p>
        </w:tc>
      </w:tr>
      <w:tr w14:paraId="13D6A32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2A47CC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2010350</w:t>
            </w:r>
          </w:p>
        </w:tc>
        <w:tc>
          <w:tcPr>
            <w:tcW w:w="3527" w:type="dxa"/>
            <w:tcBorders>
              <w:top w:val="nil"/>
              <w:left w:val="nil"/>
              <w:bottom w:val="single" w:color="auto" w:sz="4" w:space="0"/>
              <w:right w:val="single" w:color="auto" w:sz="4" w:space="0"/>
            </w:tcBorders>
            <w:vAlign w:val="center"/>
          </w:tcPr>
          <w:p w14:paraId="3EFA9CC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事业运行</w:t>
            </w:r>
          </w:p>
        </w:tc>
        <w:tc>
          <w:tcPr>
            <w:tcW w:w="3000" w:type="dxa"/>
            <w:tcBorders>
              <w:top w:val="nil"/>
              <w:left w:val="nil"/>
              <w:bottom w:val="single" w:color="auto" w:sz="4" w:space="0"/>
              <w:right w:val="single" w:color="auto" w:sz="4" w:space="0"/>
            </w:tcBorders>
            <w:vAlign w:val="center"/>
          </w:tcPr>
          <w:p w14:paraId="5D7943A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3.08</w:t>
            </w:r>
          </w:p>
        </w:tc>
        <w:tc>
          <w:tcPr>
            <w:tcW w:w="3492" w:type="dxa"/>
            <w:tcBorders>
              <w:top w:val="nil"/>
              <w:left w:val="nil"/>
              <w:bottom w:val="single" w:color="auto" w:sz="4" w:space="0"/>
              <w:right w:val="single" w:color="auto" w:sz="4" w:space="0"/>
            </w:tcBorders>
            <w:vAlign w:val="center"/>
          </w:tcPr>
          <w:p w14:paraId="6450F30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3.08</w:t>
            </w:r>
          </w:p>
        </w:tc>
        <w:tc>
          <w:tcPr>
            <w:tcW w:w="3000" w:type="dxa"/>
            <w:tcBorders>
              <w:top w:val="nil"/>
              <w:left w:val="nil"/>
              <w:bottom w:val="single" w:color="auto" w:sz="4" w:space="0"/>
              <w:right w:val="single" w:color="auto" w:sz="8" w:space="0"/>
            </w:tcBorders>
            <w:vAlign w:val="center"/>
          </w:tcPr>
          <w:p w14:paraId="0941A8B0">
            <w:pPr>
              <w:widowControl/>
              <w:jc w:val="right"/>
              <w:rPr>
                <w:rFonts w:hint="eastAsia" w:ascii="仿宋" w:hAnsi="仿宋" w:eastAsia="仿宋" w:cs="Times New Roman"/>
                <w:kern w:val="0"/>
                <w:sz w:val="20"/>
                <w:szCs w:val="20"/>
              </w:rPr>
            </w:pPr>
          </w:p>
        </w:tc>
      </w:tr>
      <w:tr w14:paraId="093F69E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B28A4B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20111</w:t>
            </w:r>
          </w:p>
        </w:tc>
        <w:tc>
          <w:tcPr>
            <w:tcW w:w="3527" w:type="dxa"/>
            <w:tcBorders>
              <w:top w:val="nil"/>
              <w:left w:val="nil"/>
              <w:bottom w:val="single" w:color="auto" w:sz="4" w:space="0"/>
              <w:right w:val="single" w:color="auto" w:sz="4" w:space="0"/>
            </w:tcBorders>
            <w:vAlign w:val="center"/>
          </w:tcPr>
          <w:p w14:paraId="6A0662E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纪检监察事务</w:t>
            </w:r>
          </w:p>
        </w:tc>
        <w:tc>
          <w:tcPr>
            <w:tcW w:w="3000" w:type="dxa"/>
            <w:tcBorders>
              <w:top w:val="nil"/>
              <w:left w:val="nil"/>
              <w:bottom w:val="single" w:color="auto" w:sz="4" w:space="0"/>
              <w:right w:val="single" w:color="auto" w:sz="4" w:space="0"/>
            </w:tcBorders>
            <w:vAlign w:val="center"/>
          </w:tcPr>
          <w:p w14:paraId="6549DA7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c>
          <w:tcPr>
            <w:tcW w:w="3492" w:type="dxa"/>
            <w:tcBorders>
              <w:top w:val="nil"/>
              <w:left w:val="nil"/>
              <w:bottom w:val="single" w:color="auto" w:sz="4" w:space="0"/>
              <w:right w:val="single" w:color="auto" w:sz="4" w:space="0"/>
            </w:tcBorders>
            <w:vAlign w:val="center"/>
          </w:tcPr>
          <w:p w14:paraId="667CD44A">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76EFCB3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r>
      <w:tr w14:paraId="150479E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38AB10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2011199</w:t>
            </w:r>
          </w:p>
        </w:tc>
        <w:tc>
          <w:tcPr>
            <w:tcW w:w="3527" w:type="dxa"/>
            <w:tcBorders>
              <w:top w:val="nil"/>
              <w:left w:val="nil"/>
              <w:bottom w:val="single" w:color="auto" w:sz="4" w:space="0"/>
              <w:right w:val="single" w:color="auto" w:sz="4" w:space="0"/>
            </w:tcBorders>
            <w:vAlign w:val="center"/>
          </w:tcPr>
          <w:p w14:paraId="14F75D1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其他纪检监察事务支出</w:t>
            </w:r>
          </w:p>
        </w:tc>
        <w:tc>
          <w:tcPr>
            <w:tcW w:w="3000" w:type="dxa"/>
            <w:tcBorders>
              <w:top w:val="nil"/>
              <w:left w:val="nil"/>
              <w:bottom w:val="single" w:color="auto" w:sz="4" w:space="0"/>
              <w:right w:val="single" w:color="auto" w:sz="4" w:space="0"/>
            </w:tcBorders>
            <w:vAlign w:val="center"/>
          </w:tcPr>
          <w:p w14:paraId="1A79693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c>
          <w:tcPr>
            <w:tcW w:w="3492" w:type="dxa"/>
            <w:tcBorders>
              <w:top w:val="nil"/>
              <w:left w:val="nil"/>
              <w:bottom w:val="single" w:color="auto" w:sz="4" w:space="0"/>
              <w:right w:val="single" w:color="auto" w:sz="4" w:space="0"/>
            </w:tcBorders>
            <w:vAlign w:val="center"/>
          </w:tcPr>
          <w:p w14:paraId="71B75B6E">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D9821C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r>
      <w:tr w14:paraId="75CCF4A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C5F952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w:t>
            </w:r>
          </w:p>
        </w:tc>
        <w:tc>
          <w:tcPr>
            <w:tcW w:w="3527" w:type="dxa"/>
            <w:tcBorders>
              <w:top w:val="nil"/>
              <w:left w:val="nil"/>
              <w:bottom w:val="single" w:color="auto" w:sz="4" w:space="0"/>
              <w:right w:val="single" w:color="auto" w:sz="4" w:space="0"/>
            </w:tcBorders>
            <w:vAlign w:val="center"/>
          </w:tcPr>
          <w:p w14:paraId="740CC77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761A791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7.39</w:t>
            </w:r>
          </w:p>
        </w:tc>
        <w:tc>
          <w:tcPr>
            <w:tcW w:w="3492" w:type="dxa"/>
            <w:tcBorders>
              <w:top w:val="nil"/>
              <w:left w:val="nil"/>
              <w:bottom w:val="single" w:color="auto" w:sz="4" w:space="0"/>
              <w:right w:val="single" w:color="auto" w:sz="4" w:space="0"/>
            </w:tcBorders>
            <w:vAlign w:val="center"/>
          </w:tcPr>
          <w:p w14:paraId="16C3CF6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7.39</w:t>
            </w:r>
          </w:p>
        </w:tc>
        <w:tc>
          <w:tcPr>
            <w:tcW w:w="3000" w:type="dxa"/>
            <w:tcBorders>
              <w:top w:val="nil"/>
              <w:left w:val="nil"/>
              <w:bottom w:val="single" w:color="auto" w:sz="4" w:space="0"/>
              <w:right w:val="single" w:color="auto" w:sz="8" w:space="0"/>
            </w:tcBorders>
            <w:vAlign w:val="center"/>
          </w:tcPr>
          <w:p w14:paraId="71DE8D26">
            <w:pPr>
              <w:widowControl/>
              <w:jc w:val="right"/>
              <w:rPr>
                <w:rFonts w:hint="eastAsia" w:ascii="仿宋" w:hAnsi="仿宋" w:eastAsia="仿宋" w:cs="Times New Roman"/>
                <w:kern w:val="0"/>
                <w:sz w:val="20"/>
                <w:szCs w:val="20"/>
              </w:rPr>
            </w:pPr>
          </w:p>
        </w:tc>
      </w:tr>
      <w:tr w14:paraId="0DF2053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444B1B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2019999</w:t>
            </w:r>
          </w:p>
        </w:tc>
        <w:tc>
          <w:tcPr>
            <w:tcW w:w="3527" w:type="dxa"/>
            <w:tcBorders>
              <w:top w:val="nil"/>
              <w:left w:val="nil"/>
              <w:bottom w:val="single" w:color="auto" w:sz="4" w:space="0"/>
              <w:right w:val="single" w:color="auto" w:sz="4" w:space="0"/>
            </w:tcBorders>
            <w:vAlign w:val="center"/>
          </w:tcPr>
          <w:p w14:paraId="42DD515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52DCAB8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7.39</w:t>
            </w:r>
          </w:p>
        </w:tc>
        <w:tc>
          <w:tcPr>
            <w:tcW w:w="3492" w:type="dxa"/>
            <w:tcBorders>
              <w:top w:val="nil"/>
              <w:left w:val="nil"/>
              <w:bottom w:val="single" w:color="auto" w:sz="4" w:space="0"/>
              <w:right w:val="single" w:color="auto" w:sz="4" w:space="0"/>
            </w:tcBorders>
            <w:vAlign w:val="center"/>
          </w:tcPr>
          <w:p w14:paraId="5F88838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7.39</w:t>
            </w:r>
          </w:p>
        </w:tc>
        <w:tc>
          <w:tcPr>
            <w:tcW w:w="3000" w:type="dxa"/>
            <w:tcBorders>
              <w:top w:val="nil"/>
              <w:left w:val="nil"/>
              <w:bottom w:val="single" w:color="auto" w:sz="4" w:space="0"/>
              <w:right w:val="single" w:color="auto" w:sz="8" w:space="0"/>
            </w:tcBorders>
            <w:vAlign w:val="center"/>
          </w:tcPr>
          <w:p w14:paraId="5D4563F1">
            <w:pPr>
              <w:widowControl/>
              <w:jc w:val="right"/>
              <w:rPr>
                <w:rFonts w:hint="eastAsia" w:ascii="仿宋" w:hAnsi="仿宋" w:eastAsia="仿宋" w:cs="Times New Roman"/>
                <w:kern w:val="0"/>
                <w:sz w:val="20"/>
                <w:szCs w:val="20"/>
              </w:rPr>
            </w:pPr>
          </w:p>
        </w:tc>
      </w:tr>
      <w:tr w14:paraId="6353895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477655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w:t>
            </w:r>
          </w:p>
        </w:tc>
        <w:tc>
          <w:tcPr>
            <w:tcW w:w="3527" w:type="dxa"/>
            <w:tcBorders>
              <w:top w:val="nil"/>
              <w:left w:val="nil"/>
              <w:bottom w:val="single" w:color="auto" w:sz="4" w:space="0"/>
              <w:right w:val="single" w:color="auto" w:sz="4" w:space="0"/>
            </w:tcBorders>
            <w:vAlign w:val="center"/>
          </w:tcPr>
          <w:p w14:paraId="4294515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科学技术支出</w:t>
            </w:r>
          </w:p>
        </w:tc>
        <w:tc>
          <w:tcPr>
            <w:tcW w:w="3000" w:type="dxa"/>
            <w:tcBorders>
              <w:top w:val="nil"/>
              <w:left w:val="nil"/>
              <w:bottom w:val="single" w:color="auto" w:sz="4" w:space="0"/>
              <w:right w:val="single" w:color="auto" w:sz="4" w:space="0"/>
            </w:tcBorders>
            <w:vAlign w:val="center"/>
          </w:tcPr>
          <w:p w14:paraId="7875E68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246.89</w:t>
            </w:r>
          </w:p>
        </w:tc>
        <w:tc>
          <w:tcPr>
            <w:tcW w:w="3492" w:type="dxa"/>
            <w:tcBorders>
              <w:top w:val="nil"/>
              <w:left w:val="nil"/>
              <w:bottom w:val="single" w:color="auto" w:sz="4" w:space="0"/>
              <w:right w:val="single" w:color="auto" w:sz="4" w:space="0"/>
            </w:tcBorders>
            <w:vAlign w:val="center"/>
          </w:tcPr>
          <w:p w14:paraId="3E0DE88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5.47</w:t>
            </w:r>
          </w:p>
        </w:tc>
        <w:tc>
          <w:tcPr>
            <w:tcW w:w="3000" w:type="dxa"/>
            <w:tcBorders>
              <w:top w:val="nil"/>
              <w:left w:val="nil"/>
              <w:bottom w:val="single" w:color="auto" w:sz="4" w:space="0"/>
              <w:right w:val="single" w:color="auto" w:sz="8" w:space="0"/>
            </w:tcBorders>
            <w:vAlign w:val="center"/>
          </w:tcPr>
          <w:p w14:paraId="2B002F6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241.42</w:t>
            </w:r>
          </w:p>
        </w:tc>
      </w:tr>
      <w:tr w14:paraId="349169D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C600D0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20601</w:t>
            </w:r>
          </w:p>
        </w:tc>
        <w:tc>
          <w:tcPr>
            <w:tcW w:w="3527" w:type="dxa"/>
            <w:tcBorders>
              <w:top w:val="nil"/>
              <w:left w:val="nil"/>
              <w:bottom w:val="single" w:color="auto" w:sz="4" w:space="0"/>
              <w:right w:val="single" w:color="auto" w:sz="4" w:space="0"/>
            </w:tcBorders>
            <w:vAlign w:val="center"/>
          </w:tcPr>
          <w:p w14:paraId="63219F3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科学技术管理事务</w:t>
            </w:r>
          </w:p>
        </w:tc>
        <w:tc>
          <w:tcPr>
            <w:tcW w:w="3000" w:type="dxa"/>
            <w:tcBorders>
              <w:top w:val="nil"/>
              <w:left w:val="nil"/>
              <w:bottom w:val="single" w:color="auto" w:sz="4" w:space="0"/>
              <w:right w:val="single" w:color="auto" w:sz="4" w:space="0"/>
            </w:tcBorders>
            <w:vAlign w:val="center"/>
          </w:tcPr>
          <w:p w14:paraId="5C6215A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211.42</w:t>
            </w:r>
          </w:p>
        </w:tc>
        <w:tc>
          <w:tcPr>
            <w:tcW w:w="3492" w:type="dxa"/>
            <w:tcBorders>
              <w:top w:val="nil"/>
              <w:left w:val="nil"/>
              <w:bottom w:val="single" w:color="auto" w:sz="4" w:space="0"/>
              <w:right w:val="single" w:color="auto" w:sz="4" w:space="0"/>
            </w:tcBorders>
            <w:vAlign w:val="center"/>
          </w:tcPr>
          <w:p w14:paraId="75F602F9">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E2B817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211.42</w:t>
            </w:r>
          </w:p>
        </w:tc>
      </w:tr>
      <w:tr w14:paraId="4FC21AE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46F07C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2060199</w:t>
            </w:r>
          </w:p>
        </w:tc>
        <w:tc>
          <w:tcPr>
            <w:tcW w:w="3527" w:type="dxa"/>
            <w:tcBorders>
              <w:top w:val="nil"/>
              <w:left w:val="nil"/>
              <w:bottom w:val="single" w:color="auto" w:sz="4" w:space="0"/>
              <w:right w:val="single" w:color="auto" w:sz="4" w:space="0"/>
            </w:tcBorders>
            <w:vAlign w:val="center"/>
          </w:tcPr>
          <w:p w14:paraId="30F1070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其他科学技术管理事务支出</w:t>
            </w:r>
          </w:p>
        </w:tc>
        <w:tc>
          <w:tcPr>
            <w:tcW w:w="3000" w:type="dxa"/>
            <w:tcBorders>
              <w:top w:val="nil"/>
              <w:left w:val="nil"/>
              <w:bottom w:val="single" w:color="auto" w:sz="4" w:space="0"/>
              <w:right w:val="single" w:color="auto" w:sz="4" w:space="0"/>
            </w:tcBorders>
            <w:vAlign w:val="center"/>
          </w:tcPr>
          <w:p w14:paraId="4192763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211.42</w:t>
            </w:r>
          </w:p>
        </w:tc>
        <w:tc>
          <w:tcPr>
            <w:tcW w:w="3492" w:type="dxa"/>
            <w:tcBorders>
              <w:top w:val="nil"/>
              <w:left w:val="nil"/>
              <w:bottom w:val="single" w:color="auto" w:sz="4" w:space="0"/>
              <w:right w:val="single" w:color="auto" w:sz="4" w:space="0"/>
            </w:tcBorders>
            <w:vAlign w:val="center"/>
          </w:tcPr>
          <w:p w14:paraId="10042113">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822689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211.42</w:t>
            </w:r>
          </w:p>
        </w:tc>
      </w:tr>
      <w:tr w14:paraId="269C3A0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E62763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w:t>
            </w:r>
          </w:p>
        </w:tc>
        <w:tc>
          <w:tcPr>
            <w:tcW w:w="3527" w:type="dxa"/>
            <w:tcBorders>
              <w:top w:val="nil"/>
              <w:left w:val="nil"/>
              <w:bottom w:val="nil"/>
              <w:right w:val="single" w:color="auto" w:sz="4" w:space="0"/>
            </w:tcBorders>
            <w:vAlign w:val="center"/>
          </w:tcPr>
          <w:p w14:paraId="29E1D15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nil"/>
              <w:right w:val="single" w:color="auto" w:sz="4" w:space="0"/>
            </w:tcBorders>
            <w:vAlign w:val="center"/>
          </w:tcPr>
          <w:p w14:paraId="5A5D685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35.47</w:t>
            </w:r>
          </w:p>
        </w:tc>
        <w:tc>
          <w:tcPr>
            <w:tcW w:w="3492" w:type="dxa"/>
            <w:tcBorders>
              <w:top w:val="nil"/>
              <w:left w:val="nil"/>
              <w:bottom w:val="nil"/>
              <w:right w:val="single" w:color="auto" w:sz="4" w:space="0"/>
            </w:tcBorders>
            <w:vAlign w:val="center"/>
          </w:tcPr>
          <w:p w14:paraId="409B226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5.47</w:t>
            </w:r>
          </w:p>
        </w:tc>
        <w:tc>
          <w:tcPr>
            <w:tcW w:w="3000" w:type="dxa"/>
            <w:tcBorders>
              <w:top w:val="nil"/>
              <w:left w:val="nil"/>
              <w:bottom w:val="nil"/>
              <w:right w:val="single" w:color="auto" w:sz="8" w:space="0"/>
            </w:tcBorders>
            <w:vAlign w:val="center"/>
          </w:tcPr>
          <w:p w14:paraId="0560113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w:t>
            </w:r>
          </w:p>
        </w:tc>
      </w:tr>
      <w:tr w14:paraId="35CF11D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68A7EC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2069999</w:t>
            </w:r>
          </w:p>
        </w:tc>
        <w:tc>
          <w:tcPr>
            <w:tcW w:w="3527" w:type="dxa"/>
            <w:tcBorders>
              <w:top w:val="nil"/>
              <w:left w:val="nil"/>
              <w:bottom w:val="single" w:color="auto" w:sz="8" w:space="0"/>
              <w:right w:val="single" w:color="auto" w:sz="4" w:space="0"/>
            </w:tcBorders>
            <w:vAlign w:val="center"/>
          </w:tcPr>
          <w:p w14:paraId="7205992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其他科学技术支出</w:t>
            </w:r>
          </w:p>
        </w:tc>
        <w:tc>
          <w:tcPr>
            <w:tcW w:w="3000" w:type="dxa"/>
            <w:tcBorders>
              <w:top w:val="nil"/>
              <w:left w:val="nil"/>
              <w:bottom w:val="single" w:color="auto" w:sz="8" w:space="0"/>
              <w:right w:val="single" w:color="auto" w:sz="4" w:space="0"/>
            </w:tcBorders>
            <w:vAlign w:val="center"/>
          </w:tcPr>
          <w:p w14:paraId="1C4C542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35.47</w:t>
            </w:r>
          </w:p>
        </w:tc>
        <w:tc>
          <w:tcPr>
            <w:tcW w:w="3492" w:type="dxa"/>
            <w:tcBorders>
              <w:top w:val="nil"/>
              <w:left w:val="nil"/>
              <w:bottom w:val="single" w:color="auto" w:sz="8" w:space="0"/>
              <w:right w:val="single" w:color="auto" w:sz="4" w:space="0"/>
            </w:tcBorders>
            <w:vAlign w:val="center"/>
          </w:tcPr>
          <w:p w14:paraId="38C2383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5.47</w:t>
            </w:r>
          </w:p>
        </w:tc>
        <w:tc>
          <w:tcPr>
            <w:tcW w:w="3000" w:type="dxa"/>
            <w:tcBorders>
              <w:top w:val="nil"/>
              <w:left w:val="nil"/>
              <w:bottom w:val="single" w:color="auto" w:sz="8" w:space="0"/>
              <w:right w:val="single" w:color="auto" w:sz="8" w:space="0"/>
            </w:tcBorders>
            <w:vAlign w:val="center"/>
          </w:tcPr>
          <w:p w14:paraId="696D126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w:t>
            </w:r>
          </w:p>
        </w:tc>
      </w:tr>
      <w:tr w14:paraId="0EFDE8B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599A49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8" w:space="0"/>
              <w:right w:val="single" w:color="auto" w:sz="4" w:space="0"/>
            </w:tcBorders>
            <w:vAlign w:val="center"/>
          </w:tcPr>
          <w:p w14:paraId="7C0D06D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8" w:space="0"/>
              <w:right w:val="single" w:color="auto" w:sz="4" w:space="0"/>
            </w:tcBorders>
            <w:vAlign w:val="center"/>
          </w:tcPr>
          <w:p w14:paraId="6F74D70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22.3</w:t>
            </w:r>
          </w:p>
        </w:tc>
        <w:tc>
          <w:tcPr>
            <w:tcW w:w="3492" w:type="dxa"/>
            <w:tcBorders>
              <w:top w:val="nil"/>
              <w:left w:val="nil"/>
              <w:bottom w:val="single" w:color="auto" w:sz="8" w:space="0"/>
              <w:right w:val="single" w:color="auto" w:sz="4" w:space="0"/>
            </w:tcBorders>
            <w:vAlign w:val="center"/>
          </w:tcPr>
          <w:p w14:paraId="737769E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22.3</w:t>
            </w:r>
          </w:p>
        </w:tc>
        <w:tc>
          <w:tcPr>
            <w:tcW w:w="3000" w:type="dxa"/>
            <w:tcBorders>
              <w:top w:val="nil"/>
              <w:left w:val="nil"/>
              <w:bottom w:val="single" w:color="auto" w:sz="8" w:space="0"/>
              <w:right w:val="single" w:color="auto" w:sz="8" w:space="0"/>
            </w:tcBorders>
            <w:vAlign w:val="center"/>
          </w:tcPr>
          <w:p w14:paraId="14837487">
            <w:pPr>
              <w:widowControl/>
              <w:jc w:val="right"/>
              <w:rPr>
                <w:rFonts w:hint="eastAsia" w:ascii="仿宋" w:hAnsi="仿宋" w:eastAsia="仿宋" w:cs="Times New Roman"/>
                <w:kern w:val="0"/>
                <w:sz w:val="20"/>
                <w:szCs w:val="20"/>
              </w:rPr>
            </w:pPr>
          </w:p>
        </w:tc>
      </w:tr>
      <w:tr w14:paraId="4369595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5D4627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8" w:space="0"/>
              <w:right w:val="single" w:color="auto" w:sz="4" w:space="0"/>
            </w:tcBorders>
            <w:vAlign w:val="center"/>
          </w:tcPr>
          <w:p w14:paraId="5EA1CFD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8" w:space="0"/>
              <w:right w:val="single" w:color="auto" w:sz="4" w:space="0"/>
            </w:tcBorders>
            <w:vAlign w:val="center"/>
          </w:tcPr>
          <w:p w14:paraId="6A374C4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22.3</w:t>
            </w:r>
          </w:p>
        </w:tc>
        <w:tc>
          <w:tcPr>
            <w:tcW w:w="3492" w:type="dxa"/>
            <w:tcBorders>
              <w:top w:val="nil"/>
              <w:left w:val="nil"/>
              <w:bottom w:val="single" w:color="auto" w:sz="8" w:space="0"/>
              <w:right w:val="single" w:color="auto" w:sz="4" w:space="0"/>
            </w:tcBorders>
            <w:vAlign w:val="center"/>
          </w:tcPr>
          <w:p w14:paraId="774C34C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22.3</w:t>
            </w:r>
          </w:p>
        </w:tc>
        <w:tc>
          <w:tcPr>
            <w:tcW w:w="3000" w:type="dxa"/>
            <w:tcBorders>
              <w:top w:val="nil"/>
              <w:left w:val="nil"/>
              <w:bottom w:val="single" w:color="auto" w:sz="8" w:space="0"/>
              <w:right w:val="single" w:color="auto" w:sz="8" w:space="0"/>
            </w:tcBorders>
            <w:vAlign w:val="center"/>
          </w:tcPr>
          <w:p w14:paraId="32EFC58F">
            <w:pPr>
              <w:widowControl/>
              <w:jc w:val="right"/>
              <w:rPr>
                <w:rFonts w:hint="eastAsia" w:ascii="仿宋" w:hAnsi="仿宋" w:eastAsia="仿宋" w:cs="Times New Roman"/>
                <w:kern w:val="0"/>
                <w:sz w:val="20"/>
                <w:szCs w:val="20"/>
              </w:rPr>
            </w:pPr>
          </w:p>
        </w:tc>
      </w:tr>
      <w:tr w14:paraId="63BE391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AB134D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8" w:space="0"/>
              <w:right w:val="single" w:color="auto" w:sz="4" w:space="0"/>
            </w:tcBorders>
            <w:vAlign w:val="center"/>
          </w:tcPr>
          <w:p w14:paraId="17DC98C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8" w:space="0"/>
              <w:right w:val="single" w:color="auto" w:sz="4" w:space="0"/>
            </w:tcBorders>
            <w:vAlign w:val="center"/>
          </w:tcPr>
          <w:p w14:paraId="67AD189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0.24</w:t>
            </w:r>
          </w:p>
        </w:tc>
        <w:tc>
          <w:tcPr>
            <w:tcW w:w="3492" w:type="dxa"/>
            <w:tcBorders>
              <w:top w:val="nil"/>
              <w:left w:val="nil"/>
              <w:bottom w:val="single" w:color="auto" w:sz="8" w:space="0"/>
              <w:right w:val="single" w:color="auto" w:sz="4" w:space="0"/>
            </w:tcBorders>
            <w:vAlign w:val="center"/>
          </w:tcPr>
          <w:p w14:paraId="658635B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0.24</w:t>
            </w:r>
          </w:p>
        </w:tc>
        <w:tc>
          <w:tcPr>
            <w:tcW w:w="3000" w:type="dxa"/>
            <w:tcBorders>
              <w:top w:val="nil"/>
              <w:left w:val="nil"/>
              <w:bottom w:val="single" w:color="auto" w:sz="8" w:space="0"/>
              <w:right w:val="single" w:color="auto" w:sz="8" w:space="0"/>
            </w:tcBorders>
            <w:vAlign w:val="center"/>
          </w:tcPr>
          <w:p w14:paraId="5BE03EBE">
            <w:pPr>
              <w:widowControl/>
              <w:jc w:val="right"/>
              <w:rPr>
                <w:rFonts w:hint="eastAsia" w:ascii="仿宋" w:hAnsi="仿宋" w:eastAsia="仿宋" w:cs="Times New Roman"/>
                <w:kern w:val="0"/>
                <w:sz w:val="20"/>
                <w:szCs w:val="20"/>
              </w:rPr>
            </w:pPr>
          </w:p>
        </w:tc>
      </w:tr>
      <w:tr w14:paraId="56885FA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B3736E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8" w:space="0"/>
              <w:right w:val="single" w:color="auto" w:sz="4" w:space="0"/>
            </w:tcBorders>
            <w:vAlign w:val="center"/>
          </w:tcPr>
          <w:p w14:paraId="3641A92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8" w:space="0"/>
              <w:right w:val="single" w:color="auto" w:sz="4" w:space="0"/>
            </w:tcBorders>
            <w:vAlign w:val="center"/>
          </w:tcPr>
          <w:p w14:paraId="0BC4102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22.06</w:t>
            </w:r>
          </w:p>
        </w:tc>
        <w:tc>
          <w:tcPr>
            <w:tcW w:w="3492" w:type="dxa"/>
            <w:tcBorders>
              <w:top w:val="nil"/>
              <w:left w:val="nil"/>
              <w:bottom w:val="single" w:color="auto" w:sz="8" w:space="0"/>
              <w:right w:val="single" w:color="auto" w:sz="4" w:space="0"/>
            </w:tcBorders>
            <w:vAlign w:val="center"/>
          </w:tcPr>
          <w:p w14:paraId="2397E1D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22.06</w:t>
            </w:r>
          </w:p>
        </w:tc>
        <w:tc>
          <w:tcPr>
            <w:tcW w:w="3000" w:type="dxa"/>
            <w:tcBorders>
              <w:top w:val="nil"/>
              <w:left w:val="nil"/>
              <w:bottom w:val="single" w:color="auto" w:sz="8" w:space="0"/>
              <w:right w:val="single" w:color="auto" w:sz="8" w:space="0"/>
            </w:tcBorders>
            <w:vAlign w:val="center"/>
          </w:tcPr>
          <w:p w14:paraId="59A04386">
            <w:pPr>
              <w:widowControl/>
              <w:jc w:val="right"/>
              <w:rPr>
                <w:rFonts w:hint="eastAsia" w:ascii="仿宋" w:hAnsi="仿宋" w:eastAsia="仿宋" w:cs="Times New Roman"/>
                <w:kern w:val="0"/>
                <w:sz w:val="20"/>
                <w:szCs w:val="20"/>
              </w:rPr>
            </w:pPr>
          </w:p>
        </w:tc>
      </w:tr>
      <w:tr w14:paraId="57A05CC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63E5BF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457A3FE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7A505AD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19.98</w:t>
            </w:r>
          </w:p>
        </w:tc>
        <w:tc>
          <w:tcPr>
            <w:tcW w:w="3492" w:type="dxa"/>
            <w:tcBorders>
              <w:top w:val="nil"/>
              <w:left w:val="nil"/>
              <w:bottom w:val="single" w:color="auto" w:sz="8" w:space="0"/>
              <w:right w:val="single" w:color="auto" w:sz="4" w:space="0"/>
            </w:tcBorders>
            <w:vAlign w:val="center"/>
          </w:tcPr>
          <w:p w14:paraId="6220FA4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19.98</w:t>
            </w:r>
          </w:p>
        </w:tc>
        <w:tc>
          <w:tcPr>
            <w:tcW w:w="3000" w:type="dxa"/>
            <w:tcBorders>
              <w:top w:val="nil"/>
              <w:left w:val="nil"/>
              <w:bottom w:val="single" w:color="auto" w:sz="8" w:space="0"/>
              <w:right w:val="single" w:color="auto" w:sz="8" w:space="0"/>
            </w:tcBorders>
            <w:vAlign w:val="center"/>
          </w:tcPr>
          <w:p w14:paraId="33044905">
            <w:pPr>
              <w:widowControl/>
              <w:jc w:val="right"/>
              <w:rPr>
                <w:rFonts w:hint="eastAsia" w:ascii="仿宋" w:hAnsi="仿宋" w:eastAsia="仿宋" w:cs="Times New Roman"/>
                <w:kern w:val="0"/>
                <w:sz w:val="20"/>
                <w:szCs w:val="20"/>
              </w:rPr>
            </w:pPr>
          </w:p>
        </w:tc>
      </w:tr>
      <w:tr w14:paraId="048C155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2DF876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0C6BDA6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60936D1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19.98</w:t>
            </w:r>
          </w:p>
        </w:tc>
        <w:tc>
          <w:tcPr>
            <w:tcW w:w="3492" w:type="dxa"/>
            <w:tcBorders>
              <w:top w:val="nil"/>
              <w:left w:val="nil"/>
              <w:bottom w:val="single" w:color="auto" w:sz="8" w:space="0"/>
              <w:right w:val="single" w:color="auto" w:sz="4" w:space="0"/>
            </w:tcBorders>
            <w:vAlign w:val="center"/>
          </w:tcPr>
          <w:p w14:paraId="1AA3AF5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19.98</w:t>
            </w:r>
          </w:p>
        </w:tc>
        <w:tc>
          <w:tcPr>
            <w:tcW w:w="3000" w:type="dxa"/>
            <w:tcBorders>
              <w:top w:val="nil"/>
              <w:left w:val="nil"/>
              <w:bottom w:val="single" w:color="auto" w:sz="8" w:space="0"/>
              <w:right w:val="single" w:color="auto" w:sz="8" w:space="0"/>
            </w:tcBorders>
            <w:vAlign w:val="center"/>
          </w:tcPr>
          <w:p w14:paraId="13FDBB53">
            <w:pPr>
              <w:widowControl/>
              <w:jc w:val="right"/>
              <w:rPr>
                <w:rFonts w:hint="eastAsia" w:ascii="仿宋" w:hAnsi="仿宋" w:eastAsia="仿宋" w:cs="Times New Roman"/>
                <w:kern w:val="0"/>
                <w:sz w:val="20"/>
                <w:szCs w:val="20"/>
              </w:rPr>
            </w:pPr>
          </w:p>
        </w:tc>
      </w:tr>
      <w:tr w14:paraId="0FE78FF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2AB698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03BE00E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77D9785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19.98</w:t>
            </w:r>
          </w:p>
        </w:tc>
        <w:tc>
          <w:tcPr>
            <w:tcW w:w="3492" w:type="dxa"/>
            <w:tcBorders>
              <w:top w:val="nil"/>
              <w:left w:val="nil"/>
              <w:bottom w:val="single" w:color="auto" w:sz="8" w:space="0"/>
              <w:right w:val="single" w:color="auto" w:sz="4" w:space="0"/>
            </w:tcBorders>
            <w:vAlign w:val="center"/>
          </w:tcPr>
          <w:p w14:paraId="787A9EA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19.98</w:t>
            </w:r>
          </w:p>
        </w:tc>
        <w:tc>
          <w:tcPr>
            <w:tcW w:w="3000" w:type="dxa"/>
            <w:tcBorders>
              <w:top w:val="nil"/>
              <w:left w:val="nil"/>
              <w:bottom w:val="single" w:color="auto" w:sz="8" w:space="0"/>
              <w:right w:val="single" w:color="auto" w:sz="8" w:space="0"/>
            </w:tcBorders>
            <w:vAlign w:val="center"/>
          </w:tcPr>
          <w:p w14:paraId="663E823A">
            <w:pPr>
              <w:widowControl/>
              <w:jc w:val="right"/>
              <w:rPr>
                <w:rFonts w:hint="eastAsia" w:ascii="仿宋" w:hAnsi="仿宋" w:eastAsia="仿宋" w:cs="Times New Roman"/>
                <w:kern w:val="0"/>
                <w:sz w:val="20"/>
                <w:szCs w:val="20"/>
              </w:rPr>
            </w:pPr>
          </w:p>
        </w:tc>
      </w:tr>
    </w:tbl>
    <w:p w14:paraId="2FA3277B">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2656B917">
      <w:pPr>
        <w:widowControl/>
        <w:jc w:val="left"/>
        <w:rPr>
          <w:rFonts w:hint="eastAsia" w:ascii="仿宋" w:hAnsi="仿宋" w:eastAsia="仿宋" w:cs="Times New Roman"/>
          <w:bCs/>
          <w:kern w:val="0"/>
          <w:szCs w:val="21"/>
        </w:rPr>
      </w:pPr>
    </w:p>
    <w:p w14:paraId="39D740AD">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1919CEF7">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4A850A72">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3C657613">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株洲市渌口区行政审批服务局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24ED4E2E">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35C715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98D65A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F5ABA7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76841B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42C124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6D9232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13893A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670A52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A51A06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5BF9C376">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377EA9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4599A6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66F7DB1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321.41</w:t>
            </w:r>
          </w:p>
        </w:tc>
        <w:tc>
          <w:tcPr>
            <w:tcW w:w="1116" w:type="dxa"/>
            <w:tcBorders>
              <w:top w:val="nil"/>
              <w:left w:val="nil"/>
              <w:bottom w:val="single" w:color="auto" w:sz="4" w:space="0"/>
              <w:right w:val="single" w:color="auto" w:sz="4" w:space="0"/>
            </w:tcBorders>
            <w:noWrap/>
            <w:vAlign w:val="center"/>
          </w:tcPr>
          <w:p w14:paraId="1D9E15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15D742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79180A3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375.84</w:t>
            </w:r>
          </w:p>
        </w:tc>
        <w:tc>
          <w:tcPr>
            <w:tcW w:w="1217" w:type="dxa"/>
            <w:tcBorders>
              <w:top w:val="nil"/>
              <w:left w:val="nil"/>
              <w:bottom w:val="single" w:color="auto" w:sz="4" w:space="0"/>
              <w:right w:val="single" w:color="auto" w:sz="4" w:space="0"/>
            </w:tcBorders>
            <w:noWrap/>
            <w:vAlign w:val="center"/>
          </w:tcPr>
          <w:p w14:paraId="019FE5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555C78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0995A92B">
            <w:pPr>
              <w:widowControl/>
              <w:jc w:val="left"/>
              <w:rPr>
                <w:rFonts w:hint="eastAsia" w:ascii="仿宋" w:hAnsi="仿宋" w:eastAsia="仿宋" w:cs="Times New Roman"/>
                <w:color w:val="000000"/>
                <w:kern w:val="0"/>
                <w:sz w:val="20"/>
                <w:szCs w:val="20"/>
              </w:rPr>
            </w:pPr>
          </w:p>
        </w:tc>
      </w:tr>
      <w:tr w14:paraId="109EF096">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6441B2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55AA70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1EF4CB5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70.89</w:t>
            </w:r>
          </w:p>
        </w:tc>
        <w:tc>
          <w:tcPr>
            <w:tcW w:w="1116" w:type="dxa"/>
            <w:tcBorders>
              <w:top w:val="nil"/>
              <w:left w:val="nil"/>
              <w:bottom w:val="single" w:color="auto" w:sz="4" w:space="0"/>
              <w:right w:val="single" w:color="auto" w:sz="4" w:space="0"/>
            </w:tcBorders>
            <w:noWrap/>
            <w:vAlign w:val="center"/>
          </w:tcPr>
          <w:p w14:paraId="37756C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25142B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71966D7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13.28</w:t>
            </w:r>
          </w:p>
        </w:tc>
        <w:tc>
          <w:tcPr>
            <w:tcW w:w="1217" w:type="dxa"/>
            <w:tcBorders>
              <w:top w:val="nil"/>
              <w:left w:val="nil"/>
              <w:bottom w:val="single" w:color="auto" w:sz="4" w:space="0"/>
              <w:right w:val="single" w:color="auto" w:sz="4" w:space="0"/>
            </w:tcBorders>
            <w:noWrap/>
            <w:vAlign w:val="center"/>
          </w:tcPr>
          <w:p w14:paraId="794F07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05DBE9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03B5F0FA">
            <w:pPr>
              <w:widowControl/>
              <w:jc w:val="left"/>
              <w:rPr>
                <w:rFonts w:hint="eastAsia" w:ascii="仿宋" w:hAnsi="仿宋" w:eastAsia="仿宋" w:cs="Times New Roman"/>
                <w:color w:val="000000"/>
                <w:kern w:val="0"/>
                <w:sz w:val="20"/>
                <w:szCs w:val="20"/>
              </w:rPr>
            </w:pPr>
          </w:p>
        </w:tc>
      </w:tr>
      <w:tr w14:paraId="3F900814">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C208D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0B5742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6B7CFF0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26.59</w:t>
            </w:r>
          </w:p>
        </w:tc>
        <w:tc>
          <w:tcPr>
            <w:tcW w:w="1116" w:type="dxa"/>
            <w:tcBorders>
              <w:top w:val="nil"/>
              <w:left w:val="nil"/>
              <w:bottom w:val="single" w:color="auto" w:sz="4" w:space="0"/>
              <w:right w:val="single" w:color="auto" w:sz="4" w:space="0"/>
            </w:tcBorders>
            <w:noWrap/>
            <w:vAlign w:val="center"/>
          </w:tcPr>
          <w:p w14:paraId="554DE9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7CBDD0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4D1EAF6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7.73</w:t>
            </w:r>
          </w:p>
        </w:tc>
        <w:tc>
          <w:tcPr>
            <w:tcW w:w="1217" w:type="dxa"/>
            <w:tcBorders>
              <w:top w:val="nil"/>
              <w:left w:val="nil"/>
              <w:bottom w:val="single" w:color="auto" w:sz="4" w:space="0"/>
              <w:right w:val="single" w:color="auto" w:sz="4" w:space="0"/>
            </w:tcBorders>
            <w:noWrap/>
            <w:vAlign w:val="center"/>
          </w:tcPr>
          <w:p w14:paraId="19271A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540ECF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28158A1A">
            <w:pPr>
              <w:widowControl/>
              <w:jc w:val="left"/>
              <w:rPr>
                <w:rFonts w:hint="eastAsia" w:ascii="仿宋" w:hAnsi="仿宋" w:eastAsia="仿宋" w:cs="Times New Roman"/>
                <w:color w:val="000000"/>
                <w:kern w:val="0"/>
                <w:sz w:val="20"/>
                <w:szCs w:val="20"/>
              </w:rPr>
            </w:pPr>
          </w:p>
        </w:tc>
      </w:tr>
      <w:tr w14:paraId="6A95C4B8">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5E083E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26BF87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1C77678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46.09</w:t>
            </w:r>
          </w:p>
        </w:tc>
        <w:tc>
          <w:tcPr>
            <w:tcW w:w="1116" w:type="dxa"/>
            <w:tcBorders>
              <w:top w:val="nil"/>
              <w:left w:val="nil"/>
              <w:bottom w:val="single" w:color="auto" w:sz="4" w:space="0"/>
              <w:right w:val="single" w:color="auto" w:sz="4" w:space="0"/>
            </w:tcBorders>
            <w:noWrap/>
            <w:vAlign w:val="center"/>
          </w:tcPr>
          <w:p w14:paraId="1BAF34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4A2215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2F732E9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89213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0F6B7D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25A6107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9.9</w:t>
            </w:r>
          </w:p>
        </w:tc>
      </w:tr>
      <w:tr w14:paraId="462CAD5C">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3C6F1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7C13AA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7583BB3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F2C34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0F65F0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186C043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7AB03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12BB34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42A8DDE7">
            <w:pPr>
              <w:widowControl/>
              <w:jc w:val="left"/>
              <w:rPr>
                <w:rFonts w:hint="eastAsia" w:ascii="仿宋" w:hAnsi="仿宋" w:eastAsia="仿宋" w:cs="Times New Roman"/>
                <w:color w:val="000000"/>
                <w:kern w:val="0"/>
                <w:sz w:val="20"/>
                <w:szCs w:val="20"/>
              </w:rPr>
            </w:pPr>
          </w:p>
        </w:tc>
      </w:tr>
      <w:tr w14:paraId="37DCB6C2">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032DB4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60775D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17A962A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19.88</w:t>
            </w:r>
          </w:p>
        </w:tc>
        <w:tc>
          <w:tcPr>
            <w:tcW w:w="1116" w:type="dxa"/>
            <w:tcBorders>
              <w:top w:val="nil"/>
              <w:left w:val="nil"/>
              <w:bottom w:val="single" w:color="auto" w:sz="4" w:space="0"/>
              <w:right w:val="single" w:color="auto" w:sz="4" w:space="0"/>
            </w:tcBorders>
            <w:noWrap/>
            <w:vAlign w:val="center"/>
          </w:tcPr>
          <w:p w14:paraId="624CB1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4056B4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6029A7E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w:t>
            </w:r>
          </w:p>
        </w:tc>
        <w:tc>
          <w:tcPr>
            <w:tcW w:w="1217" w:type="dxa"/>
            <w:tcBorders>
              <w:top w:val="nil"/>
              <w:left w:val="nil"/>
              <w:bottom w:val="single" w:color="auto" w:sz="4" w:space="0"/>
              <w:right w:val="single" w:color="auto" w:sz="4" w:space="0"/>
            </w:tcBorders>
            <w:noWrap/>
            <w:vAlign w:val="center"/>
          </w:tcPr>
          <w:p w14:paraId="06C634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790C5F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2B748DDB">
            <w:pPr>
              <w:widowControl/>
              <w:jc w:val="left"/>
              <w:rPr>
                <w:rFonts w:hint="eastAsia" w:ascii="仿宋" w:hAnsi="仿宋" w:eastAsia="仿宋" w:cs="Times New Roman"/>
                <w:color w:val="000000"/>
                <w:kern w:val="0"/>
                <w:sz w:val="20"/>
                <w:szCs w:val="20"/>
              </w:rPr>
            </w:pPr>
          </w:p>
        </w:tc>
      </w:tr>
      <w:tr w14:paraId="133CD51D">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3F4D2D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520C97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5EC49BC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23.74</w:t>
            </w:r>
          </w:p>
        </w:tc>
        <w:tc>
          <w:tcPr>
            <w:tcW w:w="1116" w:type="dxa"/>
            <w:tcBorders>
              <w:top w:val="nil"/>
              <w:left w:val="nil"/>
              <w:bottom w:val="single" w:color="auto" w:sz="4" w:space="0"/>
              <w:right w:val="single" w:color="auto" w:sz="4" w:space="0"/>
            </w:tcBorders>
            <w:noWrap/>
            <w:vAlign w:val="center"/>
          </w:tcPr>
          <w:p w14:paraId="740489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1CB404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346AE4F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w:t>
            </w:r>
          </w:p>
        </w:tc>
        <w:tc>
          <w:tcPr>
            <w:tcW w:w="1217" w:type="dxa"/>
            <w:tcBorders>
              <w:top w:val="nil"/>
              <w:left w:val="nil"/>
              <w:bottom w:val="single" w:color="auto" w:sz="4" w:space="0"/>
              <w:right w:val="single" w:color="auto" w:sz="4" w:space="0"/>
            </w:tcBorders>
            <w:noWrap/>
            <w:vAlign w:val="center"/>
          </w:tcPr>
          <w:p w14:paraId="7C8535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1F6A21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0B9B9256">
            <w:pPr>
              <w:widowControl/>
              <w:jc w:val="left"/>
              <w:rPr>
                <w:rFonts w:hint="eastAsia" w:ascii="仿宋" w:hAnsi="仿宋" w:eastAsia="仿宋" w:cs="Times New Roman"/>
                <w:color w:val="000000"/>
                <w:kern w:val="0"/>
                <w:sz w:val="20"/>
                <w:szCs w:val="20"/>
              </w:rPr>
            </w:pPr>
          </w:p>
        </w:tc>
      </w:tr>
      <w:tr w14:paraId="3C049FEB">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3B5561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7ADC2C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473E4DC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9BE91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486996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44BF412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3.3</w:t>
            </w:r>
          </w:p>
        </w:tc>
        <w:tc>
          <w:tcPr>
            <w:tcW w:w="1217" w:type="dxa"/>
            <w:tcBorders>
              <w:top w:val="nil"/>
              <w:left w:val="nil"/>
              <w:bottom w:val="single" w:color="auto" w:sz="4" w:space="0"/>
              <w:right w:val="single" w:color="auto" w:sz="4" w:space="0"/>
            </w:tcBorders>
            <w:noWrap/>
            <w:vAlign w:val="center"/>
          </w:tcPr>
          <w:p w14:paraId="448F52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1C9909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6E7D1BCE">
            <w:pPr>
              <w:widowControl/>
              <w:jc w:val="left"/>
              <w:rPr>
                <w:rFonts w:hint="eastAsia" w:ascii="仿宋" w:hAnsi="仿宋" w:eastAsia="仿宋" w:cs="Times New Roman"/>
                <w:color w:val="000000"/>
                <w:kern w:val="0"/>
                <w:sz w:val="20"/>
                <w:szCs w:val="20"/>
              </w:rPr>
            </w:pPr>
          </w:p>
        </w:tc>
      </w:tr>
      <w:tr w14:paraId="0A6D1B45">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3DA628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02C869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15203D8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10.42</w:t>
            </w:r>
          </w:p>
        </w:tc>
        <w:tc>
          <w:tcPr>
            <w:tcW w:w="1116" w:type="dxa"/>
            <w:tcBorders>
              <w:top w:val="nil"/>
              <w:left w:val="nil"/>
              <w:bottom w:val="single" w:color="auto" w:sz="4" w:space="0"/>
              <w:right w:val="single" w:color="auto" w:sz="4" w:space="0"/>
            </w:tcBorders>
            <w:noWrap/>
            <w:vAlign w:val="center"/>
          </w:tcPr>
          <w:p w14:paraId="2566D0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175951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03B15F7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1EF52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13062D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3CE95A18">
            <w:pPr>
              <w:widowControl/>
              <w:jc w:val="left"/>
              <w:rPr>
                <w:rFonts w:hint="eastAsia" w:ascii="仿宋" w:hAnsi="仿宋" w:eastAsia="仿宋" w:cs="Times New Roman"/>
                <w:color w:val="000000"/>
                <w:kern w:val="0"/>
                <w:sz w:val="20"/>
                <w:szCs w:val="20"/>
              </w:rPr>
            </w:pPr>
          </w:p>
        </w:tc>
      </w:tr>
      <w:tr w14:paraId="5E51CB6C">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8970C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65D05B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1A9DFEC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DB53D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3895FE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3F55D75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46.24</w:t>
            </w:r>
          </w:p>
        </w:tc>
        <w:tc>
          <w:tcPr>
            <w:tcW w:w="1217" w:type="dxa"/>
            <w:tcBorders>
              <w:top w:val="nil"/>
              <w:left w:val="nil"/>
              <w:bottom w:val="single" w:color="auto" w:sz="4" w:space="0"/>
              <w:right w:val="single" w:color="auto" w:sz="4" w:space="0"/>
            </w:tcBorders>
            <w:noWrap/>
            <w:vAlign w:val="center"/>
          </w:tcPr>
          <w:p w14:paraId="1BDD23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1FE9BA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6F72478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9.9</w:t>
            </w:r>
          </w:p>
        </w:tc>
      </w:tr>
      <w:tr w14:paraId="64CAC50D">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5E670B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6DA775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35D6998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0.45</w:t>
            </w:r>
          </w:p>
        </w:tc>
        <w:tc>
          <w:tcPr>
            <w:tcW w:w="1116" w:type="dxa"/>
            <w:tcBorders>
              <w:top w:val="nil"/>
              <w:left w:val="nil"/>
              <w:bottom w:val="single" w:color="auto" w:sz="4" w:space="0"/>
              <w:right w:val="single" w:color="auto" w:sz="4" w:space="0"/>
            </w:tcBorders>
            <w:noWrap/>
            <w:vAlign w:val="center"/>
          </w:tcPr>
          <w:p w14:paraId="77E04D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07525A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2561C09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4.19</w:t>
            </w:r>
          </w:p>
        </w:tc>
        <w:tc>
          <w:tcPr>
            <w:tcW w:w="1217" w:type="dxa"/>
            <w:tcBorders>
              <w:top w:val="nil"/>
              <w:left w:val="nil"/>
              <w:bottom w:val="single" w:color="auto" w:sz="4" w:space="0"/>
              <w:right w:val="single" w:color="auto" w:sz="4" w:space="0"/>
            </w:tcBorders>
            <w:noWrap/>
            <w:vAlign w:val="center"/>
          </w:tcPr>
          <w:p w14:paraId="4C371C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7E181D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092203B0">
            <w:pPr>
              <w:widowControl/>
              <w:jc w:val="left"/>
              <w:rPr>
                <w:rFonts w:hint="eastAsia" w:ascii="仿宋" w:hAnsi="仿宋" w:eastAsia="仿宋" w:cs="Times New Roman"/>
                <w:color w:val="000000"/>
                <w:kern w:val="0"/>
                <w:sz w:val="20"/>
                <w:szCs w:val="20"/>
              </w:rPr>
            </w:pPr>
          </w:p>
        </w:tc>
      </w:tr>
      <w:tr w14:paraId="1EF978E6">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33D81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2B4922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309269B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20.67</w:t>
            </w:r>
          </w:p>
        </w:tc>
        <w:tc>
          <w:tcPr>
            <w:tcW w:w="1116" w:type="dxa"/>
            <w:tcBorders>
              <w:top w:val="nil"/>
              <w:left w:val="nil"/>
              <w:bottom w:val="single" w:color="auto" w:sz="4" w:space="0"/>
              <w:right w:val="single" w:color="auto" w:sz="4" w:space="0"/>
            </w:tcBorders>
            <w:noWrap/>
            <w:vAlign w:val="center"/>
          </w:tcPr>
          <w:p w14:paraId="04BE29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2DBC3E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1543F68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7702F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5074E9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60D835FC">
            <w:pPr>
              <w:widowControl/>
              <w:jc w:val="left"/>
              <w:rPr>
                <w:rFonts w:hint="eastAsia" w:ascii="仿宋" w:hAnsi="仿宋" w:eastAsia="仿宋" w:cs="Times New Roman"/>
                <w:color w:val="000000"/>
                <w:kern w:val="0"/>
                <w:sz w:val="20"/>
                <w:szCs w:val="20"/>
              </w:rPr>
            </w:pPr>
          </w:p>
        </w:tc>
      </w:tr>
      <w:tr w14:paraId="1A0DC8C8">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1BB301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19374E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6983F62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6.34</w:t>
            </w:r>
          </w:p>
        </w:tc>
        <w:tc>
          <w:tcPr>
            <w:tcW w:w="1116" w:type="dxa"/>
            <w:tcBorders>
              <w:top w:val="nil"/>
              <w:left w:val="nil"/>
              <w:bottom w:val="single" w:color="auto" w:sz="4" w:space="0"/>
              <w:right w:val="single" w:color="auto" w:sz="4" w:space="0"/>
            </w:tcBorders>
            <w:noWrap/>
            <w:vAlign w:val="center"/>
          </w:tcPr>
          <w:p w14:paraId="1A80E5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6AD891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6370B67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15.18</w:t>
            </w:r>
          </w:p>
        </w:tc>
        <w:tc>
          <w:tcPr>
            <w:tcW w:w="1217" w:type="dxa"/>
            <w:tcBorders>
              <w:top w:val="nil"/>
              <w:left w:val="nil"/>
              <w:bottom w:val="single" w:color="auto" w:sz="4" w:space="0"/>
              <w:right w:val="single" w:color="auto" w:sz="4" w:space="0"/>
            </w:tcBorders>
            <w:noWrap/>
            <w:vAlign w:val="center"/>
          </w:tcPr>
          <w:p w14:paraId="4537ED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10349A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25F3FA4B">
            <w:pPr>
              <w:widowControl/>
              <w:jc w:val="left"/>
              <w:rPr>
                <w:rFonts w:hint="eastAsia" w:ascii="仿宋" w:hAnsi="仿宋" w:eastAsia="仿宋" w:cs="Times New Roman"/>
                <w:color w:val="000000"/>
                <w:kern w:val="0"/>
                <w:sz w:val="20"/>
                <w:szCs w:val="20"/>
              </w:rPr>
            </w:pPr>
          </w:p>
        </w:tc>
      </w:tr>
      <w:tr w14:paraId="417FCB64">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1E789E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7AB5BD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7656A3C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96.33</w:t>
            </w:r>
          </w:p>
        </w:tc>
        <w:tc>
          <w:tcPr>
            <w:tcW w:w="1116" w:type="dxa"/>
            <w:tcBorders>
              <w:top w:val="nil"/>
              <w:left w:val="nil"/>
              <w:bottom w:val="single" w:color="auto" w:sz="4" w:space="0"/>
              <w:right w:val="single" w:color="auto" w:sz="4" w:space="0"/>
            </w:tcBorders>
            <w:noWrap/>
            <w:vAlign w:val="center"/>
          </w:tcPr>
          <w:p w14:paraId="73DAD8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4599A2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447A392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160</w:t>
            </w:r>
          </w:p>
        </w:tc>
        <w:tc>
          <w:tcPr>
            <w:tcW w:w="1217" w:type="dxa"/>
            <w:tcBorders>
              <w:top w:val="nil"/>
              <w:left w:val="nil"/>
              <w:bottom w:val="single" w:color="auto" w:sz="4" w:space="0"/>
              <w:right w:val="single" w:color="auto" w:sz="4" w:space="0"/>
            </w:tcBorders>
            <w:noWrap/>
            <w:vAlign w:val="center"/>
          </w:tcPr>
          <w:p w14:paraId="5A805C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637840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05791AEB">
            <w:pPr>
              <w:widowControl/>
              <w:jc w:val="left"/>
              <w:rPr>
                <w:rFonts w:hint="eastAsia" w:ascii="仿宋" w:hAnsi="仿宋" w:eastAsia="仿宋" w:cs="Times New Roman"/>
                <w:color w:val="000000"/>
                <w:kern w:val="0"/>
                <w:sz w:val="20"/>
                <w:szCs w:val="20"/>
              </w:rPr>
            </w:pPr>
          </w:p>
        </w:tc>
      </w:tr>
      <w:tr w14:paraId="2E05FDDB">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E76D4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1A408B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3775AB3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19.23</w:t>
            </w:r>
          </w:p>
        </w:tc>
        <w:tc>
          <w:tcPr>
            <w:tcW w:w="1116" w:type="dxa"/>
            <w:tcBorders>
              <w:top w:val="nil"/>
              <w:left w:val="nil"/>
              <w:bottom w:val="single" w:color="auto" w:sz="4" w:space="0"/>
              <w:right w:val="single" w:color="auto" w:sz="4" w:space="0"/>
            </w:tcBorders>
            <w:noWrap/>
            <w:vAlign w:val="center"/>
          </w:tcPr>
          <w:p w14:paraId="008A40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54E13B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26FBF9A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43749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5376B0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669D53EB">
            <w:pPr>
              <w:widowControl/>
              <w:jc w:val="left"/>
              <w:rPr>
                <w:rFonts w:hint="eastAsia" w:ascii="仿宋" w:hAnsi="仿宋" w:eastAsia="仿宋" w:cs="Times New Roman"/>
                <w:color w:val="000000"/>
                <w:kern w:val="0"/>
                <w:sz w:val="20"/>
                <w:szCs w:val="20"/>
              </w:rPr>
            </w:pPr>
          </w:p>
        </w:tc>
      </w:tr>
      <w:tr w14:paraId="2590042D">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83DA1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186342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4E70212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65BFE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0C301A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3FE47D3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w:t>
            </w:r>
          </w:p>
        </w:tc>
        <w:tc>
          <w:tcPr>
            <w:tcW w:w="1217" w:type="dxa"/>
            <w:tcBorders>
              <w:top w:val="nil"/>
              <w:left w:val="nil"/>
              <w:bottom w:val="single" w:color="auto" w:sz="4" w:space="0"/>
              <w:right w:val="single" w:color="auto" w:sz="4" w:space="0"/>
            </w:tcBorders>
            <w:noWrap/>
            <w:vAlign w:val="center"/>
          </w:tcPr>
          <w:p w14:paraId="485D81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0BB2E5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782144AC">
            <w:pPr>
              <w:widowControl/>
              <w:jc w:val="left"/>
              <w:rPr>
                <w:rFonts w:hint="eastAsia" w:ascii="仿宋" w:hAnsi="仿宋" w:eastAsia="仿宋" w:cs="Times New Roman"/>
                <w:color w:val="000000"/>
                <w:kern w:val="0"/>
                <w:sz w:val="20"/>
                <w:szCs w:val="20"/>
              </w:rPr>
            </w:pPr>
          </w:p>
        </w:tc>
      </w:tr>
      <w:tr w14:paraId="24EBBEA3">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4529CD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162F84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24F8384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665C7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0B63C6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0E7F5A0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4E662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0DDE6B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3C8C289A">
            <w:pPr>
              <w:widowControl/>
              <w:jc w:val="left"/>
              <w:rPr>
                <w:rFonts w:hint="eastAsia" w:ascii="仿宋" w:hAnsi="仿宋" w:eastAsia="仿宋" w:cs="Times New Roman"/>
                <w:color w:val="000000"/>
                <w:kern w:val="0"/>
                <w:sz w:val="20"/>
                <w:szCs w:val="20"/>
              </w:rPr>
            </w:pPr>
          </w:p>
        </w:tc>
      </w:tr>
      <w:tr w14:paraId="756A37E3">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234245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7B146C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64BAF1D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45554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49997D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4EF579C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2D57A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3D34F9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1C10490E">
            <w:pPr>
              <w:widowControl/>
              <w:jc w:val="left"/>
              <w:rPr>
                <w:rFonts w:hint="eastAsia" w:ascii="仿宋" w:hAnsi="仿宋" w:eastAsia="仿宋" w:cs="Times New Roman"/>
                <w:color w:val="000000"/>
                <w:kern w:val="0"/>
                <w:sz w:val="20"/>
                <w:szCs w:val="20"/>
              </w:rPr>
            </w:pPr>
          </w:p>
        </w:tc>
      </w:tr>
      <w:tr w14:paraId="6A40CC6D">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74BA51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289080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08F2EB8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4BFA6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7E68D4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259813B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CA55F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6E50AB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333239D0">
            <w:pPr>
              <w:widowControl/>
              <w:jc w:val="left"/>
              <w:rPr>
                <w:rFonts w:hint="eastAsia" w:ascii="仿宋" w:hAnsi="仿宋" w:eastAsia="仿宋" w:cs="Times New Roman"/>
                <w:color w:val="000000"/>
                <w:kern w:val="0"/>
                <w:sz w:val="20"/>
                <w:szCs w:val="20"/>
              </w:rPr>
            </w:pPr>
          </w:p>
        </w:tc>
      </w:tr>
      <w:tr w14:paraId="34CE5CA9">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65E90D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46D3E5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259201E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18.24</w:t>
            </w:r>
          </w:p>
        </w:tc>
        <w:tc>
          <w:tcPr>
            <w:tcW w:w="1116" w:type="dxa"/>
            <w:tcBorders>
              <w:top w:val="nil"/>
              <w:left w:val="nil"/>
              <w:bottom w:val="single" w:color="auto" w:sz="4" w:space="0"/>
              <w:right w:val="single" w:color="auto" w:sz="4" w:space="0"/>
            </w:tcBorders>
            <w:noWrap/>
            <w:vAlign w:val="center"/>
          </w:tcPr>
          <w:p w14:paraId="58FE4B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00C2EA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5FCBEB2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B921E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083291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3FC97E17">
            <w:pPr>
              <w:widowControl/>
              <w:jc w:val="left"/>
              <w:rPr>
                <w:rFonts w:hint="eastAsia" w:ascii="仿宋" w:hAnsi="仿宋" w:eastAsia="仿宋" w:cs="Times New Roman"/>
                <w:color w:val="000000"/>
                <w:kern w:val="0"/>
                <w:sz w:val="20"/>
                <w:szCs w:val="20"/>
              </w:rPr>
            </w:pPr>
          </w:p>
        </w:tc>
      </w:tr>
      <w:tr w14:paraId="293571BA">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4BA12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4C1E45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5B5D1EB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1521C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0E916D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53B02FF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46.42</w:t>
            </w:r>
          </w:p>
        </w:tc>
        <w:tc>
          <w:tcPr>
            <w:tcW w:w="1217" w:type="dxa"/>
            <w:tcBorders>
              <w:top w:val="nil"/>
              <w:left w:val="nil"/>
              <w:bottom w:val="single" w:color="auto" w:sz="4" w:space="0"/>
              <w:right w:val="single" w:color="auto" w:sz="4" w:space="0"/>
            </w:tcBorders>
            <w:noWrap/>
            <w:vAlign w:val="center"/>
          </w:tcPr>
          <w:p w14:paraId="776148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087944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53F5704F">
            <w:pPr>
              <w:widowControl/>
              <w:jc w:val="left"/>
              <w:rPr>
                <w:rFonts w:hint="eastAsia" w:ascii="仿宋" w:hAnsi="仿宋" w:eastAsia="仿宋" w:cs="Times New Roman"/>
                <w:color w:val="000000"/>
                <w:kern w:val="0"/>
                <w:sz w:val="20"/>
                <w:szCs w:val="20"/>
              </w:rPr>
            </w:pPr>
          </w:p>
        </w:tc>
      </w:tr>
      <w:tr w14:paraId="31B41912">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1C6D5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16DBE9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0A9ADCD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w:t>
            </w:r>
          </w:p>
        </w:tc>
        <w:tc>
          <w:tcPr>
            <w:tcW w:w="1116" w:type="dxa"/>
            <w:tcBorders>
              <w:top w:val="nil"/>
              <w:left w:val="nil"/>
              <w:bottom w:val="single" w:color="auto" w:sz="4" w:space="0"/>
              <w:right w:val="single" w:color="auto" w:sz="4" w:space="0"/>
            </w:tcBorders>
            <w:noWrap/>
            <w:vAlign w:val="center"/>
          </w:tcPr>
          <w:p w14:paraId="7E418B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76ABE4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7C3C575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659EC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5806A8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76AC6DF5">
            <w:pPr>
              <w:widowControl/>
              <w:jc w:val="left"/>
              <w:rPr>
                <w:rFonts w:hint="eastAsia" w:ascii="仿宋" w:hAnsi="仿宋" w:eastAsia="仿宋" w:cs="Times New Roman"/>
                <w:color w:val="000000"/>
                <w:kern w:val="0"/>
                <w:sz w:val="20"/>
                <w:szCs w:val="20"/>
              </w:rPr>
            </w:pPr>
          </w:p>
        </w:tc>
      </w:tr>
      <w:tr w14:paraId="571E7C4A">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7A9DF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71220C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7B55C5B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111F4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204F34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6E117FA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6.7</w:t>
            </w:r>
          </w:p>
        </w:tc>
        <w:tc>
          <w:tcPr>
            <w:tcW w:w="1217" w:type="dxa"/>
            <w:tcBorders>
              <w:top w:val="nil"/>
              <w:left w:val="nil"/>
              <w:bottom w:val="single" w:color="auto" w:sz="4" w:space="0"/>
              <w:right w:val="single" w:color="auto" w:sz="4" w:space="0"/>
            </w:tcBorders>
            <w:noWrap/>
            <w:vAlign w:val="center"/>
          </w:tcPr>
          <w:p w14:paraId="0400EF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6FFEFF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5CA4C529">
            <w:pPr>
              <w:widowControl/>
              <w:jc w:val="left"/>
              <w:rPr>
                <w:rFonts w:hint="eastAsia" w:ascii="仿宋" w:hAnsi="仿宋" w:eastAsia="仿宋" w:cs="Times New Roman"/>
                <w:color w:val="000000"/>
                <w:kern w:val="0"/>
                <w:sz w:val="20"/>
                <w:szCs w:val="20"/>
              </w:rPr>
            </w:pPr>
          </w:p>
        </w:tc>
      </w:tr>
      <w:tr w14:paraId="2797175B">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6943D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490648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30BC3DC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0.19</w:t>
            </w:r>
          </w:p>
        </w:tc>
        <w:tc>
          <w:tcPr>
            <w:tcW w:w="1116" w:type="dxa"/>
            <w:tcBorders>
              <w:top w:val="nil"/>
              <w:left w:val="nil"/>
              <w:bottom w:val="single" w:color="auto" w:sz="4" w:space="0"/>
              <w:right w:val="single" w:color="auto" w:sz="4" w:space="0"/>
            </w:tcBorders>
            <w:noWrap/>
            <w:vAlign w:val="center"/>
          </w:tcPr>
          <w:p w14:paraId="1CA833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59BB6E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2B7C29C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3.95</w:t>
            </w:r>
          </w:p>
        </w:tc>
        <w:tc>
          <w:tcPr>
            <w:tcW w:w="1217" w:type="dxa"/>
            <w:tcBorders>
              <w:top w:val="nil"/>
              <w:left w:val="nil"/>
              <w:bottom w:val="single" w:color="auto" w:sz="4" w:space="0"/>
              <w:right w:val="single" w:color="auto" w:sz="4" w:space="0"/>
            </w:tcBorders>
            <w:noWrap/>
            <w:vAlign w:val="center"/>
          </w:tcPr>
          <w:p w14:paraId="69AE5E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2B93F5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6EBB7B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4D0196DE">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1907146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656328C">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4FCB247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7062A5B1">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648B880E">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C1421E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45D5F2D1">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741666E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214EE004">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697207A9">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62191254">
            <w:pPr>
              <w:widowControl/>
              <w:jc w:val="left"/>
              <w:rPr>
                <w:rFonts w:hint="eastAsia" w:ascii="仿宋" w:hAnsi="仿宋" w:eastAsia="仿宋" w:cs="Times New Roman"/>
                <w:color w:val="000000"/>
                <w:kern w:val="0"/>
                <w:sz w:val="20"/>
                <w:szCs w:val="20"/>
              </w:rPr>
            </w:pPr>
          </w:p>
        </w:tc>
      </w:tr>
      <w:tr w14:paraId="11B8BB7B">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08E758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222005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61B5FA2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12293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609C8A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5D898D5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481B2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2791FE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01F70086">
            <w:pPr>
              <w:widowControl/>
              <w:jc w:val="left"/>
              <w:rPr>
                <w:rFonts w:hint="eastAsia" w:ascii="仿宋" w:hAnsi="仿宋" w:eastAsia="仿宋" w:cs="Times New Roman"/>
                <w:color w:val="000000"/>
                <w:kern w:val="0"/>
                <w:sz w:val="20"/>
                <w:szCs w:val="20"/>
              </w:rPr>
            </w:pPr>
          </w:p>
        </w:tc>
      </w:tr>
      <w:tr w14:paraId="4FFBADE5">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63CB2E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58F0A3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2B70D83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A60A3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6ECDEA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65228DF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10.87</w:t>
            </w:r>
          </w:p>
        </w:tc>
        <w:tc>
          <w:tcPr>
            <w:tcW w:w="1217" w:type="dxa"/>
            <w:tcBorders>
              <w:top w:val="nil"/>
              <w:left w:val="nil"/>
              <w:bottom w:val="single" w:color="auto" w:sz="4" w:space="0"/>
              <w:right w:val="single" w:color="auto" w:sz="4" w:space="0"/>
            </w:tcBorders>
            <w:noWrap/>
            <w:vAlign w:val="center"/>
          </w:tcPr>
          <w:p w14:paraId="270F4C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1706E7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30B7BEB9">
            <w:pPr>
              <w:widowControl/>
              <w:jc w:val="left"/>
              <w:rPr>
                <w:rFonts w:hint="eastAsia" w:ascii="仿宋" w:hAnsi="仿宋" w:eastAsia="仿宋" w:cs="Times New Roman"/>
                <w:color w:val="000000"/>
                <w:kern w:val="0"/>
                <w:sz w:val="20"/>
                <w:szCs w:val="20"/>
              </w:rPr>
            </w:pPr>
          </w:p>
        </w:tc>
      </w:tr>
      <w:tr w14:paraId="7210D629">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4AC5D0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60717F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176E37C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150F6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02FD65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27F0EBD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96B3A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311F11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484FED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CFCC1C5">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315A5B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5A43C8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11596E9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116ED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620549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60BC8A3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38.78</w:t>
            </w:r>
          </w:p>
        </w:tc>
        <w:tc>
          <w:tcPr>
            <w:tcW w:w="1217" w:type="dxa"/>
            <w:tcBorders>
              <w:top w:val="nil"/>
              <w:left w:val="nil"/>
              <w:bottom w:val="single" w:color="auto" w:sz="4" w:space="0"/>
              <w:right w:val="single" w:color="auto" w:sz="4" w:space="0"/>
            </w:tcBorders>
            <w:noWrap/>
            <w:vAlign w:val="center"/>
          </w:tcPr>
          <w:p w14:paraId="20940E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E7E53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29C453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219D02D">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3FC6A735">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1227062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340.64</w:t>
            </w:r>
          </w:p>
        </w:tc>
        <w:tc>
          <w:tcPr>
            <w:tcW w:w="8801" w:type="dxa"/>
            <w:gridSpan w:val="5"/>
            <w:tcBorders>
              <w:top w:val="single" w:color="auto" w:sz="4" w:space="0"/>
              <w:left w:val="nil"/>
              <w:bottom w:val="single" w:color="auto" w:sz="4" w:space="0"/>
              <w:right w:val="single" w:color="auto" w:sz="4" w:space="0"/>
            </w:tcBorders>
            <w:noWrap/>
            <w:vAlign w:val="center"/>
          </w:tcPr>
          <w:p w14:paraId="20C0C210">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2B903F5B">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385.74</w:t>
            </w:r>
          </w:p>
        </w:tc>
      </w:tr>
    </w:tbl>
    <w:p w14:paraId="3177796F">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4E0965C2">
      <w:pPr>
        <w:pStyle w:val="9"/>
        <w:rPr>
          <w:rFonts w:hint="eastAsia" w:ascii="仿宋" w:hAnsi="仿宋" w:eastAsia="仿宋"/>
        </w:rPr>
      </w:pPr>
    </w:p>
    <w:p w14:paraId="32F083E5">
      <w:pPr>
        <w:pStyle w:val="2"/>
        <w:ind w:firstLine="480"/>
        <w:rPr>
          <w:rFonts w:hint="eastAsia" w:ascii="仿宋" w:hAnsi="仿宋" w:eastAsia="仿宋"/>
        </w:rPr>
      </w:pPr>
    </w:p>
    <w:p w14:paraId="6859A6B2">
      <w:pPr>
        <w:rPr>
          <w:rFonts w:hint="eastAsia" w:ascii="仿宋" w:hAnsi="仿宋" w:eastAsia="仿宋"/>
        </w:rPr>
      </w:pPr>
    </w:p>
    <w:p w14:paraId="22212D36">
      <w:pPr>
        <w:pStyle w:val="9"/>
        <w:rPr>
          <w:rFonts w:hint="eastAsia" w:ascii="仿宋" w:hAnsi="仿宋" w:eastAsia="仿宋"/>
        </w:rPr>
      </w:pPr>
    </w:p>
    <w:p w14:paraId="7CE73E3F">
      <w:pPr>
        <w:pStyle w:val="2"/>
        <w:ind w:firstLine="480"/>
        <w:rPr>
          <w:rFonts w:hint="eastAsia" w:ascii="仿宋" w:hAnsi="仿宋" w:eastAsia="仿宋"/>
        </w:rPr>
      </w:pPr>
    </w:p>
    <w:p w14:paraId="4F6B0F47">
      <w:pPr>
        <w:widowControl/>
        <w:spacing w:line="400" w:lineRule="exact"/>
        <w:textAlignment w:val="center"/>
        <w:rPr>
          <w:rFonts w:hint="eastAsia" w:ascii="仿宋" w:hAnsi="仿宋" w:eastAsia="仿宋" w:cs="Times New Roman"/>
          <w:color w:val="000000"/>
          <w:kern w:val="0"/>
          <w:sz w:val="32"/>
          <w:szCs w:val="32"/>
          <w:lang w:bidi="ar"/>
        </w:rPr>
      </w:pPr>
    </w:p>
    <w:p w14:paraId="39C55539">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218A8464">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7880022C">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株洲市渌口区行政审批服务局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511A5C68">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0F24A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9"/>
                <w:rFonts w:hint="default" w:ascii="仿宋" w:hAnsi="仿宋" w:eastAsia="仿宋" w:cs="Times New Roman"/>
                <w:b/>
                <w:bCs/>
                <w:sz w:val="20"/>
                <w:szCs w:val="20"/>
                <w:lang w:bidi="ar"/>
              </w:rPr>
              <w:t xml:space="preserve">   </w:t>
            </w:r>
            <w:r>
              <w:rPr>
                <w:rStyle w:val="20"/>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84D37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E938C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0CFEC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82263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710D2222">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6ED29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F5E52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AAF16B">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B00A4F">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129FE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90B99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DF485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BA6AD09">
            <w:pPr>
              <w:widowControl/>
              <w:jc w:val="center"/>
              <w:rPr>
                <w:rFonts w:hint="eastAsia" w:ascii="仿宋" w:hAnsi="仿宋" w:eastAsia="仿宋" w:cs="Times New Roman"/>
                <w:color w:val="000000"/>
                <w:sz w:val="20"/>
                <w:szCs w:val="20"/>
              </w:rPr>
            </w:pPr>
          </w:p>
        </w:tc>
      </w:tr>
      <w:tr w14:paraId="63CD3EBB">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371895FD">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52664B2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223677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684578D">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70EA6A9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6AB38F8">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8F71303">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59D1710">
            <w:pPr>
              <w:jc w:val="center"/>
              <w:rPr>
                <w:rFonts w:hint="eastAsia" w:ascii="仿宋" w:hAnsi="仿宋" w:eastAsia="仿宋" w:cs="Times New Roman"/>
                <w:color w:val="000000"/>
                <w:sz w:val="20"/>
                <w:szCs w:val="20"/>
              </w:rPr>
            </w:pPr>
          </w:p>
        </w:tc>
      </w:tr>
      <w:tr w14:paraId="0BEAB505">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61EBC327">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5F96488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47E2E0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6FEB11F">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06B5A1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2D8F443">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5B0659A">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C2F9913">
            <w:pPr>
              <w:jc w:val="center"/>
              <w:rPr>
                <w:rFonts w:hint="eastAsia" w:ascii="仿宋" w:hAnsi="仿宋" w:eastAsia="仿宋" w:cs="Times New Roman"/>
                <w:color w:val="000000"/>
                <w:sz w:val="20"/>
                <w:szCs w:val="20"/>
              </w:rPr>
            </w:pPr>
          </w:p>
        </w:tc>
      </w:tr>
      <w:tr w14:paraId="3E6F2031">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ED73A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51200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4B5ED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68B40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72731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129BC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A6ADB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0FB1B1F2">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92FB9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B664A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74C18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F8D2F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FDA80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FE178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D69A2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29319734">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AFB4561">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50068922">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E0F37F2">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F772366">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8C36F52">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BDFC001">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FE1D69F">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4EAFE543">
            <w:pPr>
              <w:jc w:val="right"/>
              <w:rPr>
                <w:rFonts w:hint="eastAsia" w:ascii="仿宋" w:hAnsi="仿宋" w:eastAsia="仿宋" w:cs="Times New Roman"/>
                <w:color w:val="000000"/>
                <w:sz w:val="20"/>
                <w:szCs w:val="20"/>
              </w:rPr>
            </w:pPr>
          </w:p>
        </w:tc>
      </w:tr>
    </w:tbl>
    <w:p w14:paraId="6D05ACBC">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799B1EF8">
      <w:pPr>
        <w:widowControl/>
        <w:jc w:val="left"/>
        <w:textAlignment w:val="center"/>
        <w:rPr>
          <w:rFonts w:hint="eastAsia" w:ascii="仿宋" w:hAnsi="仿宋" w:eastAsia="仿宋" w:cs="Times New Roman"/>
          <w:color w:val="000000"/>
          <w:kern w:val="0"/>
          <w:sz w:val="24"/>
          <w:szCs w:val="24"/>
          <w:lang w:bidi="ar"/>
        </w:rPr>
      </w:pPr>
    </w:p>
    <w:p w14:paraId="58BCFDD7">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042BEF10">
      <w:pPr>
        <w:widowControl/>
        <w:jc w:val="center"/>
        <w:rPr>
          <w:rFonts w:hint="eastAsia" w:ascii="仿宋" w:hAnsi="仿宋" w:eastAsia="仿宋" w:cs="Times New Roman"/>
          <w:color w:val="000000"/>
          <w:kern w:val="0"/>
          <w:sz w:val="36"/>
          <w:szCs w:val="36"/>
        </w:rPr>
      </w:pPr>
    </w:p>
    <w:p w14:paraId="53965D63">
      <w:pPr>
        <w:widowControl/>
        <w:spacing w:line="400" w:lineRule="exact"/>
        <w:textAlignment w:val="center"/>
        <w:rPr>
          <w:rFonts w:hint="eastAsia" w:ascii="仿宋" w:hAnsi="仿宋" w:eastAsia="仿宋" w:cs="Times New Roman"/>
          <w:color w:val="000000"/>
          <w:kern w:val="0"/>
          <w:sz w:val="36"/>
          <w:szCs w:val="36"/>
          <w:lang w:bidi="ar"/>
        </w:rPr>
      </w:pPr>
    </w:p>
    <w:p w14:paraId="23DAD2DE">
      <w:pPr>
        <w:pStyle w:val="9"/>
        <w:rPr>
          <w:lang w:bidi="ar"/>
        </w:rPr>
      </w:pPr>
    </w:p>
    <w:p w14:paraId="7243535F">
      <w:pPr>
        <w:pStyle w:val="9"/>
        <w:rPr>
          <w:lang w:bidi="ar"/>
        </w:rPr>
      </w:pPr>
    </w:p>
    <w:p w14:paraId="59A910AC">
      <w:pPr>
        <w:pStyle w:val="2"/>
        <w:ind w:firstLine="480"/>
        <w:rPr>
          <w:rFonts w:hint="eastAsia"/>
          <w:lang w:bidi="ar"/>
        </w:rPr>
      </w:pPr>
    </w:p>
    <w:p w14:paraId="5C4BB2F7">
      <w:pPr>
        <w:widowControl/>
        <w:spacing w:after="156" w:afterLines="50"/>
        <w:jc w:val="center"/>
        <w:textAlignment w:val="center"/>
        <w:rPr>
          <w:rFonts w:ascii="仿宋" w:hAnsi="仿宋" w:eastAsia="仿宋" w:cs="Times New Roman"/>
          <w:color w:val="000000"/>
          <w:kern w:val="0"/>
          <w:sz w:val="36"/>
          <w:szCs w:val="36"/>
          <w:lang w:bidi="ar"/>
        </w:rPr>
      </w:pPr>
    </w:p>
    <w:p w14:paraId="11E2D571">
      <w:pPr>
        <w:widowControl/>
        <w:spacing w:after="156" w:afterLines="50"/>
        <w:jc w:val="center"/>
        <w:textAlignment w:val="center"/>
        <w:rPr>
          <w:rFonts w:ascii="仿宋" w:hAnsi="仿宋" w:eastAsia="仿宋" w:cs="Times New Roman"/>
          <w:color w:val="000000"/>
          <w:kern w:val="0"/>
          <w:sz w:val="36"/>
          <w:szCs w:val="36"/>
          <w:lang w:bidi="ar"/>
        </w:rPr>
      </w:pPr>
    </w:p>
    <w:p w14:paraId="23F9480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5093415A">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7DD701D9">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株洲市渌口区行政审批服务局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57A48BA2">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6F03C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1"/>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6A341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557A05A5">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246CC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F9521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026DF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E8ADE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096FC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3C9DB200">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A7A2CF">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929A12">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BCDC5B">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7B6FCA">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4C8DB6">
            <w:pPr>
              <w:jc w:val="center"/>
              <w:rPr>
                <w:rFonts w:hint="eastAsia" w:ascii="仿宋" w:hAnsi="仿宋" w:eastAsia="仿宋" w:cs="Times New Roman"/>
                <w:color w:val="000000"/>
                <w:sz w:val="24"/>
                <w:szCs w:val="24"/>
              </w:rPr>
            </w:pPr>
          </w:p>
        </w:tc>
      </w:tr>
      <w:tr w14:paraId="02239088">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3D590E">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35E375">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1D2C0B">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F7DDAB">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0877E8">
            <w:pPr>
              <w:jc w:val="center"/>
              <w:rPr>
                <w:rFonts w:hint="eastAsia" w:ascii="仿宋" w:hAnsi="仿宋" w:eastAsia="仿宋" w:cs="Times New Roman"/>
                <w:color w:val="000000"/>
                <w:sz w:val="24"/>
                <w:szCs w:val="24"/>
              </w:rPr>
            </w:pPr>
          </w:p>
        </w:tc>
      </w:tr>
      <w:tr w14:paraId="637D999F">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C0B7F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5C8501">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33E681">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04898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30722B74">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8CAD0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A878A1">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155566">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EAC261">
            <w:pPr>
              <w:jc w:val="right"/>
              <w:rPr>
                <w:rFonts w:hint="eastAsia" w:ascii="仿宋" w:hAnsi="仿宋" w:eastAsia="仿宋" w:cs="Times New Roman"/>
                <w:color w:val="000000"/>
                <w:sz w:val="24"/>
                <w:szCs w:val="24"/>
              </w:rPr>
            </w:pPr>
          </w:p>
        </w:tc>
      </w:tr>
      <w:tr w14:paraId="08B4048F">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03EA063B">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274D4AEC">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3A016FA">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370655AE">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AC1EAD3">
            <w:pPr>
              <w:jc w:val="right"/>
              <w:rPr>
                <w:rFonts w:hint="eastAsia" w:ascii="仿宋" w:hAnsi="仿宋" w:eastAsia="仿宋" w:cs="Times New Roman"/>
                <w:color w:val="000000"/>
                <w:sz w:val="20"/>
                <w:szCs w:val="20"/>
              </w:rPr>
            </w:pPr>
          </w:p>
        </w:tc>
      </w:tr>
      <w:tr w14:paraId="230914FA">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5677D3DB">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371A2209">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005E47DB">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257DAD5B">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61B2CE2C">
            <w:pPr>
              <w:jc w:val="right"/>
              <w:rPr>
                <w:rFonts w:hint="eastAsia" w:ascii="仿宋" w:hAnsi="仿宋" w:eastAsia="仿宋" w:cs="Times New Roman"/>
                <w:color w:val="000000"/>
                <w:sz w:val="20"/>
                <w:szCs w:val="20"/>
              </w:rPr>
            </w:pPr>
          </w:p>
        </w:tc>
      </w:tr>
    </w:tbl>
    <w:p w14:paraId="65C16909">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2535DE36">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bookmarkStart w:id="12" w:name="_GoBack"/>
      <w:bookmarkEnd w:id="12"/>
    </w:p>
    <w:p w14:paraId="4E196840">
      <w:pPr>
        <w:pStyle w:val="9"/>
        <w:rPr>
          <w:rFonts w:hint="eastAsia" w:ascii="仿宋" w:hAnsi="仿宋" w:eastAsia="仿宋"/>
          <w:lang w:bidi="ar"/>
        </w:rPr>
      </w:pPr>
    </w:p>
    <w:p w14:paraId="017E2BAA">
      <w:pPr>
        <w:pStyle w:val="2"/>
        <w:ind w:firstLine="480"/>
        <w:rPr>
          <w:rFonts w:hint="eastAsia" w:ascii="仿宋" w:hAnsi="仿宋" w:eastAsia="仿宋"/>
          <w:lang w:bidi="ar"/>
        </w:rPr>
      </w:pPr>
    </w:p>
    <w:p w14:paraId="754DCC18">
      <w:pPr>
        <w:pStyle w:val="9"/>
        <w:rPr>
          <w:rFonts w:hint="eastAsia" w:ascii="仿宋" w:hAnsi="仿宋" w:eastAsia="仿宋"/>
          <w:lang w:bidi="ar"/>
        </w:rPr>
      </w:pPr>
    </w:p>
    <w:p w14:paraId="6C3FA849">
      <w:pPr>
        <w:pStyle w:val="9"/>
        <w:spacing w:line="400" w:lineRule="exact"/>
        <w:rPr>
          <w:rFonts w:hint="eastAsia" w:ascii="仿宋" w:hAnsi="仿宋" w:eastAsia="仿宋" w:cs="Times New Roman"/>
          <w:color w:val="000000"/>
          <w:kern w:val="0"/>
          <w:sz w:val="32"/>
          <w:szCs w:val="32"/>
          <w:lang w:bidi="ar"/>
        </w:rPr>
      </w:pPr>
    </w:p>
    <w:p w14:paraId="2F2ED655">
      <w:pPr>
        <w:widowControl/>
        <w:spacing w:after="156" w:afterLines="50"/>
        <w:jc w:val="center"/>
        <w:textAlignment w:val="center"/>
        <w:rPr>
          <w:rFonts w:ascii="仿宋" w:hAnsi="仿宋" w:eastAsia="仿宋" w:cs="Times New Roman"/>
          <w:color w:val="000000"/>
          <w:kern w:val="0"/>
          <w:sz w:val="36"/>
          <w:szCs w:val="36"/>
          <w:lang w:bidi="ar"/>
        </w:rPr>
      </w:pPr>
    </w:p>
    <w:p w14:paraId="6A612D25">
      <w:pPr>
        <w:widowControl/>
        <w:spacing w:after="156" w:afterLines="50"/>
        <w:jc w:val="center"/>
        <w:textAlignment w:val="center"/>
        <w:rPr>
          <w:rFonts w:ascii="仿宋" w:hAnsi="仿宋" w:eastAsia="仿宋" w:cs="Times New Roman"/>
          <w:color w:val="000000"/>
          <w:kern w:val="0"/>
          <w:sz w:val="36"/>
          <w:szCs w:val="36"/>
          <w:lang w:bidi="ar"/>
        </w:rPr>
      </w:pPr>
    </w:p>
    <w:p w14:paraId="75839DFB">
      <w:pPr>
        <w:widowControl/>
        <w:spacing w:after="156" w:afterLines="50"/>
        <w:jc w:val="center"/>
        <w:textAlignment w:val="center"/>
        <w:rPr>
          <w:rFonts w:ascii="仿宋" w:hAnsi="仿宋" w:eastAsia="仿宋" w:cs="Times New Roman"/>
          <w:color w:val="000000"/>
          <w:kern w:val="0"/>
          <w:sz w:val="36"/>
          <w:szCs w:val="36"/>
          <w:lang w:bidi="ar"/>
        </w:rPr>
      </w:pPr>
    </w:p>
    <w:p w14:paraId="72ECC157">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4D1210D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5C8FDE4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株洲市渌口区行政审批服务局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1AB5B40">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F4219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27C5E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62C0311D">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33104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084D3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03839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BEAD8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5293F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BB8A7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2938E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852C9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38A7EFDA">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0C1509">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D26E3B">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0E160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5D227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E088D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77249B">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0B8494">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E05B7D">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6D148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485C6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D80A8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2CC0C1">
            <w:pPr>
              <w:jc w:val="center"/>
              <w:rPr>
                <w:rFonts w:hint="eastAsia" w:ascii="仿宋" w:hAnsi="仿宋" w:eastAsia="仿宋" w:cs="Times New Roman"/>
                <w:color w:val="000000"/>
                <w:sz w:val="20"/>
                <w:szCs w:val="20"/>
              </w:rPr>
            </w:pPr>
          </w:p>
        </w:tc>
      </w:tr>
      <w:tr w14:paraId="6B33BB70">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32B23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BD944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7322D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378B4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AED36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3431E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0016F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65416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FBABB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7F1DC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84364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E8C85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6D7F2956">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1C2D2D1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4902538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6F76378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0B9925B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2DD2C96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7D8B6702">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325C8F0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1AE7E8A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53FDC49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3847433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489AEDE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0FE0FEF7">
            <w:pPr>
              <w:rPr>
                <w:rFonts w:hint="eastAsia" w:ascii="仿宋" w:hAnsi="仿宋" w:eastAsia="仿宋" w:cs="Times New Roman"/>
                <w:color w:val="000000"/>
                <w:sz w:val="20"/>
                <w:szCs w:val="20"/>
              </w:rPr>
            </w:pPr>
          </w:p>
        </w:tc>
      </w:tr>
    </w:tbl>
    <w:p w14:paraId="6607D5B2">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C5646B5">
      <w:pPr>
        <w:pStyle w:val="16"/>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5F6E669F">
      <w:pPr>
        <w:pStyle w:val="16"/>
        <w:spacing w:line="640" w:lineRule="exact"/>
        <w:ind w:firstLine="522" w:firstLineChars="100"/>
        <w:jc w:val="center"/>
        <w:rPr>
          <w:rFonts w:hint="eastAsia" w:ascii="仿宋" w:hAnsi="仿宋" w:eastAsia="仿宋" w:cs="仿宋"/>
          <w:b/>
          <w:bCs/>
          <w:sz w:val="52"/>
          <w:szCs w:val="52"/>
        </w:rPr>
      </w:pPr>
    </w:p>
    <w:p w14:paraId="4546ADA5">
      <w:pPr>
        <w:pStyle w:val="16"/>
        <w:spacing w:line="640" w:lineRule="exact"/>
        <w:ind w:firstLine="522" w:firstLineChars="100"/>
        <w:jc w:val="center"/>
        <w:rPr>
          <w:rFonts w:hint="eastAsia" w:ascii="仿宋" w:hAnsi="仿宋" w:eastAsia="仿宋" w:cs="仿宋"/>
          <w:b/>
          <w:bCs/>
          <w:sz w:val="52"/>
          <w:szCs w:val="52"/>
        </w:rPr>
      </w:pPr>
    </w:p>
    <w:p w14:paraId="66106447">
      <w:pPr>
        <w:pStyle w:val="16"/>
        <w:spacing w:line="640" w:lineRule="exact"/>
        <w:ind w:firstLine="522" w:firstLineChars="100"/>
        <w:jc w:val="center"/>
        <w:rPr>
          <w:rFonts w:hint="eastAsia" w:ascii="仿宋" w:hAnsi="仿宋" w:eastAsia="仿宋" w:cs="仿宋"/>
          <w:b/>
          <w:bCs/>
          <w:sz w:val="52"/>
          <w:szCs w:val="52"/>
        </w:rPr>
      </w:pPr>
    </w:p>
    <w:p w14:paraId="19B5CE54">
      <w:pPr>
        <w:pStyle w:val="16"/>
        <w:spacing w:line="640" w:lineRule="exact"/>
        <w:ind w:firstLine="522" w:firstLineChars="100"/>
        <w:jc w:val="center"/>
        <w:rPr>
          <w:rFonts w:hint="eastAsia" w:ascii="仿宋" w:hAnsi="仿宋" w:eastAsia="仿宋" w:cs="仿宋"/>
          <w:b/>
          <w:bCs/>
          <w:sz w:val="52"/>
          <w:szCs w:val="52"/>
        </w:rPr>
      </w:pPr>
    </w:p>
    <w:p w14:paraId="600470E5">
      <w:pPr>
        <w:pStyle w:val="16"/>
        <w:spacing w:line="640" w:lineRule="exact"/>
        <w:ind w:firstLine="522" w:firstLineChars="100"/>
        <w:jc w:val="center"/>
        <w:rPr>
          <w:rFonts w:hint="eastAsia" w:ascii="仿宋" w:hAnsi="仿宋" w:eastAsia="仿宋" w:cs="仿宋"/>
          <w:b/>
          <w:bCs/>
          <w:sz w:val="52"/>
          <w:szCs w:val="52"/>
        </w:rPr>
      </w:pPr>
    </w:p>
    <w:p w14:paraId="1462EA49">
      <w:pPr>
        <w:pStyle w:val="16"/>
        <w:spacing w:line="640" w:lineRule="exact"/>
        <w:ind w:firstLine="522" w:firstLineChars="100"/>
        <w:jc w:val="center"/>
        <w:rPr>
          <w:rFonts w:hint="eastAsia" w:ascii="仿宋" w:hAnsi="仿宋" w:eastAsia="仿宋" w:cs="仿宋"/>
          <w:b/>
          <w:bCs/>
          <w:sz w:val="52"/>
          <w:szCs w:val="52"/>
        </w:rPr>
      </w:pPr>
    </w:p>
    <w:p w14:paraId="73545DCA">
      <w:pPr>
        <w:pStyle w:val="16"/>
        <w:spacing w:line="640" w:lineRule="exact"/>
        <w:ind w:firstLine="522" w:firstLineChars="100"/>
        <w:jc w:val="center"/>
        <w:rPr>
          <w:rFonts w:hint="eastAsia" w:ascii="仿宋" w:hAnsi="仿宋" w:eastAsia="仿宋" w:cs="仿宋"/>
          <w:b/>
          <w:bCs/>
          <w:sz w:val="52"/>
          <w:szCs w:val="52"/>
        </w:rPr>
      </w:pPr>
    </w:p>
    <w:p w14:paraId="1CE2CEEF">
      <w:pPr>
        <w:pStyle w:val="16"/>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35583333">
      <w:pPr>
        <w:pStyle w:val="16"/>
        <w:spacing w:line="640" w:lineRule="exact"/>
        <w:jc w:val="center"/>
        <w:rPr>
          <w:rFonts w:hint="eastAsia" w:ascii="仿宋" w:hAnsi="仿宋" w:eastAsia="仿宋" w:cs="仿宋"/>
          <w:b/>
          <w:bCs/>
          <w:sz w:val="52"/>
          <w:szCs w:val="52"/>
        </w:rPr>
      </w:pPr>
    </w:p>
    <w:p w14:paraId="61BE38D5">
      <w:pPr>
        <w:pStyle w:val="16"/>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39A27CCD">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0926A32E">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2675C009">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2024年度收、支总计</w:t>
      </w:r>
      <w:r>
        <w:rPr>
          <w:rFonts w:hint="eastAsia" w:ascii="仿宋" w:hAnsi="仿宋" w:eastAsia="仿宋" w:cs="仿宋"/>
        </w:rPr>
        <w:t>972.81</w:t>
      </w:r>
      <w:r>
        <w:rPr>
          <w:rFonts w:ascii="仿宋" w:hAnsi="仿宋" w:eastAsia="仿宋" w:cs="仿宋"/>
        </w:rPr>
        <w:t>万元。与上年相比，减少</w:t>
      </w:r>
      <w:r>
        <w:rPr>
          <w:rFonts w:hint="eastAsia" w:ascii="仿宋" w:hAnsi="仿宋" w:eastAsia="仿宋" w:cs="仿宋"/>
          <w:lang w:val="en-US" w:eastAsia="zh-CN"/>
        </w:rPr>
        <w:t>48.67</w:t>
      </w:r>
      <w:r>
        <w:rPr>
          <w:rFonts w:ascii="仿宋" w:hAnsi="仿宋" w:eastAsia="仿宋" w:cs="仿宋"/>
        </w:rPr>
        <w:t>万元，降低</w:t>
      </w:r>
      <w:r>
        <w:rPr>
          <w:rFonts w:hint="eastAsia" w:ascii="仿宋" w:hAnsi="仿宋" w:eastAsia="仿宋" w:cs="仿宋"/>
          <w:lang w:val="en-US" w:eastAsia="zh-CN"/>
        </w:rPr>
        <w:t>4.76</w:t>
      </w:r>
      <w:r>
        <w:rPr>
          <w:rFonts w:ascii="仿宋" w:hAnsi="仿宋" w:eastAsia="仿宋" w:cs="仿宋"/>
        </w:rPr>
        <w:t>%，主要是因为</w:t>
      </w:r>
      <w:r>
        <w:rPr>
          <w:rFonts w:hint="eastAsia" w:ascii="仿宋" w:hAnsi="仿宋" w:eastAsia="仿宋" w:cs="仿宋"/>
        </w:rPr>
        <w:t>坚决落实党政机关过紧日子要求，从严从紧控制经费支出。2024年不再承担政务大厅入驻部门的办公用品和工作餐。</w:t>
      </w:r>
    </w:p>
    <w:p w14:paraId="5162EC72">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4BFD5354">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972.81</w:t>
      </w:r>
      <w:r>
        <w:rPr>
          <w:rFonts w:ascii="仿宋" w:hAnsi="仿宋" w:eastAsia="仿宋" w:cs="仿宋"/>
        </w:rPr>
        <w:t>万元，其中：财政拨款收入</w:t>
      </w:r>
      <w:r>
        <w:rPr>
          <w:rFonts w:hint="eastAsia" w:ascii="仿宋" w:hAnsi="仿宋" w:eastAsia="仿宋" w:cs="仿宋"/>
        </w:rPr>
        <w:t>972.81</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05BF2F94">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152EC309">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972.81</w:t>
      </w:r>
      <w:r>
        <w:rPr>
          <w:rFonts w:ascii="仿宋" w:hAnsi="仿宋" w:eastAsia="仿宋" w:cs="仿宋"/>
        </w:rPr>
        <w:t>万元，其中：基本支出</w:t>
      </w:r>
      <w:r>
        <w:rPr>
          <w:rFonts w:hint="eastAsia" w:ascii="仿宋" w:hAnsi="仿宋" w:eastAsia="仿宋" w:cs="仿宋"/>
        </w:rPr>
        <w:t>726.39</w:t>
      </w:r>
      <w:r>
        <w:rPr>
          <w:rFonts w:ascii="仿宋" w:hAnsi="仿宋" w:eastAsia="仿宋" w:cs="仿宋"/>
        </w:rPr>
        <w:t>万元，占</w:t>
      </w:r>
      <w:r>
        <w:rPr>
          <w:rFonts w:hint="eastAsia" w:ascii="仿宋" w:hAnsi="仿宋" w:eastAsia="仿宋" w:cs="仿宋"/>
        </w:rPr>
        <w:t>74.67</w:t>
      </w:r>
      <w:r>
        <w:rPr>
          <w:rFonts w:ascii="仿宋" w:hAnsi="仿宋" w:eastAsia="仿宋" w:cs="仿宋"/>
        </w:rPr>
        <w:t>%；项目支出</w:t>
      </w:r>
      <w:r>
        <w:rPr>
          <w:rFonts w:hint="eastAsia" w:ascii="仿宋" w:hAnsi="仿宋" w:eastAsia="仿宋" w:cs="仿宋"/>
        </w:rPr>
        <w:t>246.42</w:t>
      </w:r>
      <w:r>
        <w:rPr>
          <w:rFonts w:ascii="仿宋" w:hAnsi="仿宋" w:eastAsia="仿宋" w:cs="仿宋"/>
        </w:rPr>
        <w:t>万元，占</w:t>
      </w:r>
      <w:r>
        <w:rPr>
          <w:rFonts w:hint="eastAsia" w:ascii="仿宋" w:hAnsi="仿宋" w:eastAsia="仿宋" w:cs="仿宋"/>
        </w:rPr>
        <w:t>25.33</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5C8451BF">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08375F8D">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972.81</w:t>
      </w:r>
      <w:r>
        <w:rPr>
          <w:rFonts w:ascii="仿宋" w:hAnsi="仿宋" w:eastAsia="仿宋" w:cs="仿宋"/>
        </w:rPr>
        <w:t>万元，与上年相比，减少</w:t>
      </w:r>
      <w:r>
        <w:rPr>
          <w:rFonts w:hint="eastAsia" w:ascii="仿宋" w:hAnsi="仿宋" w:eastAsia="仿宋" w:cs="仿宋"/>
          <w:lang w:val="en-US" w:eastAsia="zh-CN"/>
        </w:rPr>
        <w:t>48.67</w:t>
      </w:r>
      <w:r>
        <w:rPr>
          <w:rFonts w:ascii="仿宋" w:hAnsi="仿宋" w:eastAsia="仿宋" w:cs="仿宋"/>
        </w:rPr>
        <w:t>万元,降低</w:t>
      </w:r>
      <w:r>
        <w:rPr>
          <w:rFonts w:hint="eastAsia" w:ascii="仿宋" w:hAnsi="仿宋" w:eastAsia="仿宋" w:cs="仿宋"/>
          <w:lang w:val="en-US" w:eastAsia="zh-CN"/>
        </w:rPr>
        <w:t>4.76</w:t>
      </w:r>
      <w:r>
        <w:rPr>
          <w:rFonts w:ascii="仿宋" w:hAnsi="仿宋" w:eastAsia="仿宋" w:cs="仿宋"/>
        </w:rPr>
        <w:t>%，主要是因为</w:t>
      </w:r>
      <w:r>
        <w:rPr>
          <w:rFonts w:hint="eastAsia" w:ascii="仿宋" w:hAnsi="仿宋" w:eastAsia="仿宋" w:cs="仿宋"/>
        </w:rPr>
        <w:t>坚决落实党政机关过紧日子要求，从严从紧控制经费支出。2024年不再承担政务大厅入驻部门的办公用品和工作餐。</w:t>
      </w:r>
    </w:p>
    <w:p w14:paraId="7DDC7C8B">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33E3AA44">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1DCD84CD">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972.81</w:t>
      </w:r>
      <w:r>
        <w:rPr>
          <w:rFonts w:ascii="仿宋" w:hAnsi="仿宋" w:eastAsia="仿宋" w:cs="仿宋"/>
        </w:rPr>
        <w:t>万元，占本年支出合计的</w:t>
      </w:r>
      <w:r>
        <w:rPr>
          <w:rFonts w:hint="eastAsia" w:ascii="仿宋" w:hAnsi="仿宋" w:eastAsia="仿宋" w:cs="仿宋"/>
        </w:rPr>
        <w:t>100.00</w:t>
      </w:r>
      <w:r>
        <w:rPr>
          <w:rFonts w:ascii="仿宋" w:hAnsi="仿宋" w:eastAsia="仿宋" w:cs="仿宋"/>
        </w:rPr>
        <w:t xml:space="preserve"> %，与上年相比，减少</w:t>
      </w:r>
      <w:r>
        <w:rPr>
          <w:rFonts w:hint="eastAsia" w:ascii="仿宋" w:hAnsi="仿宋" w:eastAsia="仿宋" w:cs="仿宋"/>
          <w:lang w:val="en-US" w:eastAsia="zh-CN"/>
        </w:rPr>
        <w:t>48.67</w:t>
      </w:r>
      <w:r>
        <w:rPr>
          <w:rFonts w:ascii="仿宋" w:hAnsi="仿宋" w:eastAsia="仿宋" w:cs="仿宋"/>
        </w:rPr>
        <w:t>万元，降低</w:t>
      </w:r>
      <w:r>
        <w:rPr>
          <w:rFonts w:hint="eastAsia" w:ascii="仿宋" w:hAnsi="仿宋" w:eastAsia="仿宋" w:cs="仿宋"/>
          <w:lang w:val="en-US" w:eastAsia="zh-CN"/>
        </w:rPr>
        <w:t>4.76</w:t>
      </w:r>
      <w:r>
        <w:rPr>
          <w:rFonts w:ascii="仿宋" w:hAnsi="仿宋" w:eastAsia="仿宋" w:cs="仿宋"/>
        </w:rPr>
        <w:t>%，主要是因为</w:t>
      </w:r>
      <w:r>
        <w:rPr>
          <w:rFonts w:hint="eastAsia" w:ascii="仿宋" w:hAnsi="仿宋" w:eastAsia="仿宋" w:cs="仿宋"/>
        </w:rPr>
        <w:t>坚决落实党政机关过紧日子要求，从严从紧控制经费支出。2024年不再承担政务大厅入驻部门的办公用品和工作餐。</w:t>
      </w:r>
    </w:p>
    <w:p w14:paraId="76CFD626">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429BDD1A">
      <w:pPr>
        <w:pStyle w:val="5"/>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972.81</w:t>
      </w:r>
      <w:r>
        <w:rPr>
          <w:rFonts w:ascii="仿宋" w:hAnsi="仿宋" w:eastAsia="仿宋" w:cs="仿宋"/>
        </w:rPr>
        <w:t>万元，主要用于以下方面：一般公共服务（类）支出</w:t>
      </w:r>
      <w:r>
        <w:rPr>
          <w:rFonts w:hint="eastAsia" w:ascii="仿宋" w:hAnsi="仿宋" w:eastAsia="仿宋" w:cs="仿宋"/>
        </w:rPr>
        <w:t>683.64</w:t>
      </w:r>
      <w:r>
        <w:rPr>
          <w:rFonts w:ascii="仿宋" w:hAnsi="仿宋" w:eastAsia="仿宋" w:cs="仿宋"/>
        </w:rPr>
        <w:t>万元，占</w:t>
      </w:r>
      <w:r>
        <w:rPr>
          <w:rFonts w:hint="eastAsia" w:ascii="仿宋" w:hAnsi="仿宋" w:eastAsia="仿宋" w:cs="仿宋"/>
        </w:rPr>
        <w:t>70.2</w:t>
      </w:r>
      <w:r>
        <w:rPr>
          <w:rFonts w:hint="eastAsia" w:ascii="仿宋" w:hAnsi="仿宋" w:eastAsia="仿宋" w:cs="仿宋"/>
          <w:lang w:val="en-US" w:eastAsia="zh-CN"/>
        </w:rPr>
        <w:t>8</w:t>
      </w:r>
      <w:r>
        <w:rPr>
          <w:rFonts w:ascii="仿宋" w:hAnsi="仿宋" w:eastAsia="仿宋" w:cs="仿宋"/>
        </w:rPr>
        <w:t xml:space="preserve"> %；</w:t>
      </w:r>
      <w:r>
        <w:rPr>
          <w:rFonts w:hint="eastAsia" w:ascii="宋体" w:hAnsi="宋体" w:eastAsia="宋体" w:cs="宋体"/>
          <w:color w:val="000000"/>
          <w:sz w:val="32"/>
          <w:szCs w:val="32"/>
        </w:rPr>
        <w:t>科学技术支出</w:t>
      </w:r>
      <w:r>
        <w:rPr>
          <w:rFonts w:hint="eastAsia" w:ascii="宋体" w:hAnsi="宋体" w:cs="宋体"/>
          <w:color w:val="000000"/>
          <w:sz w:val="32"/>
          <w:szCs w:val="32"/>
          <w:lang w:val="en-US" w:eastAsia="zh-CN"/>
        </w:rPr>
        <w:t>246.89</w:t>
      </w:r>
      <w:r>
        <w:rPr>
          <w:rFonts w:hint="eastAsia" w:ascii="宋体" w:hAnsi="宋体" w:eastAsia="宋体" w:cs="宋体"/>
          <w:color w:val="000000"/>
          <w:sz w:val="32"/>
          <w:szCs w:val="32"/>
        </w:rPr>
        <w:t>万元，占</w:t>
      </w:r>
      <w:r>
        <w:rPr>
          <w:rFonts w:hint="eastAsia" w:ascii="宋体" w:hAnsi="宋体" w:cs="宋体"/>
          <w:color w:val="000000"/>
          <w:sz w:val="32"/>
          <w:szCs w:val="32"/>
          <w:lang w:val="en-US" w:eastAsia="zh-CN"/>
        </w:rPr>
        <w:t>25.38</w:t>
      </w:r>
      <w:r>
        <w:rPr>
          <w:rFonts w:hint="eastAsia" w:ascii="宋体" w:hAnsi="宋体" w:eastAsia="宋体" w:cs="宋体"/>
          <w:color w:val="000000"/>
          <w:sz w:val="32"/>
          <w:szCs w:val="32"/>
        </w:rPr>
        <w:t>%；社会保障和就业支出</w:t>
      </w:r>
      <w:r>
        <w:rPr>
          <w:rFonts w:hint="eastAsia" w:ascii="宋体" w:hAnsi="宋体" w:cs="宋体"/>
          <w:color w:val="000000"/>
          <w:sz w:val="32"/>
          <w:szCs w:val="32"/>
          <w:lang w:val="en-US" w:eastAsia="zh-CN"/>
        </w:rPr>
        <w:t>22.30</w:t>
      </w:r>
      <w:r>
        <w:rPr>
          <w:rFonts w:hint="eastAsia" w:ascii="宋体" w:hAnsi="宋体" w:eastAsia="宋体" w:cs="宋体"/>
          <w:color w:val="000000"/>
          <w:sz w:val="32"/>
          <w:szCs w:val="32"/>
        </w:rPr>
        <w:t>万元，占</w:t>
      </w:r>
      <w:r>
        <w:rPr>
          <w:rFonts w:hint="eastAsia" w:ascii="宋体" w:hAnsi="宋体" w:cs="宋体"/>
          <w:color w:val="000000"/>
          <w:sz w:val="32"/>
          <w:szCs w:val="32"/>
          <w:lang w:val="en-US" w:eastAsia="zh-CN"/>
        </w:rPr>
        <w:t>2.29</w:t>
      </w:r>
      <w:r>
        <w:rPr>
          <w:rFonts w:hint="eastAsia" w:ascii="宋体" w:hAnsi="宋体" w:eastAsia="宋体" w:cs="宋体"/>
          <w:color w:val="000000"/>
          <w:sz w:val="32"/>
          <w:szCs w:val="32"/>
        </w:rPr>
        <w:t>%；住房保障支出</w:t>
      </w:r>
      <w:r>
        <w:rPr>
          <w:rFonts w:hint="eastAsia" w:ascii="宋体" w:hAnsi="宋体" w:cs="宋体"/>
          <w:color w:val="000000"/>
          <w:sz w:val="32"/>
          <w:szCs w:val="32"/>
          <w:lang w:val="en-US" w:eastAsia="zh-CN"/>
        </w:rPr>
        <w:t>19.98</w:t>
      </w:r>
      <w:r>
        <w:rPr>
          <w:rFonts w:hint="eastAsia" w:ascii="宋体" w:hAnsi="宋体" w:eastAsia="宋体" w:cs="宋体"/>
          <w:color w:val="000000"/>
          <w:sz w:val="32"/>
          <w:szCs w:val="32"/>
        </w:rPr>
        <w:t>万元，占</w:t>
      </w:r>
      <w:r>
        <w:rPr>
          <w:rFonts w:hint="eastAsia" w:ascii="宋体" w:hAnsi="宋体" w:cs="宋体"/>
          <w:color w:val="000000"/>
          <w:sz w:val="32"/>
          <w:szCs w:val="32"/>
          <w:lang w:val="en-US" w:eastAsia="zh-CN"/>
        </w:rPr>
        <w:t>2.05</w:t>
      </w:r>
      <w:r>
        <w:rPr>
          <w:rFonts w:hint="eastAsia" w:ascii="宋体" w:hAnsi="宋体" w:eastAsia="宋体" w:cs="宋体"/>
          <w:color w:val="000000"/>
          <w:sz w:val="32"/>
          <w:szCs w:val="32"/>
        </w:rPr>
        <w:t xml:space="preserve">%。 </w:t>
      </w:r>
    </w:p>
    <w:p w14:paraId="117808F2">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16279E32">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722.85</w:t>
      </w:r>
      <w:r>
        <w:rPr>
          <w:rFonts w:ascii="仿宋" w:hAnsi="仿宋" w:eastAsia="仿宋" w:cs="仿宋"/>
        </w:rPr>
        <w:t>万元，支出决算数为</w:t>
      </w:r>
      <w:r>
        <w:rPr>
          <w:rFonts w:hint="eastAsia" w:ascii="仿宋" w:hAnsi="仿宋" w:eastAsia="仿宋" w:cs="仿宋"/>
          <w:lang w:val="en-US" w:eastAsia="zh-CN"/>
        </w:rPr>
        <w:t>972.81</w:t>
      </w:r>
      <w:r>
        <w:rPr>
          <w:rFonts w:ascii="仿宋" w:hAnsi="仿宋" w:eastAsia="仿宋" w:cs="仿宋"/>
        </w:rPr>
        <w:t>万元，完成年初预算的</w:t>
      </w:r>
      <w:r>
        <w:rPr>
          <w:rFonts w:hint="eastAsia" w:ascii="仿宋" w:hAnsi="仿宋" w:eastAsia="仿宋" w:cs="仿宋"/>
          <w:lang w:val="en-US" w:eastAsia="zh-CN"/>
        </w:rPr>
        <w:t>134.58</w:t>
      </w:r>
      <w:r>
        <w:rPr>
          <w:rFonts w:ascii="仿宋" w:hAnsi="仿宋" w:eastAsia="仿宋" w:cs="仿宋"/>
        </w:rPr>
        <w:t>%，</w:t>
      </w:r>
      <w:r>
        <w:rPr>
          <w:rFonts w:ascii="仿宋" w:hAnsi="仿宋" w:eastAsia="仿宋" w:cs="仿宋"/>
          <w:highlight w:val="none"/>
        </w:rPr>
        <w:t>其中</w:t>
      </w:r>
      <w:r>
        <w:rPr>
          <w:rFonts w:ascii="仿宋" w:hAnsi="仿宋" w:eastAsia="仿宋" w:cs="仿宋"/>
        </w:rPr>
        <w:t>：</w:t>
      </w:r>
    </w:p>
    <w:p w14:paraId="51F83960">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w:t>
      </w:r>
      <w:r>
        <w:rPr>
          <w:rFonts w:hint="eastAsia" w:ascii="仿宋" w:hAnsi="仿宋" w:eastAsia="仿宋" w:cs="仿宋"/>
          <w:lang w:eastAsia="zh-CN"/>
        </w:rPr>
        <w:t>支出</w:t>
      </w:r>
      <w:r>
        <w:rPr>
          <w:rFonts w:ascii="仿宋" w:hAnsi="仿宋" w:eastAsia="仿宋" w:cs="仿宋"/>
        </w:rPr>
        <w:t>（类）</w:t>
      </w:r>
      <w:r>
        <w:rPr>
          <w:rFonts w:hint="eastAsia" w:ascii="仿宋" w:hAnsi="仿宋" w:eastAsia="仿宋" w:cs="仿宋"/>
        </w:rPr>
        <w:t>政府办公厅（室）及相关机构事务</w:t>
      </w:r>
      <w:r>
        <w:rPr>
          <w:rFonts w:ascii="仿宋" w:hAnsi="仿宋" w:eastAsia="仿宋" w:cs="仿宋"/>
        </w:rPr>
        <w:t>（款）</w:t>
      </w:r>
      <w:r>
        <w:rPr>
          <w:rFonts w:hint="eastAsia" w:ascii="仿宋" w:hAnsi="仿宋" w:eastAsia="仿宋" w:cs="仿宋"/>
          <w:lang w:eastAsia="zh-CN"/>
        </w:rPr>
        <w:t>行政运行</w:t>
      </w:r>
      <w:r>
        <w:rPr>
          <w:rFonts w:hint="eastAsia" w:ascii="仿宋" w:hAnsi="仿宋" w:eastAsia="仿宋" w:cs="仿宋"/>
        </w:rPr>
        <w:t>（项）。</w:t>
      </w:r>
    </w:p>
    <w:p w14:paraId="04F1E843">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年初预算为682.5</w:t>
      </w:r>
      <w:r>
        <w:rPr>
          <w:rFonts w:hint="eastAsia" w:ascii="仿宋" w:hAnsi="仿宋" w:eastAsia="仿宋" w:cs="仿宋"/>
          <w:lang w:val="en-US" w:eastAsia="zh-CN"/>
        </w:rPr>
        <w:t>7</w:t>
      </w:r>
      <w:r>
        <w:rPr>
          <w:rFonts w:hint="eastAsia" w:ascii="仿宋" w:hAnsi="仿宋" w:eastAsia="仿宋" w:cs="仿宋"/>
        </w:rPr>
        <w:t>万元，支出决算为</w:t>
      </w:r>
      <w:r>
        <w:rPr>
          <w:rFonts w:hint="eastAsia" w:ascii="仿宋" w:hAnsi="仿宋" w:eastAsia="仿宋" w:cs="仿宋"/>
          <w:lang w:val="en-US" w:eastAsia="zh-CN"/>
        </w:rPr>
        <w:t>668.17</w:t>
      </w:r>
      <w:r>
        <w:rPr>
          <w:rFonts w:hint="eastAsia" w:ascii="仿宋" w:hAnsi="仿宋" w:eastAsia="仿宋" w:cs="仿宋"/>
        </w:rPr>
        <w:t>万元，完成年初预算的</w:t>
      </w:r>
      <w:r>
        <w:rPr>
          <w:rFonts w:hint="eastAsia" w:ascii="仿宋" w:hAnsi="仿宋" w:eastAsia="仿宋" w:cs="仿宋"/>
          <w:lang w:val="en-US" w:eastAsia="zh-CN"/>
        </w:rPr>
        <w:t>97.89</w:t>
      </w:r>
      <w:r>
        <w:rPr>
          <w:rFonts w:hint="eastAsia" w:ascii="仿宋" w:hAnsi="仿宋" w:eastAsia="仿宋" w:cs="仿宋"/>
        </w:rPr>
        <w:t>%，决算数小于年初预算数的主要原因是：原因是坚决落实党政机关过紧日子要求，从严从紧控制经费支出。</w:t>
      </w:r>
    </w:p>
    <w:p w14:paraId="75CD1086">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2、一般公共服务</w:t>
      </w:r>
      <w:r>
        <w:rPr>
          <w:rFonts w:hint="eastAsia" w:ascii="仿宋" w:hAnsi="仿宋" w:eastAsia="仿宋" w:cs="仿宋"/>
          <w:lang w:eastAsia="zh-CN"/>
        </w:rPr>
        <w:t>支出</w:t>
      </w:r>
      <w:r>
        <w:rPr>
          <w:rFonts w:ascii="仿宋" w:hAnsi="仿宋" w:eastAsia="仿宋" w:cs="仿宋"/>
        </w:rPr>
        <w:t>（类）</w:t>
      </w:r>
      <w:r>
        <w:rPr>
          <w:rFonts w:hint="eastAsia" w:ascii="仿宋" w:hAnsi="仿宋" w:eastAsia="仿宋" w:cs="仿宋"/>
        </w:rPr>
        <w:t>政府办公厅（室）及相关机构事务</w:t>
      </w:r>
      <w:r>
        <w:rPr>
          <w:rFonts w:ascii="仿宋" w:hAnsi="仿宋" w:eastAsia="仿宋" w:cs="仿宋"/>
        </w:rPr>
        <w:t>（款）</w:t>
      </w:r>
      <w:r>
        <w:rPr>
          <w:rFonts w:hint="eastAsia" w:ascii="仿宋" w:hAnsi="仿宋" w:eastAsia="仿宋" w:cs="仿宋"/>
          <w:lang w:eastAsia="zh-CN"/>
        </w:rPr>
        <w:t>事业运行</w:t>
      </w:r>
      <w:r>
        <w:rPr>
          <w:rFonts w:ascii="仿宋" w:hAnsi="仿宋" w:eastAsia="仿宋" w:cs="仿宋"/>
        </w:rPr>
        <w:t>（项）。</w:t>
      </w:r>
    </w:p>
    <w:p w14:paraId="4B5612DE">
      <w:pPr>
        <w:pStyle w:val="25"/>
        <w:spacing w:before="0" w:beforeAutospacing="0" w:after="2" w:afterAutospacing="0"/>
        <w:ind w:left="0" w:firstLine="641"/>
        <w:rPr>
          <w:rFonts w:ascii="仿宋" w:hAnsi="仿宋" w:eastAsia="仿宋" w:cs="仿宋"/>
        </w:rPr>
      </w:pPr>
      <w:r>
        <w:rPr>
          <w:rFonts w:hint="default" w:ascii="仿宋" w:hAnsi="仿宋" w:eastAsia="仿宋" w:cs="仿宋"/>
          <w:kern w:val="2"/>
          <w:sz w:val="32"/>
          <w:szCs w:val="32"/>
          <w:lang w:val="en-US" w:eastAsia="zh-CN" w:bidi="ar-SA"/>
        </w:rPr>
        <w:t>年初预算为</w:t>
      </w:r>
      <w:r>
        <w:rPr>
          <w:rFonts w:hint="eastAsia" w:ascii="仿宋" w:hAnsi="仿宋" w:eastAsia="仿宋" w:cs="仿宋"/>
          <w:kern w:val="2"/>
          <w:sz w:val="32"/>
          <w:szCs w:val="32"/>
          <w:lang w:val="en-US" w:eastAsia="zh-CN" w:bidi="ar-SA"/>
        </w:rPr>
        <w:t>0</w:t>
      </w:r>
      <w:r>
        <w:rPr>
          <w:rFonts w:hint="default" w:ascii="仿宋" w:hAnsi="仿宋" w:eastAsia="仿宋" w:cs="仿宋"/>
          <w:kern w:val="2"/>
          <w:sz w:val="32"/>
          <w:szCs w:val="32"/>
          <w:lang w:val="en-US" w:eastAsia="zh-CN" w:bidi="ar-SA"/>
        </w:rPr>
        <w:t>万元，支出决算为</w:t>
      </w:r>
      <w:r>
        <w:rPr>
          <w:rFonts w:hint="eastAsia" w:ascii="仿宋" w:hAnsi="仿宋" w:eastAsia="仿宋" w:cs="仿宋"/>
          <w:kern w:val="2"/>
          <w:sz w:val="32"/>
          <w:szCs w:val="32"/>
          <w:lang w:val="en-US" w:eastAsia="zh-CN" w:bidi="ar-SA"/>
        </w:rPr>
        <w:t>3.08</w:t>
      </w:r>
      <w:r>
        <w:rPr>
          <w:rFonts w:hint="default" w:ascii="仿宋" w:hAnsi="仿宋" w:eastAsia="仿宋" w:cs="仿宋"/>
          <w:kern w:val="2"/>
          <w:sz w:val="32"/>
          <w:szCs w:val="32"/>
          <w:lang w:val="en-US" w:eastAsia="zh-CN" w:bidi="ar-SA"/>
        </w:rPr>
        <w:t>万元，</w:t>
      </w:r>
      <w:r>
        <w:rPr>
          <w:rFonts w:hint="eastAsia" w:ascii="仿宋" w:hAnsi="仿宋" w:eastAsia="仿宋" w:cs="仿宋"/>
          <w:kern w:val="2"/>
          <w:sz w:val="32"/>
          <w:szCs w:val="32"/>
          <w:lang w:val="en-US" w:eastAsia="zh-CN" w:bidi="ar-SA"/>
        </w:rPr>
        <w:t>无法计算</w:t>
      </w:r>
      <w:r>
        <w:rPr>
          <w:rFonts w:hint="default" w:ascii="仿宋" w:hAnsi="仿宋" w:eastAsia="仿宋" w:cs="仿宋"/>
          <w:kern w:val="2"/>
          <w:sz w:val="32"/>
          <w:szCs w:val="32"/>
          <w:lang w:val="en-US" w:eastAsia="zh-CN" w:bidi="ar-SA"/>
        </w:rPr>
        <w:t>完成年初预算的</w:t>
      </w:r>
      <w:r>
        <w:rPr>
          <w:rFonts w:hint="eastAsia" w:ascii="仿宋" w:hAnsi="仿宋" w:eastAsia="仿宋" w:cs="仿宋"/>
          <w:kern w:val="2"/>
          <w:sz w:val="32"/>
          <w:szCs w:val="32"/>
          <w:lang w:val="en-US" w:eastAsia="zh-CN" w:bidi="ar-SA"/>
        </w:rPr>
        <w:t>百分比</w:t>
      </w:r>
      <w:r>
        <w:rPr>
          <w:rFonts w:hint="default" w:ascii="仿宋" w:hAnsi="仿宋" w:eastAsia="仿宋" w:cs="仿宋"/>
          <w:kern w:val="2"/>
          <w:sz w:val="32"/>
          <w:szCs w:val="32"/>
          <w:lang w:val="en-US" w:eastAsia="zh-CN" w:bidi="ar-SA"/>
        </w:rPr>
        <w:t>，决算数大于年初预算数的主要原因是：</w:t>
      </w:r>
      <w:r>
        <w:rPr>
          <w:rFonts w:hint="eastAsia" w:ascii="仿宋" w:hAnsi="仿宋" w:eastAsia="仿宋" w:cs="仿宋"/>
          <w:kern w:val="2"/>
          <w:sz w:val="32"/>
          <w:szCs w:val="32"/>
          <w:lang w:val="en-US" w:eastAsia="zh-CN" w:bidi="ar-SA"/>
        </w:rPr>
        <w:t>年初未安排财政拨款预算，年中按规定通过申请预算追加解决工作人员工装经费。</w:t>
      </w:r>
      <w:r>
        <w:rPr>
          <w:rFonts w:hint="default" w:ascii="仿宋" w:hAnsi="仿宋" w:eastAsia="仿宋" w:cs="仿宋"/>
          <w:kern w:val="2"/>
          <w:sz w:val="32"/>
          <w:szCs w:val="32"/>
          <w:lang w:val="en-US" w:eastAsia="zh-CN" w:bidi="ar-SA"/>
        </w:rPr>
        <w:t xml:space="preserve"> </w:t>
      </w:r>
    </w:p>
    <w:p w14:paraId="4ED5E0B2">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3、</w:t>
      </w:r>
      <w:r>
        <w:rPr>
          <w:rFonts w:ascii="仿宋" w:hAnsi="仿宋" w:eastAsia="仿宋" w:cs="仿宋"/>
        </w:rPr>
        <w:t>一般公共服务</w:t>
      </w:r>
      <w:r>
        <w:rPr>
          <w:rFonts w:hint="eastAsia" w:ascii="仿宋" w:hAnsi="仿宋" w:eastAsia="仿宋" w:cs="仿宋"/>
          <w:lang w:eastAsia="zh-CN"/>
        </w:rPr>
        <w:t>支出</w:t>
      </w:r>
      <w:r>
        <w:rPr>
          <w:rFonts w:ascii="仿宋" w:hAnsi="仿宋" w:eastAsia="仿宋" w:cs="仿宋"/>
        </w:rPr>
        <w:t>（类）</w:t>
      </w:r>
      <w:r>
        <w:rPr>
          <w:rFonts w:hint="eastAsia" w:ascii="仿宋" w:hAnsi="仿宋" w:eastAsia="仿宋" w:cs="仿宋"/>
          <w:lang w:eastAsia="zh-CN"/>
        </w:rPr>
        <w:t>纪检监察事务</w:t>
      </w:r>
      <w:r>
        <w:rPr>
          <w:rFonts w:ascii="仿宋" w:hAnsi="仿宋" w:eastAsia="仿宋" w:cs="仿宋"/>
        </w:rPr>
        <w:t>（款）</w:t>
      </w:r>
      <w:r>
        <w:rPr>
          <w:rFonts w:hint="eastAsia" w:ascii="仿宋" w:hAnsi="仿宋" w:eastAsia="仿宋" w:cs="仿宋"/>
          <w:lang w:eastAsia="zh-CN"/>
        </w:rPr>
        <w:t>其他纪检监察事务支出</w:t>
      </w:r>
      <w:r>
        <w:rPr>
          <w:rFonts w:ascii="仿宋" w:hAnsi="仿宋" w:eastAsia="仿宋" w:cs="仿宋"/>
        </w:rPr>
        <w:t>（项）。</w:t>
      </w:r>
    </w:p>
    <w:p w14:paraId="184F6A00">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5.00</w:t>
      </w:r>
      <w:r>
        <w:rPr>
          <w:rFonts w:ascii="仿宋" w:hAnsi="仿宋" w:eastAsia="仿宋" w:cs="仿宋"/>
        </w:rPr>
        <w:t>万元，</w:t>
      </w:r>
      <w:r>
        <w:rPr>
          <w:rFonts w:hint="eastAsia" w:ascii="仿宋" w:hAnsi="仿宋" w:eastAsia="仿宋" w:cs="仿宋"/>
          <w:kern w:val="2"/>
          <w:sz w:val="32"/>
          <w:szCs w:val="32"/>
          <w:lang w:val="en-US" w:eastAsia="zh-CN" w:bidi="ar-SA"/>
        </w:rPr>
        <w:t>无法计算</w:t>
      </w:r>
      <w:r>
        <w:rPr>
          <w:rFonts w:hint="default" w:ascii="仿宋" w:hAnsi="仿宋" w:eastAsia="仿宋" w:cs="仿宋"/>
          <w:kern w:val="2"/>
          <w:sz w:val="32"/>
          <w:szCs w:val="32"/>
          <w:lang w:val="en-US" w:eastAsia="zh-CN" w:bidi="ar-SA"/>
        </w:rPr>
        <w:t>完成年初预算的</w:t>
      </w:r>
      <w:r>
        <w:rPr>
          <w:rFonts w:hint="eastAsia" w:ascii="仿宋" w:hAnsi="仿宋" w:eastAsia="仿宋" w:cs="仿宋"/>
          <w:kern w:val="2"/>
          <w:sz w:val="32"/>
          <w:szCs w:val="32"/>
          <w:lang w:val="en-US" w:eastAsia="zh-CN" w:bidi="ar-SA"/>
        </w:rPr>
        <w:t>百分比</w:t>
      </w:r>
      <w:r>
        <w:rPr>
          <w:rFonts w:hint="default" w:ascii="仿宋" w:hAnsi="仿宋" w:eastAsia="仿宋" w:cs="仿宋"/>
          <w:kern w:val="2"/>
          <w:sz w:val="32"/>
          <w:szCs w:val="32"/>
          <w:lang w:val="en-US" w:eastAsia="zh-CN" w:bidi="ar-SA"/>
        </w:rPr>
        <w:t>，</w:t>
      </w:r>
      <w:r>
        <w:rPr>
          <w:rFonts w:ascii="仿宋" w:hAnsi="仿宋" w:eastAsia="仿宋" w:cs="仿宋"/>
        </w:rPr>
        <w:t>决算数大于年初预算数的主要原因是：</w:t>
      </w:r>
      <w:r>
        <w:rPr>
          <w:rFonts w:hint="eastAsia" w:ascii="仿宋_GB2312" w:hAnsi="仿宋" w:eastAsia="仿宋_GB2312"/>
          <w:sz w:val="32"/>
          <w:szCs w:val="32"/>
        </w:rPr>
        <w:t>纪委拨付本单位2023年2#纪委监委办案工作经费</w:t>
      </w:r>
      <w:r>
        <w:rPr>
          <w:rFonts w:hint="eastAsia" w:ascii="仿宋" w:hAnsi="仿宋" w:eastAsia="仿宋" w:cs="仿宋"/>
          <w:lang w:eastAsia="zh-CN"/>
        </w:rPr>
        <w:t>。</w:t>
      </w:r>
    </w:p>
    <w:p w14:paraId="0BF51A07">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4、</w:t>
      </w:r>
      <w:r>
        <w:rPr>
          <w:rFonts w:ascii="仿宋" w:hAnsi="仿宋" w:eastAsia="仿宋" w:cs="仿宋"/>
        </w:rPr>
        <w:t>一般公共服务</w:t>
      </w:r>
      <w:r>
        <w:rPr>
          <w:rFonts w:hint="eastAsia" w:ascii="仿宋" w:hAnsi="仿宋" w:eastAsia="仿宋" w:cs="仿宋"/>
          <w:lang w:eastAsia="zh-CN"/>
        </w:rPr>
        <w:t>支出</w:t>
      </w:r>
      <w:r>
        <w:rPr>
          <w:rFonts w:ascii="仿宋" w:hAnsi="仿宋" w:eastAsia="仿宋" w:cs="仿宋"/>
        </w:rPr>
        <w:t>（类）</w:t>
      </w:r>
      <w:r>
        <w:rPr>
          <w:rFonts w:hint="eastAsia" w:ascii="仿宋" w:hAnsi="仿宋" w:eastAsia="仿宋" w:cs="仿宋"/>
        </w:rPr>
        <w:t>其他一般公共服务支出</w:t>
      </w:r>
      <w:r>
        <w:rPr>
          <w:rFonts w:ascii="仿宋" w:hAnsi="仿宋" w:eastAsia="仿宋" w:cs="仿宋"/>
        </w:rPr>
        <w:t>（款）</w:t>
      </w:r>
      <w:r>
        <w:rPr>
          <w:rFonts w:hint="eastAsia" w:ascii="仿宋" w:hAnsi="仿宋" w:eastAsia="仿宋" w:cs="仿宋"/>
        </w:rPr>
        <w:t>其他一般公共服务支出</w:t>
      </w:r>
      <w:r>
        <w:rPr>
          <w:rFonts w:ascii="仿宋" w:hAnsi="仿宋" w:eastAsia="仿宋" w:cs="仿宋"/>
        </w:rPr>
        <w:t>（项）。</w:t>
      </w:r>
    </w:p>
    <w:p w14:paraId="28A2C75B">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7.39</w:t>
      </w:r>
      <w:r>
        <w:rPr>
          <w:rFonts w:ascii="仿宋" w:hAnsi="仿宋" w:eastAsia="仿宋" w:cs="仿宋"/>
        </w:rPr>
        <w:t>万元，</w:t>
      </w:r>
      <w:r>
        <w:rPr>
          <w:rFonts w:hint="eastAsia" w:ascii="仿宋" w:hAnsi="仿宋" w:eastAsia="仿宋" w:cs="仿宋"/>
          <w:lang w:val="en-US" w:eastAsia="zh-CN"/>
        </w:rPr>
        <w:t>无法计算</w:t>
      </w:r>
      <w:r>
        <w:rPr>
          <w:rFonts w:hint="default" w:ascii="仿宋" w:hAnsi="仿宋" w:eastAsia="仿宋" w:cs="仿宋"/>
          <w:lang w:val="en-US" w:eastAsia="zh-CN"/>
        </w:rPr>
        <w:t>完成年初预算的</w:t>
      </w:r>
      <w:r>
        <w:rPr>
          <w:rFonts w:hint="eastAsia" w:ascii="仿宋" w:hAnsi="仿宋" w:eastAsia="仿宋" w:cs="仿宋"/>
          <w:lang w:val="en-US" w:eastAsia="zh-CN"/>
        </w:rPr>
        <w:t>百分比</w:t>
      </w:r>
      <w:r>
        <w:rPr>
          <w:rFonts w:ascii="仿宋" w:hAnsi="仿宋" w:eastAsia="仿宋" w:cs="仿宋"/>
        </w:rPr>
        <w:t>，</w:t>
      </w:r>
      <w:r>
        <w:rPr>
          <w:rFonts w:hint="eastAsia" w:ascii="仿宋" w:hAnsi="仿宋" w:eastAsia="仿宋" w:cs="仿宋"/>
          <w:lang w:val="en-US" w:eastAsia="zh-CN"/>
        </w:rPr>
        <w:t>决算数大于年初预算数的主要原因是：年初未安排财政拨款预算，年中按规定通过申请预算追加解决渌口区政务中心改造费用。</w:t>
      </w:r>
    </w:p>
    <w:p w14:paraId="2B34498C">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5、科学技术支出（类）科学技术管理事务（款）其他科学技术管理事务支出（项）。</w:t>
      </w:r>
    </w:p>
    <w:p w14:paraId="37A85963">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年初预算为0万元，支出决算为211.42万元，无法计算</w:t>
      </w:r>
      <w:r>
        <w:rPr>
          <w:rFonts w:hint="default" w:ascii="仿宋" w:hAnsi="仿宋" w:eastAsia="仿宋" w:cs="仿宋"/>
          <w:lang w:val="en-US" w:eastAsia="zh-CN"/>
        </w:rPr>
        <w:t>完成年初预算的</w:t>
      </w:r>
      <w:r>
        <w:rPr>
          <w:rFonts w:hint="eastAsia" w:ascii="仿宋" w:hAnsi="仿宋" w:eastAsia="仿宋" w:cs="仿宋"/>
          <w:lang w:val="en-US" w:eastAsia="zh-CN"/>
        </w:rPr>
        <w:t>百分比，决算数大于年初预算数的主要原因是：年初未安排财政拨款预算，年中按规定通过申请预算追加解决“湘易办”超级服务端建设推广应用工作经费、规范村民建房监督管理平台新增功能模块、政务协同办公系统建设经费、区大数据中心问题设备更换费用、数字化基础支撑平台设备运维费、2023年渌口区电子政务外网链路租赁经费。</w:t>
      </w:r>
    </w:p>
    <w:p w14:paraId="7DF04178">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6、科学技术支出（类）其他科学技术支出（款）其他科学技术支出（项） 。</w:t>
      </w:r>
    </w:p>
    <w:p w14:paraId="079C0AFC">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35.47</w:t>
      </w:r>
      <w:r>
        <w:rPr>
          <w:rFonts w:ascii="仿宋" w:hAnsi="仿宋" w:eastAsia="仿宋" w:cs="仿宋"/>
        </w:rPr>
        <w:t>万元，</w:t>
      </w:r>
      <w:r>
        <w:rPr>
          <w:rFonts w:hint="eastAsia" w:ascii="仿宋" w:hAnsi="仿宋" w:eastAsia="仿宋" w:cs="仿宋"/>
          <w:lang w:val="en-US" w:eastAsia="zh-CN"/>
        </w:rPr>
        <w:t>无法计算</w:t>
      </w:r>
      <w:r>
        <w:rPr>
          <w:rFonts w:hint="default" w:ascii="仿宋" w:hAnsi="仿宋" w:eastAsia="仿宋" w:cs="仿宋"/>
          <w:lang w:val="en-US" w:eastAsia="zh-CN"/>
        </w:rPr>
        <w:t>完成年初预算的</w:t>
      </w:r>
      <w:r>
        <w:rPr>
          <w:rFonts w:hint="eastAsia" w:ascii="仿宋" w:hAnsi="仿宋" w:eastAsia="仿宋" w:cs="仿宋"/>
          <w:lang w:val="en-US" w:eastAsia="zh-CN"/>
        </w:rPr>
        <w:t>百分比</w:t>
      </w:r>
      <w:r>
        <w:rPr>
          <w:rFonts w:ascii="仿宋" w:hAnsi="仿宋" w:eastAsia="仿宋" w:cs="仿宋"/>
        </w:rPr>
        <w:t>，决算数大于年初预算数的主要原因是：</w:t>
      </w:r>
      <w:r>
        <w:rPr>
          <w:rFonts w:hint="eastAsia" w:ascii="仿宋" w:hAnsi="仿宋" w:eastAsia="仿宋" w:cs="仿宋"/>
        </w:rPr>
        <w:t>年初未安排财政拨款预算，年中按规定通过申请预算追加解决</w:t>
      </w:r>
      <w:r>
        <w:rPr>
          <w:rFonts w:hint="eastAsia" w:ascii="仿宋" w:hAnsi="仿宋" w:eastAsia="仿宋" w:cs="仿宋"/>
          <w:lang w:eastAsia="zh-CN"/>
        </w:rPr>
        <w:t>电子政务外网链路租赁经费、</w:t>
      </w:r>
      <w:r>
        <w:rPr>
          <w:rFonts w:hint="eastAsia" w:ascii="仿宋" w:hAnsi="仿宋" w:eastAsia="仿宋" w:cs="仿宋"/>
        </w:rPr>
        <w:t>2021年真抓实干督查激励奖励金</w:t>
      </w:r>
      <w:r>
        <w:rPr>
          <w:rFonts w:hint="eastAsia" w:ascii="仿宋" w:hAnsi="仿宋" w:eastAsia="仿宋" w:cs="仿宋"/>
          <w:lang w:eastAsia="zh-CN"/>
        </w:rPr>
        <w:t>。</w:t>
      </w:r>
    </w:p>
    <w:p w14:paraId="7191FC3A">
      <w:pPr>
        <w:pStyle w:val="5"/>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社会保障和就业支出（类）行政事业单位养老支出（款）行政单位离退休（项）</w:t>
      </w:r>
    </w:p>
    <w:p w14:paraId="7B8A2951">
      <w:pPr>
        <w:snapToGrid w:val="0"/>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年初预算为0万元，支出决算为0.24万元，无法计算</w:t>
      </w:r>
      <w:r>
        <w:rPr>
          <w:rFonts w:hint="default" w:ascii="仿宋" w:hAnsi="仿宋" w:eastAsia="仿宋" w:cs="仿宋"/>
          <w:kern w:val="2"/>
          <w:sz w:val="32"/>
          <w:szCs w:val="32"/>
          <w:lang w:val="en-US" w:eastAsia="zh-CN" w:bidi="ar-SA"/>
        </w:rPr>
        <w:t>完成年初预算的</w:t>
      </w:r>
      <w:r>
        <w:rPr>
          <w:rFonts w:hint="eastAsia" w:ascii="仿宋" w:hAnsi="仿宋" w:eastAsia="仿宋" w:cs="仿宋"/>
          <w:kern w:val="2"/>
          <w:sz w:val="32"/>
          <w:szCs w:val="32"/>
          <w:lang w:val="en-US" w:eastAsia="zh-CN" w:bidi="ar-SA"/>
        </w:rPr>
        <w:t>百分比，决算数大于年初预算数的主要原因是：年初未安排财政拨款预算，年中财政安排2024年上半年机关事业单位退休人员绩效奖金。</w:t>
      </w:r>
    </w:p>
    <w:p w14:paraId="38A6B103">
      <w:pPr>
        <w:pStyle w:val="5"/>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社会保障和就业支出（类）行政事业单位养老支出（款）机关事业单位基本养老保险缴费支出（项）</w:t>
      </w:r>
    </w:p>
    <w:p w14:paraId="3644B909">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年初预算为22.06万元，支出决算为</w:t>
      </w:r>
      <w:r>
        <w:rPr>
          <w:rFonts w:hint="eastAsia" w:ascii="仿宋" w:hAnsi="仿宋" w:eastAsia="仿宋" w:cs="仿宋"/>
          <w:lang w:val="en-US" w:eastAsia="zh-CN"/>
        </w:rPr>
        <w:t>22.06</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%，决算数</w:t>
      </w:r>
      <w:r>
        <w:rPr>
          <w:rFonts w:hint="eastAsia" w:ascii="仿宋" w:hAnsi="仿宋" w:eastAsia="仿宋" w:cs="仿宋"/>
          <w:lang w:eastAsia="zh-CN"/>
        </w:rPr>
        <w:t>与</w:t>
      </w:r>
      <w:r>
        <w:rPr>
          <w:rFonts w:ascii="仿宋" w:hAnsi="仿宋" w:eastAsia="仿宋" w:cs="仿宋"/>
        </w:rPr>
        <w:t>年初预算数</w:t>
      </w:r>
      <w:r>
        <w:rPr>
          <w:rFonts w:hint="eastAsia" w:ascii="仿宋" w:hAnsi="仿宋" w:eastAsia="仿宋" w:cs="仿宋"/>
          <w:lang w:eastAsia="zh-CN"/>
        </w:rPr>
        <w:t>一致，本部门严格按预算执行决算。</w:t>
      </w:r>
    </w:p>
    <w:p w14:paraId="4FCE8152">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9、住房保障支出（类）住房改革支出（款）住房公积金（项）</w:t>
      </w:r>
      <w:r>
        <w:rPr>
          <w:rFonts w:hint="default" w:ascii="仿宋" w:hAnsi="仿宋" w:eastAsia="仿宋" w:cs="仿宋"/>
          <w:lang w:val="en-US" w:eastAsia="zh-CN"/>
        </w:rPr>
        <w:t xml:space="preserve"> </w:t>
      </w:r>
    </w:p>
    <w:p w14:paraId="054E38EE">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lang w:val="en-US" w:eastAsia="zh-CN"/>
        </w:rPr>
        <w:t>年初预算为</w:t>
      </w:r>
      <w:r>
        <w:rPr>
          <w:rFonts w:ascii="仿宋" w:hAnsi="仿宋" w:eastAsia="仿宋" w:cs="仿宋"/>
        </w:rPr>
        <w:t>18.21</w:t>
      </w:r>
      <w:r>
        <w:rPr>
          <w:rFonts w:hint="eastAsia" w:ascii="仿宋" w:hAnsi="仿宋" w:eastAsia="仿宋" w:cs="仿宋"/>
          <w:lang w:val="en-US" w:eastAsia="zh-CN"/>
        </w:rPr>
        <w:t>万元</w:t>
      </w:r>
      <w:r>
        <w:rPr>
          <w:rFonts w:hint="eastAsia" w:ascii="仿宋" w:hAnsi="仿宋" w:eastAsia="仿宋" w:cs="仿宋"/>
          <w:kern w:val="2"/>
          <w:sz w:val="32"/>
          <w:szCs w:val="32"/>
          <w:lang w:val="en-US" w:eastAsia="zh-CN" w:bidi="ar-SA"/>
        </w:rPr>
        <w:t>，支出决算为19.98万元，完成年初预算的109.72%。</w:t>
      </w:r>
      <w:r>
        <w:rPr>
          <w:rFonts w:ascii="仿宋" w:hAnsi="仿宋" w:eastAsia="仿宋" w:cs="仿宋"/>
        </w:rPr>
        <w:t>决算数大于年初预算数的主要原因是：</w:t>
      </w:r>
      <w:r>
        <w:rPr>
          <w:rFonts w:hint="eastAsia" w:ascii="仿宋" w:hAnsi="仿宋" w:eastAsia="仿宋" w:cs="仿宋"/>
          <w:lang w:eastAsia="zh-CN"/>
        </w:rPr>
        <w:t>人员异动调整、薪资调标，</w:t>
      </w:r>
      <w:r>
        <w:rPr>
          <w:rFonts w:hint="eastAsia" w:ascii="仿宋_GB2312" w:hAnsi="仿宋" w:eastAsia="仿宋_GB2312"/>
          <w:sz w:val="32"/>
          <w:szCs w:val="32"/>
        </w:rPr>
        <w:t>住房公积金缴费基数上调</w:t>
      </w:r>
      <w:r>
        <w:rPr>
          <w:rFonts w:hint="eastAsia" w:ascii="仿宋" w:hAnsi="仿宋" w:eastAsia="仿宋" w:cs="仿宋"/>
          <w:lang w:eastAsia="zh-CN"/>
        </w:rPr>
        <w:t>。</w:t>
      </w:r>
    </w:p>
    <w:p w14:paraId="6F2D9F27">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2DD8B65D">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2024年度一般公共预算财政拨款基本支出726.38万元，其中：</w:t>
      </w:r>
    </w:p>
    <w:p w14:paraId="19C4AAA0">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default" w:ascii="仿宋" w:hAnsi="仿宋" w:eastAsia="仿宋" w:cs="仿宋"/>
          <w:lang w:val="en-US" w:eastAsia="zh-CN"/>
        </w:rPr>
        <w:t>人员经费</w:t>
      </w:r>
      <w:r>
        <w:rPr>
          <w:rFonts w:hint="eastAsia" w:ascii="仿宋" w:hAnsi="仿宋" w:eastAsia="仿宋" w:cs="仿宋"/>
          <w:lang w:val="en-US" w:eastAsia="zh-CN"/>
        </w:rPr>
        <w:t>340.64</w:t>
      </w:r>
      <w:r>
        <w:rPr>
          <w:rFonts w:hint="default" w:ascii="仿宋" w:hAnsi="仿宋" w:eastAsia="仿宋" w:cs="仿宋"/>
          <w:lang w:val="en-US" w:eastAsia="zh-CN"/>
        </w:rPr>
        <w:t>万元，占基本支出的</w:t>
      </w:r>
      <w:r>
        <w:rPr>
          <w:rFonts w:hint="eastAsia" w:ascii="仿宋" w:hAnsi="仿宋" w:eastAsia="仿宋" w:cs="仿宋"/>
          <w:lang w:val="en-US" w:eastAsia="zh-CN"/>
        </w:rPr>
        <w:t>46.90</w:t>
      </w:r>
      <w:r>
        <w:rPr>
          <w:rFonts w:hint="default" w:ascii="仿宋" w:hAnsi="仿宋" w:eastAsia="仿宋" w:cs="仿宋"/>
          <w:lang w:val="en-US" w:eastAsia="zh-CN"/>
        </w:rPr>
        <w:t xml:space="preserve"> %,主要包括基本工资、津贴补贴、奖金、</w:t>
      </w:r>
      <w:r>
        <w:rPr>
          <w:rFonts w:hint="eastAsia" w:ascii="仿宋" w:hAnsi="仿宋" w:eastAsia="仿宋" w:cs="仿宋"/>
          <w:lang w:val="en-US" w:eastAsia="zh-CN"/>
        </w:rPr>
        <w:t>绩效工资、机关事业单位基本养老保险缴费、职工基本医疗保险缴费、其他社会保障缴费、住房公积金、医疗费、其他工资福利支出、生活补助、医疗费补助、奖励金。</w:t>
      </w:r>
      <w:r>
        <w:rPr>
          <w:rFonts w:hint="default" w:ascii="仿宋" w:hAnsi="仿宋" w:eastAsia="仿宋" w:cs="仿宋"/>
          <w:lang w:val="en-US" w:eastAsia="zh-CN"/>
        </w:rPr>
        <w:t>公用经费</w:t>
      </w:r>
      <w:r>
        <w:rPr>
          <w:rFonts w:hint="eastAsia" w:ascii="仿宋" w:hAnsi="仿宋" w:eastAsia="仿宋" w:cs="仿宋"/>
          <w:lang w:val="en-US" w:eastAsia="zh-CN"/>
        </w:rPr>
        <w:t>385.74</w:t>
      </w:r>
      <w:r>
        <w:rPr>
          <w:rFonts w:hint="default" w:ascii="仿宋" w:hAnsi="仿宋" w:eastAsia="仿宋" w:cs="仿宋"/>
          <w:lang w:val="en-US" w:eastAsia="zh-CN"/>
        </w:rPr>
        <w:t>万元，占基本支出的</w:t>
      </w:r>
      <w:r>
        <w:rPr>
          <w:rFonts w:hint="eastAsia" w:ascii="仿宋" w:hAnsi="仿宋" w:eastAsia="仿宋" w:cs="仿宋"/>
          <w:lang w:val="en-US" w:eastAsia="zh-CN"/>
        </w:rPr>
        <w:t>53.10</w:t>
      </w:r>
      <w:r>
        <w:rPr>
          <w:rFonts w:hint="default" w:ascii="仿宋" w:hAnsi="仿宋" w:eastAsia="仿宋" w:cs="仿宋"/>
          <w:lang w:val="en-US" w:eastAsia="zh-CN"/>
        </w:rPr>
        <w:t xml:space="preserve"> %，主要包括办公费、印刷费、</w:t>
      </w:r>
      <w:r>
        <w:rPr>
          <w:rFonts w:hint="eastAsia" w:ascii="仿宋" w:hAnsi="仿宋" w:eastAsia="仿宋" w:cs="仿宋"/>
          <w:lang w:val="en-US" w:eastAsia="zh-CN"/>
        </w:rPr>
        <w:t>水费、电费、邮电费、物业管理费、差旅费、维修（护）费、租赁费、培训费、劳务费、工会经费、福利费、其他交通费用、其他商品服务支出。</w:t>
      </w:r>
    </w:p>
    <w:p w14:paraId="75442B5E">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4E30702B">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686F59C6">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，无法计算百分比；</w:t>
      </w:r>
      <w:r>
        <w:rPr>
          <w:rFonts w:ascii="仿宋" w:hAnsi="仿宋" w:eastAsia="仿宋" w:cs="仿宋"/>
        </w:rPr>
        <w:t>与上年相比增加</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%。决算数</w:t>
      </w:r>
      <w:r>
        <w:rPr>
          <w:rFonts w:hint="eastAsia" w:ascii="仿宋" w:hAnsi="仿宋" w:eastAsia="仿宋" w:cs="仿宋"/>
          <w:lang w:eastAsia="zh-CN"/>
        </w:rPr>
        <w:t>与</w:t>
      </w:r>
      <w:r>
        <w:rPr>
          <w:rFonts w:ascii="仿宋" w:hAnsi="仿宋" w:eastAsia="仿宋" w:cs="仿宋"/>
        </w:rPr>
        <w:t>预算数</w:t>
      </w:r>
      <w:r>
        <w:rPr>
          <w:rFonts w:hint="eastAsia" w:ascii="仿宋" w:hAnsi="仿宋" w:eastAsia="仿宋" w:cs="仿宋"/>
          <w:lang w:eastAsia="zh-CN"/>
        </w:rPr>
        <w:t>一致，本部门严格按预算执行决算</w:t>
      </w:r>
      <w:r>
        <w:rPr>
          <w:rFonts w:ascii="仿宋" w:hAnsi="仿宋" w:eastAsia="仿宋" w:cs="仿宋"/>
        </w:rPr>
        <w:t>。决算数</w:t>
      </w:r>
      <w:r>
        <w:rPr>
          <w:rFonts w:hint="eastAsia" w:ascii="仿宋" w:hAnsi="仿宋" w:eastAsia="仿宋" w:cs="仿宋"/>
          <w:lang w:eastAsia="zh-CN"/>
        </w:rPr>
        <w:t>与</w:t>
      </w:r>
      <w:r>
        <w:rPr>
          <w:rFonts w:ascii="仿宋" w:hAnsi="仿宋" w:eastAsia="仿宋" w:cs="仿宋"/>
        </w:rPr>
        <w:t>上年数</w:t>
      </w:r>
      <w:r>
        <w:rPr>
          <w:rFonts w:hint="eastAsia" w:ascii="仿宋" w:hAnsi="仿宋" w:eastAsia="仿宋" w:cs="仿宋"/>
          <w:lang w:eastAsia="zh-CN"/>
        </w:rPr>
        <w:t>一致，本部门</w:t>
      </w:r>
      <w:r>
        <w:rPr>
          <w:rFonts w:hint="eastAsia" w:ascii="仿宋" w:hAnsi="仿宋" w:eastAsia="仿宋" w:cs="仿宋"/>
        </w:rPr>
        <w:t>严格遵照中央“八项规定”以及省、市有关“三公”经费管理办法的规定，积极贯彻落实中央关于厉行节约的要求，严格控制公务接待范围和接待标准，本年度</w:t>
      </w:r>
      <w:r>
        <w:rPr>
          <w:rFonts w:hint="eastAsia" w:ascii="仿宋" w:hAnsi="仿宋" w:eastAsia="仿宋" w:cs="仿宋"/>
          <w:lang w:eastAsia="zh-CN"/>
        </w:rPr>
        <w:t>与上年度均</w:t>
      </w:r>
      <w:r>
        <w:rPr>
          <w:rFonts w:hint="eastAsia" w:ascii="仿宋" w:hAnsi="仿宋" w:eastAsia="仿宋" w:cs="仿宋"/>
        </w:rPr>
        <w:t>无</w:t>
      </w:r>
      <w:r>
        <w:rPr>
          <w:rFonts w:hint="eastAsia" w:ascii="仿宋" w:hAnsi="仿宋" w:eastAsia="仿宋" w:cs="仿宋"/>
          <w:lang w:val="en-US" w:eastAsia="zh-CN"/>
        </w:rPr>
        <w:t>因公出国（境）费支出、</w:t>
      </w:r>
      <w:r>
        <w:rPr>
          <w:rFonts w:ascii="仿宋" w:hAnsi="仿宋" w:eastAsia="仿宋" w:cs="仿宋"/>
        </w:rPr>
        <w:t>公务用车购置费及运行维护费支出</w:t>
      </w:r>
      <w:r>
        <w:rPr>
          <w:rFonts w:hint="eastAsia" w:ascii="仿宋" w:hAnsi="仿宋" w:eastAsia="仿宋" w:cs="仿宋"/>
          <w:lang w:eastAsia="zh-CN"/>
        </w:rPr>
        <w:t>、</w:t>
      </w:r>
      <w:r>
        <w:rPr>
          <w:rFonts w:ascii="仿宋" w:hAnsi="仿宋" w:eastAsia="仿宋" w:cs="仿宋"/>
        </w:rPr>
        <w:t>公务接待费支出。</w:t>
      </w:r>
    </w:p>
    <w:p w14:paraId="75EC53B4">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617D3F5B">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1.因公出国（境）费支出预算为0万元，支出决算为0万元，无法计算百分比；</w:t>
      </w:r>
      <w:r>
        <w:rPr>
          <w:rFonts w:ascii="仿宋" w:hAnsi="仿宋" w:eastAsia="仿宋" w:cs="仿宋"/>
        </w:rPr>
        <w:t>与上年相比增加</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w:t>
      </w:r>
      <w:r>
        <w:rPr>
          <w:rFonts w:hint="eastAsia" w:ascii="仿宋" w:hAnsi="仿宋" w:eastAsia="仿宋" w:cs="仿宋"/>
          <w:lang w:val="en-US" w:eastAsia="zh-CN"/>
        </w:rPr>
        <w:t>决算数与预算数一致，本部门严格按预算执行决算。</w:t>
      </w:r>
      <w:r>
        <w:rPr>
          <w:rFonts w:ascii="仿宋" w:hAnsi="仿宋" w:eastAsia="仿宋" w:cs="仿宋"/>
        </w:rPr>
        <w:t>决算数</w:t>
      </w:r>
      <w:r>
        <w:rPr>
          <w:rFonts w:hint="eastAsia" w:ascii="仿宋" w:hAnsi="仿宋" w:eastAsia="仿宋" w:cs="仿宋"/>
          <w:lang w:eastAsia="zh-CN"/>
        </w:rPr>
        <w:t>与</w:t>
      </w:r>
      <w:r>
        <w:rPr>
          <w:rFonts w:ascii="仿宋" w:hAnsi="仿宋" w:eastAsia="仿宋" w:cs="仿宋"/>
        </w:rPr>
        <w:t>上年数</w:t>
      </w:r>
      <w:r>
        <w:rPr>
          <w:rFonts w:hint="eastAsia" w:ascii="仿宋" w:hAnsi="仿宋" w:eastAsia="仿宋" w:cs="仿宋"/>
          <w:lang w:eastAsia="zh-CN"/>
        </w:rPr>
        <w:t>一致</w:t>
      </w:r>
      <w:r>
        <w:rPr>
          <w:rFonts w:ascii="仿宋" w:hAnsi="仿宋" w:eastAsia="仿宋" w:cs="仿宋"/>
        </w:rPr>
        <w:t>。</w:t>
      </w:r>
      <w:r>
        <w:rPr>
          <w:rFonts w:hint="eastAsia" w:ascii="仿宋" w:hAnsi="仿宋" w:eastAsia="仿宋" w:cs="仿宋"/>
        </w:rPr>
        <w:t>本年度</w:t>
      </w:r>
      <w:r>
        <w:rPr>
          <w:rFonts w:hint="eastAsia" w:ascii="仿宋" w:hAnsi="仿宋" w:eastAsia="仿宋" w:cs="仿宋"/>
          <w:lang w:eastAsia="zh-CN"/>
        </w:rPr>
        <w:t>与上年度均</w:t>
      </w:r>
      <w:r>
        <w:rPr>
          <w:rFonts w:hint="eastAsia" w:ascii="仿宋" w:hAnsi="仿宋" w:eastAsia="仿宋" w:cs="仿宋"/>
        </w:rPr>
        <w:t>无</w:t>
      </w:r>
      <w:r>
        <w:rPr>
          <w:rFonts w:hint="eastAsia" w:ascii="仿宋" w:hAnsi="仿宋" w:eastAsia="仿宋" w:cs="仿宋"/>
          <w:lang w:val="en-US" w:eastAsia="zh-CN"/>
        </w:rPr>
        <w:t>因公出国（境）费支出。</w:t>
      </w:r>
    </w:p>
    <w:p w14:paraId="382155E4">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val="en-US" w:eastAsia="zh-CN"/>
        </w:rPr>
        <w:t>无法计算百分比</w:t>
      </w:r>
      <w:r>
        <w:rPr>
          <w:rFonts w:ascii="仿宋" w:hAnsi="仿宋" w:eastAsia="仿宋" w:cs="仿宋"/>
        </w:rPr>
        <w:t>；与上年相比增加</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%。其中：</w:t>
      </w:r>
    </w:p>
    <w:p w14:paraId="0B25C9A1">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val="en-US" w:eastAsia="zh-CN"/>
        </w:rPr>
        <w:t>无法计算百分比</w:t>
      </w:r>
      <w:r>
        <w:rPr>
          <w:rFonts w:ascii="仿宋" w:hAnsi="仿宋" w:eastAsia="仿宋" w:cs="仿宋"/>
        </w:rPr>
        <w:t>；与上年相比增加</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%。决算数</w:t>
      </w:r>
      <w:r>
        <w:rPr>
          <w:rFonts w:hint="eastAsia" w:ascii="仿宋" w:hAnsi="仿宋" w:eastAsia="仿宋" w:cs="仿宋"/>
          <w:lang w:eastAsia="zh-CN"/>
        </w:rPr>
        <w:t>与</w:t>
      </w:r>
      <w:r>
        <w:rPr>
          <w:rFonts w:ascii="仿宋" w:hAnsi="仿宋" w:eastAsia="仿宋" w:cs="仿宋"/>
        </w:rPr>
        <w:t>预算数</w:t>
      </w:r>
      <w:r>
        <w:rPr>
          <w:rFonts w:hint="eastAsia" w:ascii="仿宋" w:hAnsi="仿宋" w:eastAsia="仿宋" w:cs="仿宋"/>
          <w:lang w:eastAsia="zh-CN"/>
        </w:rPr>
        <w:t>一致</w:t>
      </w:r>
      <w:r>
        <w:rPr>
          <w:rFonts w:ascii="仿宋" w:hAnsi="仿宋" w:eastAsia="仿宋" w:cs="仿宋"/>
        </w:rPr>
        <w:t>，</w:t>
      </w:r>
      <w:r>
        <w:rPr>
          <w:rFonts w:hint="eastAsia" w:ascii="仿宋" w:hAnsi="仿宋" w:eastAsia="仿宋" w:cs="仿宋"/>
          <w:lang w:val="en-US" w:eastAsia="zh-CN"/>
        </w:rPr>
        <w:t>本部门严格按预算执行决算。</w:t>
      </w:r>
      <w:r>
        <w:rPr>
          <w:rFonts w:ascii="仿宋" w:hAnsi="仿宋" w:eastAsia="仿宋" w:cs="仿宋"/>
        </w:rPr>
        <w:t>决算数</w:t>
      </w:r>
      <w:r>
        <w:rPr>
          <w:rFonts w:hint="eastAsia" w:ascii="仿宋" w:hAnsi="仿宋" w:eastAsia="仿宋" w:cs="仿宋"/>
          <w:lang w:eastAsia="zh-CN"/>
        </w:rPr>
        <w:t>与</w:t>
      </w:r>
      <w:r>
        <w:rPr>
          <w:rFonts w:ascii="仿宋" w:hAnsi="仿宋" w:eastAsia="仿宋" w:cs="仿宋"/>
        </w:rPr>
        <w:t>上年数</w:t>
      </w:r>
      <w:r>
        <w:rPr>
          <w:rFonts w:hint="eastAsia" w:ascii="仿宋" w:hAnsi="仿宋" w:eastAsia="仿宋" w:cs="仿宋"/>
          <w:lang w:eastAsia="zh-CN"/>
        </w:rPr>
        <w:t>一致，</w:t>
      </w:r>
      <w:r>
        <w:rPr>
          <w:rFonts w:hint="eastAsia" w:ascii="仿宋" w:hAnsi="仿宋" w:eastAsia="仿宋" w:cs="仿宋"/>
        </w:rPr>
        <w:t>本年度</w:t>
      </w:r>
      <w:r>
        <w:rPr>
          <w:rFonts w:hint="eastAsia" w:ascii="仿宋" w:hAnsi="仿宋" w:eastAsia="仿宋" w:cs="仿宋"/>
          <w:lang w:eastAsia="zh-CN"/>
        </w:rPr>
        <w:t>与上年度均</w:t>
      </w:r>
      <w:r>
        <w:rPr>
          <w:rFonts w:hint="eastAsia" w:ascii="仿宋" w:hAnsi="仿宋" w:eastAsia="仿宋" w:cs="仿宋"/>
        </w:rPr>
        <w:t>无</w:t>
      </w:r>
      <w:r>
        <w:rPr>
          <w:rFonts w:ascii="仿宋" w:hAnsi="仿宋" w:eastAsia="仿宋" w:cs="仿宋"/>
        </w:rPr>
        <w:t>公务用车购置费支出</w:t>
      </w:r>
      <w:r>
        <w:rPr>
          <w:rFonts w:hint="eastAsia" w:ascii="仿宋" w:hAnsi="仿宋" w:eastAsia="仿宋" w:cs="仿宋"/>
          <w:lang w:val="en-US" w:eastAsia="zh-CN"/>
        </w:rPr>
        <w:t>。</w:t>
      </w:r>
      <w:r>
        <w:rPr>
          <w:rFonts w:hint="eastAsia" w:ascii="仿宋" w:hAnsi="仿宋" w:eastAsia="仿宋" w:cs="仿宋"/>
          <w:lang w:eastAsia="zh-CN"/>
        </w:rPr>
        <w:t>本部门</w:t>
      </w:r>
      <w:r>
        <w:rPr>
          <w:rFonts w:ascii="仿宋" w:hAnsi="仿宋" w:eastAsia="仿宋" w:cs="仿宋"/>
        </w:rPr>
        <w:t>更新公务用车</w:t>
      </w:r>
      <w:r>
        <w:rPr>
          <w:rFonts w:hint="eastAsia" w:ascii="仿宋" w:hAnsi="仿宋" w:eastAsia="仿宋" w:cs="仿宋"/>
          <w:lang w:val="en-US" w:eastAsia="zh-CN"/>
        </w:rPr>
        <w:t>0</w:t>
      </w:r>
      <w:r>
        <w:rPr>
          <w:rFonts w:ascii="仿宋" w:hAnsi="仿宋" w:eastAsia="仿宋" w:cs="仿宋"/>
        </w:rPr>
        <w:t>辆。</w:t>
      </w:r>
    </w:p>
    <w:p w14:paraId="6BB0FA8A">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val="en-US" w:eastAsia="zh-CN"/>
        </w:rPr>
        <w:t>无法计算百分比</w:t>
      </w:r>
      <w:r>
        <w:rPr>
          <w:rFonts w:ascii="仿宋" w:hAnsi="仿宋" w:eastAsia="仿宋" w:cs="仿宋"/>
        </w:rPr>
        <w:t>；与上年相比增加</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%。决算数</w:t>
      </w:r>
      <w:r>
        <w:rPr>
          <w:rFonts w:hint="eastAsia" w:ascii="仿宋" w:hAnsi="仿宋" w:eastAsia="仿宋" w:cs="仿宋"/>
          <w:lang w:eastAsia="zh-CN"/>
        </w:rPr>
        <w:t>与</w:t>
      </w:r>
      <w:r>
        <w:rPr>
          <w:rFonts w:ascii="仿宋" w:hAnsi="仿宋" w:eastAsia="仿宋" w:cs="仿宋"/>
        </w:rPr>
        <w:t>预算数</w:t>
      </w:r>
      <w:r>
        <w:rPr>
          <w:rFonts w:hint="eastAsia" w:ascii="仿宋" w:hAnsi="仿宋" w:eastAsia="仿宋" w:cs="仿宋"/>
          <w:lang w:eastAsia="zh-CN"/>
        </w:rPr>
        <w:t>一致，</w:t>
      </w:r>
      <w:r>
        <w:rPr>
          <w:rFonts w:hint="eastAsia" w:ascii="仿宋" w:hAnsi="仿宋" w:eastAsia="仿宋" w:cs="仿宋"/>
          <w:lang w:val="en-US" w:eastAsia="zh-CN"/>
        </w:rPr>
        <w:t>本部门严格按预算执行决算</w:t>
      </w:r>
      <w:r>
        <w:rPr>
          <w:rFonts w:ascii="仿宋" w:hAnsi="仿宋" w:eastAsia="仿宋" w:cs="仿宋"/>
        </w:rPr>
        <w:t>。决算数</w:t>
      </w:r>
      <w:r>
        <w:rPr>
          <w:rFonts w:hint="eastAsia" w:ascii="仿宋" w:hAnsi="仿宋" w:eastAsia="仿宋" w:cs="仿宋"/>
          <w:lang w:eastAsia="zh-CN"/>
        </w:rPr>
        <w:t>与</w:t>
      </w:r>
      <w:r>
        <w:rPr>
          <w:rFonts w:ascii="仿宋" w:hAnsi="仿宋" w:eastAsia="仿宋" w:cs="仿宋"/>
        </w:rPr>
        <w:t>上年数</w:t>
      </w:r>
      <w:r>
        <w:rPr>
          <w:rFonts w:hint="eastAsia" w:ascii="仿宋" w:hAnsi="仿宋" w:eastAsia="仿宋" w:cs="仿宋"/>
          <w:lang w:eastAsia="zh-CN"/>
        </w:rPr>
        <w:t>一致，</w:t>
      </w:r>
      <w:r>
        <w:rPr>
          <w:rFonts w:hint="eastAsia" w:ascii="仿宋" w:hAnsi="仿宋" w:eastAsia="仿宋" w:cs="仿宋"/>
        </w:rPr>
        <w:t>本年度</w:t>
      </w:r>
      <w:r>
        <w:rPr>
          <w:rFonts w:hint="eastAsia" w:ascii="仿宋" w:hAnsi="仿宋" w:eastAsia="仿宋" w:cs="仿宋"/>
          <w:lang w:eastAsia="zh-CN"/>
        </w:rPr>
        <w:t>与上年度均</w:t>
      </w:r>
      <w:r>
        <w:rPr>
          <w:rFonts w:hint="eastAsia" w:ascii="仿宋" w:hAnsi="仿宋" w:eastAsia="仿宋" w:cs="仿宋"/>
        </w:rPr>
        <w:t>无</w:t>
      </w:r>
      <w:r>
        <w:rPr>
          <w:rFonts w:ascii="仿宋" w:hAnsi="仿宋" w:eastAsia="仿宋" w:cs="仿宋"/>
        </w:rPr>
        <w:t>公务用车运行维护费支出。截止2024年12月31日，我单位开支财政拨款的公务用车保有量为</w:t>
      </w:r>
      <w:r>
        <w:rPr>
          <w:rFonts w:hint="eastAsia" w:ascii="仿宋" w:hAnsi="仿宋" w:eastAsia="仿宋" w:cs="仿宋"/>
          <w:lang w:val="en-US" w:eastAsia="zh-CN"/>
        </w:rPr>
        <w:t>0</w:t>
      </w:r>
      <w:r>
        <w:rPr>
          <w:rFonts w:ascii="仿宋" w:hAnsi="仿宋" w:eastAsia="仿宋" w:cs="仿宋"/>
        </w:rPr>
        <w:t>辆。</w:t>
      </w:r>
    </w:p>
    <w:p w14:paraId="43A2138C">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w:t>
      </w:r>
      <w:r>
        <w:rPr>
          <w:rFonts w:hint="eastAsia" w:ascii="仿宋" w:hAnsi="仿宋" w:eastAsia="仿宋" w:cs="仿宋"/>
          <w:lang w:val="en-US" w:eastAsia="zh-CN"/>
        </w:rPr>
        <w:t>无法计算百分比</w:t>
      </w:r>
      <w:r>
        <w:rPr>
          <w:rFonts w:ascii="仿宋" w:hAnsi="仿宋" w:eastAsia="仿宋" w:cs="仿宋"/>
        </w:rPr>
        <w:t>；与上年相比增加</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%。决算数</w:t>
      </w:r>
      <w:r>
        <w:rPr>
          <w:rFonts w:hint="eastAsia" w:ascii="仿宋" w:hAnsi="仿宋" w:eastAsia="仿宋" w:cs="仿宋"/>
          <w:lang w:eastAsia="zh-CN"/>
        </w:rPr>
        <w:t>与</w:t>
      </w:r>
      <w:r>
        <w:rPr>
          <w:rFonts w:ascii="仿宋" w:hAnsi="仿宋" w:eastAsia="仿宋" w:cs="仿宋"/>
        </w:rPr>
        <w:t>预算数</w:t>
      </w:r>
      <w:r>
        <w:rPr>
          <w:rFonts w:hint="eastAsia" w:ascii="仿宋" w:hAnsi="仿宋" w:eastAsia="仿宋" w:cs="仿宋"/>
          <w:lang w:eastAsia="zh-CN"/>
        </w:rPr>
        <w:t>一致，</w:t>
      </w:r>
      <w:r>
        <w:rPr>
          <w:rFonts w:hint="eastAsia" w:ascii="仿宋" w:hAnsi="仿宋" w:eastAsia="仿宋" w:cs="仿宋"/>
          <w:lang w:val="en-US" w:eastAsia="zh-CN"/>
        </w:rPr>
        <w:t>本部门严格按预算执行决算</w:t>
      </w:r>
      <w:r>
        <w:rPr>
          <w:rFonts w:ascii="仿宋" w:hAnsi="仿宋" w:eastAsia="仿宋" w:cs="仿宋"/>
        </w:rPr>
        <w:t>。决算数</w:t>
      </w:r>
      <w:r>
        <w:rPr>
          <w:rFonts w:hint="eastAsia" w:ascii="仿宋" w:hAnsi="仿宋" w:eastAsia="仿宋" w:cs="仿宋"/>
          <w:lang w:eastAsia="zh-CN"/>
        </w:rPr>
        <w:t>与</w:t>
      </w:r>
      <w:r>
        <w:rPr>
          <w:rFonts w:ascii="仿宋" w:hAnsi="仿宋" w:eastAsia="仿宋" w:cs="仿宋"/>
        </w:rPr>
        <w:t>上年数</w:t>
      </w:r>
      <w:r>
        <w:rPr>
          <w:rFonts w:hint="eastAsia" w:ascii="仿宋" w:hAnsi="仿宋" w:eastAsia="仿宋" w:cs="仿宋"/>
          <w:lang w:eastAsia="zh-CN"/>
        </w:rPr>
        <w:t>一致，</w:t>
      </w:r>
      <w:r>
        <w:rPr>
          <w:rFonts w:hint="eastAsia" w:ascii="仿宋" w:hAnsi="仿宋" w:eastAsia="仿宋" w:cs="仿宋"/>
        </w:rPr>
        <w:t>本年度</w:t>
      </w:r>
      <w:r>
        <w:rPr>
          <w:rFonts w:hint="eastAsia" w:ascii="仿宋" w:hAnsi="仿宋" w:eastAsia="仿宋" w:cs="仿宋"/>
          <w:lang w:eastAsia="zh-CN"/>
        </w:rPr>
        <w:t>与上年度均</w:t>
      </w:r>
      <w:r>
        <w:rPr>
          <w:rFonts w:hint="eastAsia" w:ascii="仿宋" w:hAnsi="仿宋" w:eastAsia="仿宋" w:cs="仿宋"/>
        </w:rPr>
        <w:t>无</w:t>
      </w:r>
      <w:r>
        <w:rPr>
          <w:rFonts w:ascii="仿宋" w:hAnsi="仿宋" w:eastAsia="仿宋" w:cs="仿宋"/>
        </w:rPr>
        <w:t>公务接待费支出。2024年度共接待来访团组</w:t>
      </w:r>
      <w:r>
        <w:rPr>
          <w:rFonts w:hint="eastAsia" w:ascii="仿宋" w:hAnsi="仿宋" w:eastAsia="仿宋" w:cs="仿宋"/>
          <w:lang w:val="en-US" w:eastAsia="zh-CN"/>
        </w:rPr>
        <w:t>0</w:t>
      </w:r>
      <w:r>
        <w:rPr>
          <w:rFonts w:ascii="仿宋" w:hAnsi="仿宋" w:eastAsia="仿宋" w:cs="仿宋"/>
        </w:rPr>
        <w:t>个、来宾</w:t>
      </w:r>
      <w:r>
        <w:rPr>
          <w:rFonts w:hint="eastAsia" w:ascii="仿宋" w:hAnsi="仿宋" w:eastAsia="仿宋" w:cs="仿宋"/>
          <w:lang w:val="en-US" w:eastAsia="zh-CN"/>
        </w:rPr>
        <w:t>0</w:t>
      </w:r>
      <w:r>
        <w:rPr>
          <w:rFonts w:ascii="仿宋" w:hAnsi="仿宋" w:eastAsia="仿宋" w:cs="仿宋"/>
        </w:rPr>
        <w:t>人次。</w:t>
      </w:r>
    </w:p>
    <w:p w14:paraId="72444C9D">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77F28347">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3A71D12C">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083D91DD">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本部门2024年度机关运行经费支出</w:t>
      </w:r>
      <w:r>
        <w:rPr>
          <w:rFonts w:hint="eastAsia" w:ascii="仿宋" w:hAnsi="仿宋" w:eastAsia="仿宋" w:cs="仿宋"/>
        </w:rPr>
        <w:t>3</w:t>
      </w:r>
      <w:r>
        <w:rPr>
          <w:rFonts w:hint="eastAsia" w:ascii="仿宋" w:hAnsi="仿宋" w:eastAsia="仿宋" w:cs="仿宋"/>
          <w:lang w:val="en-US" w:eastAsia="zh-CN"/>
        </w:rPr>
        <w:t>8</w:t>
      </w:r>
      <w:r>
        <w:rPr>
          <w:rFonts w:hint="eastAsia" w:ascii="仿宋" w:hAnsi="仿宋" w:eastAsia="仿宋" w:cs="仿宋"/>
        </w:rPr>
        <w:t>5.</w:t>
      </w:r>
      <w:r>
        <w:rPr>
          <w:rFonts w:hint="eastAsia" w:ascii="仿宋" w:hAnsi="仿宋" w:eastAsia="仿宋" w:cs="仿宋"/>
          <w:lang w:val="en-US" w:eastAsia="zh-CN"/>
        </w:rPr>
        <w:t>7</w:t>
      </w:r>
      <w:r>
        <w:rPr>
          <w:rFonts w:hint="eastAsia" w:ascii="仿宋" w:hAnsi="仿宋" w:eastAsia="仿宋" w:cs="仿宋"/>
        </w:rPr>
        <w:t>4</w:t>
      </w:r>
      <w:r>
        <w:rPr>
          <w:rFonts w:ascii="仿宋" w:hAnsi="仿宋" w:eastAsia="仿宋" w:cs="仿宋"/>
        </w:rPr>
        <w:t>万元，比年初预算数增加</w:t>
      </w:r>
      <w:r>
        <w:rPr>
          <w:rFonts w:hint="eastAsia" w:ascii="仿宋" w:hAnsi="仿宋" w:eastAsia="仿宋" w:cs="仿宋"/>
          <w:lang w:val="en-US" w:eastAsia="zh-CN"/>
        </w:rPr>
        <w:t>315.55</w:t>
      </w:r>
      <w:r>
        <w:rPr>
          <w:rFonts w:ascii="仿宋" w:hAnsi="仿宋" w:eastAsia="仿宋" w:cs="仿宋"/>
        </w:rPr>
        <w:t>万元，增长</w:t>
      </w:r>
      <w:r>
        <w:rPr>
          <w:rFonts w:hint="eastAsia" w:ascii="仿宋" w:hAnsi="仿宋" w:eastAsia="仿宋" w:cs="仿宋"/>
          <w:lang w:val="en-US" w:eastAsia="zh-CN"/>
        </w:rPr>
        <w:t>523.39</w:t>
      </w:r>
      <w:r>
        <w:rPr>
          <w:rFonts w:ascii="仿宋" w:hAnsi="仿宋" w:eastAsia="仿宋" w:cs="仿宋"/>
        </w:rPr>
        <w:t>%。</w:t>
      </w:r>
      <w:r>
        <w:rPr>
          <w:rFonts w:ascii="仿宋" w:hAnsi="仿宋" w:eastAsia="仿宋" w:cs="仿宋"/>
          <w:highlight w:val="none"/>
        </w:rPr>
        <w:t>主要原因是：</w:t>
      </w:r>
      <w:r>
        <w:rPr>
          <w:rFonts w:hint="eastAsia" w:ascii="仿宋" w:hAnsi="仿宋" w:eastAsia="仿宋" w:cs="仿宋"/>
          <w:highlight w:val="none"/>
          <w:lang w:eastAsia="zh-CN"/>
        </w:rPr>
        <w:t>项目支出功能科目不得有行政运行，所以将政务大厅运行经费、原政务服务大厅</w:t>
      </w:r>
      <w:r>
        <w:rPr>
          <w:rFonts w:hint="eastAsia" w:ascii="仿宋" w:hAnsi="仿宋" w:eastAsia="仿宋" w:cs="仿宋"/>
          <w:highlight w:val="none"/>
          <w:lang w:val="en-US" w:eastAsia="zh-CN"/>
        </w:rPr>
        <w:t>装修好改造经费、规范村民建房监督管理平台补充开发费用项目、网格化管理服务平台网 安全等级保护测评项目（三级）</w:t>
      </w:r>
      <w:r>
        <w:rPr>
          <w:rFonts w:hint="eastAsia" w:ascii="仿宋" w:hAnsi="仿宋" w:eastAsia="仿宋" w:cs="仿宋"/>
          <w:highlight w:val="none"/>
          <w:lang w:eastAsia="zh-CN"/>
        </w:rPr>
        <w:t>调到基本支出里面。</w:t>
      </w:r>
      <w:r>
        <w:rPr>
          <w:rFonts w:ascii="仿宋" w:hAnsi="仿宋" w:eastAsia="仿宋" w:cs="仿宋"/>
          <w:lang w:val="en-US" w:eastAsia="zh-CN"/>
        </w:rPr>
        <w:t>比上年决算数减少</w:t>
      </w:r>
      <w:r>
        <w:rPr>
          <w:rFonts w:hint="eastAsia" w:ascii="仿宋" w:hAnsi="仿宋" w:eastAsia="仿宋" w:cs="仿宋"/>
          <w:lang w:val="en-US" w:eastAsia="zh-CN"/>
        </w:rPr>
        <w:t>294.3</w:t>
      </w:r>
      <w:r>
        <w:rPr>
          <w:rFonts w:ascii="仿宋" w:hAnsi="仿宋" w:eastAsia="仿宋" w:cs="仿宋"/>
          <w:lang w:val="en-US" w:eastAsia="zh-CN"/>
        </w:rPr>
        <w:t>万元，降低</w:t>
      </w:r>
      <w:r>
        <w:rPr>
          <w:rFonts w:hint="eastAsia" w:ascii="仿宋" w:hAnsi="仿宋" w:eastAsia="仿宋" w:cs="仿宋"/>
          <w:lang w:val="en-US" w:eastAsia="zh-CN"/>
        </w:rPr>
        <w:t>43.28</w:t>
      </w:r>
      <w:r>
        <w:rPr>
          <w:rFonts w:ascii="仿宋" w:hAnsi="仿宋" w:eastAsia="仿宋" w:cs="仿宋"/>
          <w:lang w:val="en-US" w:eastAsia="zh-CN"/>
        </w:rPr>
        <w:t>%。主要原因是：</w:t>
      </w:r>
      <w:r>
        <w:rPr>
          <w:rFonts w:hint="eastAsia" w:ascii="仿宋" w:hAnsi="仿宋" w:eastAsia="仿宋" w:cs="仿宋"/>
          <w:lang w:val="en-US" w:eastAsia="zh-CN"/>
        </w:rPr>
        <w:t>坚决落实党政机关过紧日子要求，从严从紧控制经费支出。2024年不再承担政务大厅入驻部门的办公用品和工作餐。请示追加经费放在项目支出。</w:t>
      </w:r>
    </w:p>
    <w:p w14:paraId="5702087B">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lang w:val="en-US" w:eastAsia="zh-CN"/>
        </w:rPr>
        <w:t>十、一般性支出情况说明</w:t>
      </w:r>
    </w:p>
    <w:p w14:paraId="1D638B97">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2024年本部门开支会议费0万元，本部门2024年无会议费支出；开支培训费0.2万元，用于开展渌口区2024年度“一把手走流程”解难题优服务行动、中介服务超市工作推进暨培训会，人数300人，内容为渌口区2024年度“一把手走流程”解难题优服务行动、中介服务超市工作推进暨培训会；</w:t>
      </w:r>
      <w:r>
        <w:rPr>
          <w:rFonts w:hint="eastAsia" w:ascii="仿宋" w:hAnsi="仿宋" w:eastAsia="仿宋" w:cs="仿宋"/>
          <w:lang w:eastAsia="zh-CN"/>
        </w:rPr>
        <w:t>未</w:t>
      </w:r>
      <w:r>
        <w:rPr>
          <w:rFonts w:ascii="仿宋" w:hAnsi="仿宋" w:eastAsia="仿宋" w:cs="仿宋"/>
        </w:rPr>
        <w:t>举办节庆、晚会、论坛、赛事活动，开支</w:t>
      </w:r>
      <w:r>
        <w:rPr>
          <w:rFonts w:hint="eastAsia" w:ascii="仿宋" w:hAnsi="仿宋" w:eastAsia="仿宋" w:cs="仿宋"/>
          <w:lang w:val="en-US" w:eastAsia="zh-CN"/>
        </w:rPr>
        <w:t>0</w:t>
      </w:r>
      <w:r>
        <w:rPr>
          <w:rFonts w:ascii="仿宋" w:hAnsi="仿宋" w:eastAsia="仿宋" w:cs="仿宋"/>
        </w:rPr>
        <w:t>万元。</w:t>
      </w:r>
    </w:p>
    <w:p w14:paraId="5E13526C">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2E28D440">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448.77</w:t>
      </w:r>
      <w:r>
        <w:rPr>
          <w:rFonts w:ascii="仿宋" w:hAnsi="仿宋" w:eastAsia="仿宋" w:cs="仿宋"/>
        </w:rPr>
        <w:t>万元，其中：政府采购货物支出</w:t>
      </w:r>
      <w:r>
        <w:rPr>
          <w:rFonts w:hint="eastAsia" w:ascii="仿宋" w:hAnsi="仿宋" w:eastAsia="仿宋" w:cs="仿宋"/>
          <w:lang w:val="en-US" w:eastAsia="zh-CN"/>
        </w:rPr>
        <w:t>448.77</w:t>
      </w:r>
      <w:r>
        <w:rPr>
          <w:rFonts w:ascii="仿宋" w:hAnsi="仿宋" w:eastAsia="仿宋" w:cs="仿宋"/>
        </w:rPr>
        <w:t>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448.77</w:t>
      </w:r>
      <w:r>
        <w:rPr>
          <w:rFonts w:ascii="仿宋" w:hAnsi="仿宋" w:eastAsia="仿宋" w:cs="仿宋"/>
        </w:rPr>
        <w:t>万元，占政府采购支出总额的</w:t>
      </w:r>
      <w:r>
        <w:rPr>
          <w:rFonts w:hint="eastAsia" w:ascii="仿宋" w:hAnsi="仿宋" w:eastAsia="仿宋" w:cs="仿宋"/>
          <w:lang w:val="en-US" w:eastAsia="zh-CN"/>
        </w:rPr>
        <w:t>100</w:t>
      </w:r>
      <w:r>
        <w:rPr>
          <w:rFonts w:ascii="仿宋" w:hAnsi="仿宋" w:eastAsia="仿宋" w:cs="仿宋"/>
        </w:rPr>
        <w:t>%，其中：授予小微企业合同金额</w:t>
      </w:r>
      <w:r>
        <w:rPr>
          <w:rFonts w:hint="eastAsia" w:ascii="仿宋" w:hAnsi="仿宋" w:eastAsia="仿宋" w:cs="仿宋"/>
          <w:lang w:val="en-US" w:eastAsia="zh-CN"/>
        </w:rPr>
        <w:t>448.77</w:t>
      </w:r>
      <w:r>
        <w:rPr>
          <w:rFonts w:ascii="仿宋" w:hAnsi="仿宋" w:eastAsia="仿宋" w:cs="仿宋"/>
        </w:rPr>
        <w:t>万元，占授予中小企业合同金额的</w:t>
      </w:r>
      <w:r>
        <w:rPr>
          <w:rFonts w:hint="eastAsia" w:ascii="仿宋" w:hAnsi="仿宋" w:eastAsia="仿宋" w:cs="仿宋"/>
          <w:lang w:val="en-US" w:eastAsia="zh-CN"/>
        </w:rPr>
        <w:t>100</w:t>
      </w:r>
      <w:r>
        <w:rPr>
          <w:rFonts w:ascii="仿宋" w:hAnsi="仿宋" w:eastAsia="仿宋" w:cs="仿宋"/>
        </w:rPr>
        <w:t>%。货物采购授予中小企业合同金额占货物支出金额的</w:t>
      </w:r>
      <w:r>
        <w:rPr>
          <w:rFonts w:hint="eastAsia" w:ascii="仿宋" w:hAnsi="仿宋" w:eastAsia="仿宋" w:cs="仿宋"/>
          <w:lang w:val="en-US" w:eastAsia="zh-CN"/>
        </w:rPr>
        <w:t>0</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0</w:t>
      </w:r>
      <w:r>
        <w:rPr>
          <w:rFonts w:ascii="仿宋" w:hAnsi="仿宋" w:eastAsia="仿宋" w:cs="仿宋"/>
        </w:rPr>
        <w:t>%。</w:t>
      </w:r>
    </w:p>
    <w:p w14:paraId="1F6709DD">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41A4CFF2">
      <w:pPr>
        <w:pStyle w:val="5"/>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辆；单位价值100万元以上设备（不含车辆）</w:t>
      </w:r>
      <w:r>
        <w:rPr>
          <w:rFonts w:hint="eastAsia" w:ascii="仿宋" w:hAnsi="仿宋" w:eastAsia="仿宋" w:cs="仿宋"/>
          <w:lang w:val="en-US" w:eastAsia="zh-CN"/>
        </w:rPr>
        <w:t>0</w:t>
      </w:r>
      <w:r>
        <w:rPr>
          <w:rFonts w:ascii="仿宋" w:hAnsi="仿宋" w:eastAsia="仿宋" w:cs="仿宋"/>
        </w:rPr>
        <w:t>台（套）。</w:t>
      </w:r>
    </w:p>
    <w:p w14:paraId="1CB8A7C3">
      <w:pPr>
        <w:pStyle w:val="5"/>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63B2B37A">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7A004A7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8</w:t>
      </w:r>
      <w:r>
        <w:rPr>
          <w:rFonts w:ascii="仿宋" w:hAnsi="仿宋" w:eastAsia="仿宋" w:cs="仿宋"/>
          <w:sz w:val="32"/>
          <w:szCs w:val="32"/>
        </w:rPr>
        <w:t xml:space="preserve"> 个，共涉及资金</w:t>
      </w:r>
      <w:r>
        <w:rPr>
          <w:rFonts w:hint="eastAsia" w:ascii="仿宋" w:hAnsi="仿宋" w:eastAsia="仿宋" w:cs="仿宋"/>
          <w:sz w:val="32"/>
          <w:szCs w:val="32"/>
          <w:lang w:val="en-US" w:eastAsia="zh-CN"/>
        </w:rPr>
        <w:t>246.42</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8</w:t>
      </w:r>
      <w:r>
        <w:rPr>
          <w:rFonts w:ascii="仿宋" w:hAnsi="仿宋" w:eastAsia="仿宋" w:cs="仿宋"/>
          <w:sz w:val="32"/>
          <w:szCs w:val="32"/>
        </w:rPr>
        <w:t>个</w:t>
      </w:r>
      <w:r>
        <w:rPr>
          <w:rFonts w:hint="eastAsia" w:ascii="仿宋" w:hAnsi="仿宋" w:eastAsia="仿宋" w:cs="仿宋"/>
          <w:sz w:val="32"/>
          <w:szCs w:val="32"/>
          <w:lang w:val="en-US" w:eastAsia="zh-CN"/>
        </w:rPr>
        <w:t>246.42</w:t>
      </w:r>
      <w:r>
        <w:rPr>
          <w:rFonts w:ascii="仿宋" w:hAnsi="仿宋" w:eastAsia="仿宋" w:cs="仿宋"/>
          <w:sz w:val="32"/>
          <w:szCs w:val="32"/>
        </w:rPr>
        <w:t>万元，占一般公共预算支出总额的</w:t>
      </w:r>
      <w:r>
        <w:rPr>
          <w:rFonts w:hint="eastAsia" w:ascii="仿宋" w:hAnsi="仿宋" w:eastAsia="仿宋" w:cs="仿宋"/>
          <w:sz w:val="32"/>
          <w:szCs w:val="32"/>
          <w:lang w:val="en-US" w:eastAsia="zh-CN"/>
        </w:rPr>
        <w:t>100</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万元，占政府性基金预算支出总额的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万元，占国有资本经营预算支出总额的</w:t>
      </w:r>
      <w:r>
        <w:rPr>
          <w:rFonts w:hint="eastAsia" w:ascii="仿宋" w:hAnsi="仿宋" w:eastAsia="仿宋" w:cs="仿宋"/>
          <w:sz w:val="32"/>
          <w:szCs w:val="32"/>
          <w:lang w:val="en-US" w:eastAsia="zh-CN"/>
        </w:rPr>
        <w:t>0</w:t>
      </w:r>
      <w:r>
        <w:rPr>
          <w:rFonts w:ascii="仿宋" w:hAnsi="仿宋" w:eastAsia="仿宋" w:cs="仿宋"/>
          <w:sz w:val="32"/>
          <w:szCs w:val="32"/>
        </w:rPr>
        <w:t>%；社会保险基金预算项目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万元，占社会保险基金预算支出总额的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w:t>
      </w:r>
    </w:p>
    <w:p w14:paraId="2C144192">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lang w:eastAsia="zh-CN"/>
        </w:rPr>
        <w:t>纪委调剂办案经费</w:t>
      </w:r>
      <w:r>
        <w:rPr>
          <w:rFonts w:ascii="仿宋" w:hAnsi="仿宋" w:eastAsia="仿宋" w:cs="仿宋"/>
          <w:sz w:val="32"/>
          <w:szCs w:val="32"/>
        </w:rPr>
        <w:t>”“</w:t>
      </w:r>
      <w:r>
        <w:rPr>
          <w:rFonts w:hint="eastAsia" w:ascii="仿宋" w:hAnsi="仿宋" w:eastAsia="仿宋" w:cs="仿宋"/>
          <w:sz w:val="32"/>
          <w:szCs w:val="32"/>
          <w:lang w:eastAsia="zh-CN"/>
        </w:rPr>
        <w:t>渌口区政务协同办公系统项目建设经费</w:t>
      </w:r>
      <w:r>
        <w:rPr>
          <w:rFonts w:ascii="仿宋" w:hAnsi="仿宋" w:eastAsia="仿宋" w:cs="仿宋"/>
          <w:sz w:val="32"/>
          <w:szCs w:val="32"/>
        </w:rPr>
        <w:t>”“</w:t>
      </w:r>
      <w:r>
        <w:rPr>
          <w:rFonts w:hint="eastAsia" w:ascii="仿宋" w:hAnsi="仿宋" w:eastAsia="仿宋" w:cs="仿宋"/>
          <w:sz w:val="32"/>
          <w:szCs w:val="32"/>
          <w:lang w:eastAsia="zh-CN"/>
        </w:rPr>
        <w:t>电子政务外网链路租赁经费</w:t>
      </w:r>
      <w:r>
        <w:rPr>
          <w:rFonts w:ascii="仿宋" w:hAnsi="仿宋" w:eastAsia="仿宋" w:cs="仿宋"/>
          <w:sz w:val="32"/>
          <w:szCs w:val="32"/>
        </w:rPr>
        <w:t>”“</w:t>
      </w:r>
      <w:r>
        <w:rPr>
          <w:rFonts w:hint="eastAsia" w:ascii="仿宋" w:hAnsi="仿宋" w:eastAsia="仿宋" w:cs="仿宋"/>
          <w:sz w:val="32"/>
          <w:szCs w:val="32"/>
          <w:lang w:eastAsia="zh-CN"/>
        </w:rPr>
        <w:t>湘易办超级服务端建设推广应用工作经费</w:t>
      </w:r>
      <w:r>
        <w:rPr>
          <w:rFonts w:ascii="仿宋" w:hAnsi="仿宋" w:eastAsia="仿宋" w:cs="仿宋"/>
          <w:sz w:val="32"/>
          <w:szCs w:val="32"/>
        </w:rPr>
        <w:t>”“</w:t>
      </w:r>
      <w:r>
        <w:rPr>
          <w:rFonts w:hint="eastAsia" w:ascii="仿宋" w:hAnsi="仿宋" w:eastAsia="仿宋" w:cs="仿宋"/>
          <w:sz w:val="32"/>
          <w:szCs w:val="32"/>
          <w:lang w:eastAsia="zh-CN"/>
        </w:rPr>
        <w:t>渌口区规范村民建房监督管理平台新增功能模块</w:t>
      </w:r>
      <w:r>
        <w:rPr>
          <w:rFonts w:ascii="仿宋" w:hAnsi="仿宋" w:eastAsia="仿宋" w:cs="仿宋"/>
          <w:sz w:val="32"/>
          <w:szCs w:val="32"/>
        </w:rPr>
        <w:t>”“</w:t>
      </w:r>
      <w:r>
        <w:rPr>
          <w:rFonts w:hint="eastAsia" w:ascii="仿宋" w:hAnsi="仿宋" w:eastAsia="仿宋" w:cs="仿宋"/>
          <w:sz w:val="32"/>
          <w:szCs w:val="32"/>
          <w:lang w:eastAsia="zh-CN"/>
        </w:rPr>
        <w:t>数字化基础支撑平台设备运维费</w:t>
      </w:r>
      <w:r>
        <w:rPr>
          <w:rFonts w:ascii="仿宋" w:hAnsi="仿宋" w:eastAsia="仿宋" w:cs="仿宋"/>
          <w:sz w:val="32"/>
          <w:szCs w:val="32"/>
        </w:rPr>
        <w:t>”“</w:t>
      </w:r>
      <w:r>
        <w:rPr>
          <w:rFonts w:hint="eastAsia" w:ascii="仿宋" w:hAnsi="仿宋" w:eastAsia="仿宋" w:cs="仿宋"/>
          <w:sz w:val="32"/>
          <w:szCs w:val="32"/>
          <w:lang w:eastAsia="zh-CN"/>
        </w:rPr>
        <w:t>区大数据中心问题设备更换费用</w:t>
      </w:r>
      <w:r>
        <w:rPr>
          <w:rFonts w:ascii="仿宋" w:hAnsi="仿宋" w:eastAsia="仿宋" w:cs="仿宋"/>
          <w:sz w:val="32"/>
          <w:szCs w:val="32"/>
        </w:rPr>
        <w:t>”“</w:t>
      </w:r>
      <w:r>
        <w:rPr>
          <w:rFonts w:hint="eastAsia" w:ascii="仿宋" w:hAnsi="仿宋" w:eastAsia="仿宋" w:cs="仿宋"/>
          <w:sz w:val="32"/>
          <w:szCs w:val="32"/>
          <w:lang w:eastAsia="zh-CN"/>
        </w:rPr>
        <w:t>电子政务外网链路租赁经费</w:t>
      </w:r>
      <w:r>
        <w:rPr>
          <w:rFonts w:ascii="仿宋" w:hAnsi="仿宋" w:eastAsia="仿宋" w:cs="仿宋"/>
          <w:sz w:val="32"/>
          <w:szCs w:val="32"/>
        </w:rPr>
        <w:t>”等</w:t>
      </w:r>
      <w:r>
        <w:rPr>
          <w:rFonts w:hint="eastAsia" w:ascii="仿宋" w:hAnsi="仿宋" w:eastAsia="仿宋" w:cs="仿宋"/>
          <w:sz w:val="32"/>
          <w:szCs w:val="32"/>
          <w:lang w:val="en-US" w:eastAsia="zh-CN"/>
        </w:rPr>
        <w:t>8</w:t>
      </w:r>
      <w:r>
        <w:rPr>
          <w:rFonts w:ascii="仿宋" w:hAnsi="仿宋" w:eastAsia="仿宋" w:cs="仿宋"/>
          <w:sz w:val="32"/>
          <w:szCs w:val="32"/>
        </w:rPr>
        <w:t>个项目开展了部门评价，涉及一般公共预算支出</w:t>
      </w:r>
      <w:r>
        <w:rPr>
          <w:rFonts w:hint="eastAsia" w:ascii="仿宋" w:hAnsi="仿宋" w:eastAsia="仿宋" w:cs="仿宋"/>
          <w:sz w:val="32"/>
          <w:szCs w:val="32"/>
          <w:lang w:val="en-US" w:eastAsia="zh-CN"/>
        </w:rPr>
        <w:t>246.42</w:t>
      </w:r>
      <w:r>
        <w:rPr>
          <w:rFonts w:ascii="仿宋" w:hAnsi="仿宋" w:eastAsia="仿宋" w:cs="仿宋"/>
          <w:sz w:val="32"/>
          <w:szCs w:val="32"/>
        </w:rPr>
        <w:t>万元，政府性基金预算支出</w:t>
      </w:r>
      <w:r>
        <w:rPr>
          <w:rFonts w:hint="eastAsia" w:ascii="仿宋" w:hAnsi="仿宋" w:eastAsia="仿宋" w:cs="仿宋"/>
          <w:sz w:val="32"/>
          <w:szCs w:val="32"/>
          <w:lang w:val="en-US"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val="en-US"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6F760CC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56F99C59">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654C8B4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972.81</w:t>
      </w:r>
      <w:r>
        <w:rPr>
          <w:rFonts w:ascii="仿宋" w:hAnsi="仿宋" w:eastAsia="仿宋" w:cs="仿宋"/>
          <w:sz w:val="32"/>
          <w:szCs w:val="32"/>
        </w:rPr>
        <w:t>万元，执行数</w:t>
      </w:r>
      <w:r>
        <w:rPr>
          <w:rFonts w:hint="eastAsia" w:ascii="仿宋" w:hAnsi="仿宋" w:eastAsia="仿宋" w:cs="仿宋"/>
          <w:sz w:val="32"/>
          <w:szCs w:val="32"/>
          <w:lang w:val="en-US" w:eastAsia="zh-CN"/>
        </w:rPr>
        <w:t>972.81</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%，绩效自评得分</w:t>
      </w:r>
      <w:r>
        <w:rPr>
          <w:rFonts w:hint="eastAsia" w:ascii="仿宋" w:hAnsi="仿宋" w:eastAsia="仿宋" w:cs="仿宋"/>
          <w:sz w:val="32"/>
          <w:szCs w:val="32"/>
          <w:lang w:val="en-US" w:eastAsia="zh-CN"/>
        </w:rPr>
        <w:t>98.5</w:t>
      </w:r>
      <w:r>
        <w:rPr>
          <w:rFonts w:ascii="仿宋" w:hAnsi="仿宋" w:eastAsia="仿宋" w:cs="仿宋"/>
          <w:sz w:val="32"/>
          <w:szCs w:val="32"/>
        </w:rPr>
        <w:t>分，评价等级为“</w:t>
      </w:r>
      <w:r>
        <w:rPr>
          <w:rFonts w:hint="eastAsia" w:ascii="仿宋" w:hAnsi="仿宋" w:eastAsia="仿宋" w:cs="仿宋"/>
          <w:sz w:val="32"/>
          <w:szCs w:val="32"/>
          <w:lang w:eastAsia="zh-CN"/>
        </w:rPr>
        <w:t>优秀</w:t>
      </w:r>
      <w:r>
        <w:rPr>
          <w:rFonts w:ascii="仿宋" w:hAnsi="仿宋" w:eastAsia="仿宋" w:cs="仿宋"/>
          <w:sz w:val="32"/>
          <w:szCs w:val="32"/>
        </w:rPr>
        <w:t>”。绩效目标完成情况：一是</w:t>
      </w:r>
      <w:r>
        <w:rPr>
          <w:rFonts w:hint="default" w:ascii="仿宋" w:hAnsi="仿宋" w:eastAsia="仿宋" w:cs="仿宋"/>
          <w:sz w:val="32"/>
          <w:szCs w:val="32"/>
          <w:lang w:val="en-US" w:eastAsia="zh-CN"/>
        </w:rPr>
        <w:t>聚焦党建引领，</w:t>
      </w:r>
      <w:r>
        <w:rPr>
          <w:rFonts w:hint="eastAsia" w:ascii="仿宋" w:hAnsi="仿宋" w:eastAsia="仿宋" w:cs="仿宋"/>
          <w:sz w:val="32"/>
          <w:szCs w:val="32"/>
          <w:lang w:val="en-US" w:eastAsia="zh-CN"/>
        </w:rPr>
        <w:t>增强服务</w:t>
      </w:r>
      <w:r>
        <w:rPr>
          <w:rFonts w:hint="default" w:ascii="仿宋" w:hAnsi="仿宋" w:eastAsia="仿宋" w:cs="仿宋"/>
          <w:sz w:val="32"/>
          <w:szCs w:val="32"/>
          <w:lang w:val="en-US" w:eastAsia="zh-CN"/>
        </w:rPr>
        <w:t>动</w:t>
      </w:r>
      <w:r>
        <w:rPr>
          <w:rFonts w:hint="eastAsia" w:ascii="仿宋" w:hAnsi="仿宋" w:eastAsia="仿宋" w:cs="仿宋"/>
          <w:sz w:val="32"/>
          <w:szCs w:val="32"/>
          <w:lang w:val="en-US" w:eastAsia="zh-CN"/>
        </w:rPr>
        <w:t>力，强化作风建设</w:t>
      </w:r>
      <w:r>
        <w:rPr>
          <w:rFonts w:ascii="仿宋" w:hAnsi="仿宋" w:eastAsia="仿宋" w:cs="仿宋"/>
          <w:sz w:val="32"/>
          <w:szCs w:val="32"/>
        </w:rPr>
        <w:t>；二是</w:t>
      </w:r>
      <w:r>
        <w:rPr>
          <w:rFonts w:hint="eastAsia" w:ascii="仿宋" w:hAnsi="仿宋" w:eastAsia="仿宋" w:cs="仿宋"/>
          <w:sz w:val="32"/>
          <w:szCs w:val="32"/>
        </w:rPr>
        <w:t>聚焦改革攻坚，增强服务推力</w:t>
      </w:r>
      <w:r>
        <w:rPr>
          <w:rFonts w:hint="eastAsia" w:ascii="仿宋" w:hAnsi="仿宋" w:eastAsia="仿宋" w:cs="仿宋"/>
          <w:sz w:val="32"/>
          <w:szCs w:val="32"/>
          <w:lang w:eastAsia="zh-CN"/>
        </w:rPr>
        <w:t>；三聚焦服务优化，增强服务效力；四是聚焦管培结合，增强服务能力</w:t>
      </w:r>
      <w:r>
        <w:rPr>
          <w:rFonts w:ascii="仿宋" w:hAnsi="仿宋" w:eastAsia="仿宋" w:cs="仿宋"/>
          <w:sz w:val="32"/>
          <w:szCs w:val="32"/>
          <w:highlight w:val="none"/>
        </w:rPr>
        <w:t>。</w:t>
      </w:r>
      <w:r>
        <w:rPr>
          <w:rFonts w:ascii="仿宋" w:hAnsi="仿宋" w:eastAsia="仿宋" w:cs="仿宋"/>
          <w:sz w:val="32"/>
          <w:szCs w:val="32"/>
        </w:rPr>
        <w:t>发现的主要问题及原因：一是</w:t>
      </w:r>
      <w:r>
        <w:rPr>
          <w:rFonts w:hint="eastAsia" w:ascii="仿宋" w:hAnsi="仿宋" w:eastAsia="仿宋" w:cs="仿宋"/>
          <w:sz w:val="32"/>
          <w:szCs w:val="32"/>
        </w:rPr>
        <w:t>（一）绩效管理不规范</w:t>
      </w:r>
      <w:r>
        <w:rPr>
          <w:rFonts w:ascii="仿宋" w:hAnsi="仿宋" w:eastAsia="仿宋" w:cs="仿宋"/>
          <w:sz w:val="32"/>
          <w:szCs w:val="32"/>
        </w:rPr>
        <w:t>；二是</w:t>
      </w:r>
      <w:r>
        <w:rPr>
          <w:rFonts w:hint="eastAsia" w:ascii="仿宋" w:hAnsi="仿宋" w:eastAsia="仿宋" w:cs="仿宋"/>
          <w:sz w:val="32"/>
          <w:szCs w:val="32"/>
        </w:rPr>
        <w:t>预算编制欠科学</w:t>
      </w:r>
      <w:r>
        <w:rPr>
          <w:rFonts w:hint="eastAsia" w:ascii="仿宋" w:hAnsi="仿宋" w:eastAsia="仿宋" w:cs="仿宋"/>
          <w:sz w:val="32"/>
          <w:szCs w:val="32"/>
          <w:lang w:eastAsia="zh-CN"/>
        </w:rPr>
        <w:t>；三是</w:t>
      </w:r>
      <w:r>
        <w:rPr>
          <w:rFonts w:hint="eastAsia" w:ascii="仿宋" w:hAnsi="仿宋" w:eastAsia="仿宋" w:cs="仿宋"/>
          <w:sz w:val="32"/>
          <w:szCs w:val="32"/>
        </w:rPr>
        <w:t>财务管理欠规范</w:t>
      </w:r>
      <w:r>
        <w:rPr>
          <w:rFonts w:ascii="仿宋" w:hAnsi="仿宋" w:eastAsia="仿宋" w:cs="仿宋"/>
          <w:sz w:val="32"/>
          <w:szCs w:val="32"/>
        </w:rPr>
        <w:t>。下一步改进措施：一是</w:t>
      </w:r>
      <w:r>
        <w:rPr>
          <w:rFonts w:hint="eastAsia" w:ascii="仿宋" w:hAnsi="仿宋" w:eastAsia="仿宋" w:cs="仿宋"/>
          <w:sz w:val="32"/>
          <w:szCs w:val="32"/>
        </w:rPr>
        <w:t>准确编报预、决算，加强绩效目标管理</w:t>
      </w:r>
      <w:r>
        <w:rPr>
          <w:rFonts w:ascii="仿宋" w:hAnsi="仿宋" w:eastAsia="仿宋" w:cs="仿宋"/>
          <w:sz w:val="32"/>
          <w:szCs w:val="32"/>
        </w:rPr>
        <w:t>；二是</w:t>
      </w:r>
      <w:r>
        <w:rPr>
          <w:rFonts w:hint="eastAsia" w:ascii="仿宋" w:hAnsi="仿宋" w:eastAsia="仿宋" w:cs="仿宋"/>
          <w:sz w:val="32"/>
          <w:szCs w:val="32"/>
        </w:rPr>
        <w:t>强化财务管理，规范使用资金</w:t>
      </w:r>
      <w:r>
        <w:rPr>
          <w:rFonts w:hint="eastAsia" w:ascii="仿宋" w:hAnsi="仿宋" w:eastAsia="仿宋" w:cs="仿宋"/>
          <w:sz w:val="32"/>
          <w:szCs w:val="32"/>
          <w:lang w:eastAsia="zh-CN"/>
        </w:rPr>
        <w:t>；三是完善相关制度，规范单位日常管理</w:t>
      </w:r>
      <w:r>
        <w:rPr>
          <w:rFonts w:ascii="仿宋" w:hAnsi="仿宋" w:eastAsia="仿宋" w:cs="仿宋"/>
          <w:sz w:val="32"/>
          <w:szCs w:val="32"/>
        </w:rPr>
        <w:t>。</w:t>
      </w:r>
    </w:p>
    <w:p w14:paraId="66825F54">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eastAsia="zh-CN"/>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纪</w:t>
      </w:r>
      <w:r>
        <w:rPr>
          <w:rFonts w:hint="eastAsia" w:ascii="仿宋_GB2312" w:eastAsia="仿宋_GB2312"/>
          <w:sz w:val="32"/>
          <w:szCs w:val="32"/>
          <w:lang w:val="en-US" w:eastAsia="zh-CN"/>
        </w:rPr>
        <w:t>委调剂办案经费”</w:t>
      </w:r>
      <w:r>
        <w:rPr>
          <w:rFonts w:ascii="仿宋" w:hAnsi="仿宋" w:eastAsia="仿宋" w:cs="仿宋"/>
          <w:sz w:val="32"/>
          <w:szCs w:val="32"/>
        </w:rPr>
        <w:t>项目全年预算数</w:t>
      </w:r>
      <w:r>
        <w:rPr>
          <w:rFonts w:hint="eastAsia" w:ascii="仿宋" w:hAnsi="仿宋" w:eastAsia="仿宋" w:cs="仿宋"/>
          <w:sz w:val="32"/>
          <w:szCs w:val="32"/>
          <w:lang w:val="en-US" w:eastAsia="zh-CN"/>
        </w:rPr>
        <w:t>5</w:t>
      </w:r>
      <w:r>
        <w:rPr>
          <w:rFonts w:ascii="仿宋" w:hAnsi="仿宋" w:eastAsia="仿宋" w:cs="仿宋"/>
          <w:sz w:val="32"/>
          <w:szCs w:val="32"/>
        </w:rPr>
        <w:t>万元，执行数</w:t>
      </w:r>
      <w:r>
        <w:rPr>
          <w:rFonts w:hint="eastAsia" w:ascii="仿宋" w:hAnsi="仿宋" w:eastAsia="仿宋" w:cs="仿宋"/>
          <w:sz w:val="32"/>
          <w:szCs w:val="32"/>
          <w:lang w:val="en-US" w:eastAsia="zh-CN"/>
        </w:rPr>
        <w:t>5</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%，部门评价得分</w:t>
      </w:r>
      <w:r>
        <w:rPr>
          <w:rFonts w:hint="eastAsia" w:ascii="仿宋" w:hAnsi="仿宋" w:eastAsia="仿宋" w:cs="仿宋"/>
          <w:sz w:val="32"/>
          <w:szCs w:val="32"/>
          <w:lang w:val="en-US" w:eastAsia="zh-CN"/>
        </w:rPr>
        <w:t>97.5</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清廉大厅建设，保障了政务服务大厅的正常有序运行。</w:t>
      </w:r>
      <w:r>
        <w:rPr>
          <w:rFonts w:hint="eastAsia" w:ascii="仿宋" w:hAnsi="仿宋" w:eastAsia="仿宋" w:cs="仿宋"/>
          <w:sz w:val="32"/>
          <w:szCs w:val="32"/>
          <w:lang w:eastAsia="zh-CN"/>
        </w:rPr>
        <w:t>“</w:t>
      </w:r>
      <w:r>
        <w:rPr>
          <w:rFonts w:hint="eastAsia" w:ascii="仿宋" w:hAnsi="仿宋" w:eastAsia="仿宋"/>
          <w:sz w:val="32"/>
          <w:szCs w:val="32"/>
          <w:lang w:val="en-US" w:eastAsia="zh-CN"/>
        </w:rPr>
        <w:t>渌口区政务协同办公系统项目建设经费</w:t>
      </w:r>
      <w:r>
        <w:rPr>
          <w:rFonts w:hint="eastAsia" w:ascii="仿宋_GB2312" w:eastAsia="仿宋_GB2312"/>
          <w:sz w:val="32"/>
          <w:szCs w:val="32"/>
          <w:lang w:val="en-US" w:eastAsia="zh-CN"/>
        </w:rPr>
        <w:t>”</w:t>
      </w:r>
      <w:r>
        <w:rPr>
          <w:rFonts w:ascii="仿宋" w:hAnsi="仿宋" w:eastAsia="仿宋" w:cs="仿宋"/>
          <w:sz w:val="32"/>
          <w:szCs w:val="32"/>
        </w:rPr>
        <w:t>项目全年预算数</w:t>
      </w:r>
      <w:r>
        <w:rPr>
          <w:rFonts w:hint="eastAsia" w:ascii="仿宋" w:hAnsi="仿宋" w:eastAsia="仿宋" w:cs="仿宋"/>
          <w:sz w:val="32"/>
          <w:szCs w:val="32"/>
          <w:lang w:val="en-US" w:eastAsia="zh-CN"/>
        </w:rPr>
        <w:t>82.92</w:t>
      </w:r>
      <w:r>
        <w:rPr>
          <w:rFonts w:ascii="仿宋" w:hAnsi="仿宋" w:eastAsia="仿宋" w:cs="仿宋"/>
          <w:sz w:val="32"/>
          <w:szCs w:val="32"/>
        </w:rPr>
        <w:t>万元，执行数</w:t>
      </w:r>
      <w:r>
        <w:rPr>
          <w:rFonts w:hint="eastAsia" w:ascii="仿宋" w:hAnsi="仿宋" w:eastAsia="仿宋" w:cs="仿宋"/>
          <w:sz w:val="32"/>
          <w:szCs w:val="32"/>
          <w:lang w:val="en-US" w:eastAsia="zh-CN"/>
        </w:rPr>
        <w:t>82.92</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%，部门评价得分</w:t>
      </w:r>
      <w:r>
        <w:rPr>
          <w:rFonts w:hint="eastAsia" w:ascii="仿宋" w:hAnsi="仿宋" w:eastAsia="仿宋" w:cs="仿宋"/>
          <w:sz w:val="32"/>
          <w:szCs w:val="32"/>
          <w:lang w:val="en-US" w:eastAsia="zh-CN"/>
        </w:rPr>
        <w:t>97</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w:t>
      </w:r>
      <w:r>
        <w:rPr>
          <w:rFonts w:hint="eastAsia" w:ascii="仿宋" w:hAnsi="仿宋" w:eastAsia="仿宋" w:cs="仿宋"/>
          <w:sz w:val="32"/>
          <w:szCs w:val="32"/>
          <w:lang w:eastAsia="zh-CN"/>
        </w:rPr>
        <w:t>，</w:t>
      </w:r>
      <w:r>
        <w:rPr>
          <w:rFonts w:hint="eastAsia" w:ascii="仿宋_GB2312" w:eastAsia="仿宋_GB2312"/>
          <w:sz w:val="32"/>
          <w:szCs w:val="32"/>
          <w:lang w:eastAsia="zh-CN"/>
        </w:rPr>
        <w:t>通过以办公应用为核心，优化机关事务流程，同时整合云资源信息以及与“掌上渌口”“马办”平台嵌入对接，构建云公文中心、云事务中心、云会议中心、云资讯中心、云督办中心等功能。提升政务办公自动化水平，实现机关各部门之间办公信息的收集与处理、流动与共享，实现公文收发流转、公务活动审签及其他事务办理等</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sz w:val="32"/>
          <w:szCs w:val="32"/>
          <w:lang w:val="en-US" w:eastAsia="zh-CN"/>
        </w:rPr>
        <w:t>电子政务外网链路租赁经费</w:t>
      </w:r>
      <w:r>
        <w:rPr>
          <w:rFonts w:hint="eastAsia" w:ascii="仿宋_GB2312" w:eastAsia="仿宋_GB2312"/>
          <w:sz w:val="32"/>
          <w:szCs w:val="32"/>
          <w:lang w:val="en-US" w:eastAsia="zh-CN"/>
        </w:rPr>
        <w:t>”</w:t>
      </w:r>
      <w:r>
        <w:rPr>
          <w:rFonts w:ascii="仿宋" w:hAnsi="仿宋" w:eastAsia="仿宋" w:cs="仿宋"/>
          <w:sz w:val="32"/>
          <w:szCs w:val="32"/>
        </w:rPr>
        <w:t>项目全年预算数</w:t>
      </w:r>
      <w:r>
        <w:rPr>
          <w:rFonts w:hint="eastAsia" w:ascii="仿宋" w:hAnsi="仿宋" w:eastAsia="仿宋" w:cs="仿宋"/>
          <w:sz w:val="32"/>
          <w:szCs w:val="32"/>
          <w:lang w:val="en-US" w:eastAsia="zh-CN"/>
        </w:rPr>
        <w:t>97.75</w:t>
      </w:r>
      <w:r>
        <w:rPr>
          <w:rFonts w:ascii="仿宋" w:hAnsi="仿宋" w:eastAsia="仿宋" w:cs="仿宋"/>
          <w:sz w:val="32"/>
          <w:szCs w:val="32"/>
        </w:rPr>
        <w:t>万元，执行数</w:t>
      </w:r>
      <w:r>
        <w:rPr>
          <w:rFonts w:hint="eastAsia" w:ascii="仿宋" w:hAnsi="仿宋" w:eastAsia="仿宋" w:cs="仿宋"/>
          <w:sz w:val="32"/>
          <w:szCs w:val="32"/>
          <w:lang w:val="en-US" w:eastAsia="zh-CN"/>
        </w:rPr>
        <w:t>97.75</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%，部门评价得分</w:t>
      </w:r>
      <w:r>
        <w:rPr>
          <w:rFonts w:hint="eastAsia" w:ascii="仿宋" w:hAnsi="仿宋" w:eastAsia="仿宋" w:cs="仿宋"/>
          <w:sz w:val="32"/>
          <w:szCs w:val="32"/>
          <w:lang w:val="en-US" w:eastAsia="zh-CN"/>
        </w:rPr>
        <w:t>98</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w:t>
      </w:r>
      <w:r>
        <w:rPr>
          <w:rFonts w:hint="eastAsia" w:ascii="仿宋" w:hAnsi="仿宋" w:eastAsia="仿宋" w:cs="仿宋"/>
          <w:sz w:val="32"/>
          <w:szCs w:val="32"/>
          <w:lang w:eastAsia="zh-CN"/>
        </w:rPr>
        <w:t>，已满足渌口区区直政务外网申请单位和乡镇政务网络接入，保障了各部门单位和乡镇政务外网网络通畅，政务系统平稳运行，为渌口区信息化建设和“数字渌口”整体建设提供了基础网络服务和网络资源。“</w:t>
      </w:r>
      <w:r>
        <w:rPr>
          <w:rFonts w:hint="eastAsia" w:ascii="仿宋" w:hAnsi="仿宋" w:eastAsia="仿宋"/>
          <w:sz w:val="32"/>
          <w:szCs w:val="32"/>
          <w:lang w:val="en-US" w:eastAsia="zh-CN"/>
        </w:rPr>
        <w:t>湘易办超级服务端建设推广应用工作经费</w:t>
      </w:r>
      <w:r>
        <w:rPr>
          <w:rFonts w:hint="eastAsia" w:ascii="仿宋_GB2312" w:eastAsia="仿宋_GB2312"/>
          <w:sz w:val="32"/>
          <w:szCs w:val="32"/>
          <w:lang w:val="en-US" w:eastAsia="zh-CN"/>
        </w:rPr>
        <w:t>”</w:t>
      </w:r>
      <w:r>
        <w:rPr>
          <w:rFonts w:ascii="仿宋" w:hAnsi="仿宋" w:eastAsia="仿宋" w:cs="仿宋"/>
          <w:sz w:val="32"/>
          <w:szCs w:val="32"/>
        </w:rPr>
        <w:t>项目全年预算数</w:t>
      </w:r>
      <w:r>
        <w:rPr>
          <w:rFonts w:hint="eastAsia" w:ascii="仿宋" w:hAnsi="仿宋" w:eastAsia="仿宋" w:cs="仿宋"/>
          <w:sz w:val="32"/>
          <w:szCs w:val="32"/>
          <w:lang w:val="en-US" w:eastAsia="zh-CN"/>
        </w:rPr>
        <w:t>20</w:t>
      </w:r>
      <w:r>
        <w:rPr>
          <w:rFonts w:ascii="仿宋" w:hAnsi="仿宋" w:eastAsia="仿宋" w:cs="仿宋"/>
          <w:sz w:val="32"/>
          <w:szCs w:val="32"/>
        </w:rPr>
        <w:t>万元，执行数</w:t>
      </w:r>
      <w:r>
        <w:rPr>
          <w:rFonts w:hint="eastAsia" w:ascii="仿宋" w:hAnsi="仿宋" w:eastAsia="仿宋" w:cs="仿宋"/>
          <w:sz w:val="32"/>
          <w:szCs w:val="32"/>
          <w:lang w:val="en-US" w:eastAsia="zh-CN"/>
        </w:rPr>
        <w:t>20</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%，部门评价得分</w:t>
      </w:r>
      <w:r>
        <w:rPr>
          <w:rFonts w:hint="eastAsia" w:ascii="仿宋" w:hAnsi="仿宋" w:eastAsia="仿宋" w:cs="仿宋"/>
          <w:sz w:val="32"/>
          <w:szCs w:val="32"/>
          <w:lang w:val="en-US" w:eastAsia="zh-CN"/>
        </w:rPr>
        <w:t>98</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w:t>
      </w:r>
      <w:r>
        <w:rPr>
          <w:rFonts w:hint="eastAsia" w:ascii="仿宋" w:hAnsi="仿宋" w:eastAsia="仿宋" w:cs="仿宋"/>
          <w:sz w:val="32"/>
          <w:szCs w:val="32"/>
          <w:lang w:eastAsia="zh-CN"/>
        </w:rPr>
        <w:t>，为进一步做好渌口区“湘易办”超级服务端的建设推广应用工作，本部门从阵地建设、宣传发动、应用推广、媒体助力等多方面发力，加快推进“数字渌口”数字政府建设，确保省“十大民生实事”在渌口区落实落地落细。“</w:t>
      </w:r>
      <w:r>
        <w:rPr>
          <w:rFonts w:hint="eastAsia" w:ascii="仿宋" w:hAnsi="仿宋" w:eastAsia="仿宋"/>
          <w:sz w:val="32"/>
          <w:szCs w:val="32"/>
          <w:lang w:val="en-US" w:eastAsia="zh-CN"/>
        </w:rPr>
        <w:t>渌口区规范村民建房监督管理平台新增功能模块</w:t>
      </w:r>
      <w:r>
        <w:rPr>
          <w:rFonts w:hint="eastAsia" w:ascii="仿宋_GB2312" w:eastAsia="仿宋_GB2312"/>
          <w:sz w:val="32"/>
          <w:szCs w:val="32"/>
          <w:lang w:val="en-US" w:eastAsia="zh-CN"/>
        </w:rPr>
        <w:t>经费</w:t>
      </w:r>
      <w:r>
        <w:rPr>
          <w:rFonts w:hint="eastAsia" w:ascii="仿宋" w:hAnsi="仿宋" w:eastAsia="仿宋" w:cs="仿宋"/>
          <w:sz w:val="32"/>
          <w:szCs w:val="32"/>
          <w:lang w:eastAsia="zh-CN"/>
        </w:rPr>
        <w:t>”项目全年预算数5</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万元，执行数5</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万元，完成预算的100%，部门评价得分</w:t>
      </w:r>
      <w:r>
        <w:rPr>
          <w:rFonts w:hint="eastAsia" w:ascii="仿宋" w:hAnsi="仿宋" w:eastAsia="仿宋" w:cs="仿宋"/>
          <w:sz w:val="32"/>
          <w:szCs w:val="32"/>
          <w:lang w:val="en-US" w:eastAsia="zh-CN"/>
        </w:rPr>
        <w:t>98</w:t>
      </w:r>
      <w:r>
        <w:rPr>
          <w:rFonts w:hint="eastAsia" w:ascii="仿宋" w:hAnsi="仿宋" w:eastAsia="仿宋" w:cs="仿宋"/>
          <w:sz w:val="32"/>
          <w:szCs w:val="32"/>
          <w:lang w:eastAsia="zh-CN"/>
        </w:rPr>
        <w:t>分，评价等级为“优秀”，在规范村民建房监督管理平台上新增可视化大屏端，将“一网两端三联动”总体架构拓展为“一网三端三联动”总体架构（“一张网”管理，数据大屏端、微信小程序端和后台管理端“三端”应用，区、镇、村“三级联动”工作模式），并在微信小程序端新增登录账号缓存、进度分类统计、违规工匠详情、接受通知通报等功能。进一步加强农村村民建房管理，改善人居环境，建设美丽乡村，促进城乡统筹发展。“</w:t>
      </w:r>
      <w:r>
        <w:rPr>
          <w:rFonts w:hint="eastAsia" w:ascii="仿宋" w:hAnsi="仿宋" w:eastAsia="仿宋"/>
          <w:sz w:val="32"/>
          <w:szCs w:val="32"/>
          <w:lang w:val="en-US" w:eastAsia="zh-CN"/>
        </w:rPr>
        <w:t>数字化基础支撑平台设备运维费</w:t>
      </w:r>
      <w:r>
        <w:rPr>
          <w:rFonts w:hint="eastAsia" w:ascii="仿宋" w:hAnsi="仿宋" w:eastAsia="仿宋" w:cs="仿宋"/>
          <w:sz w:val="32"/>
          <w:szCs w:val="32"/>
          <w:lang w:eastAsia="zh-CN"/>
        </w:rPr>
        <w:t>”项目全年预算数</w:t>
      </w:r>
      <w:r>
        <w:rPr>
          <w:rFonts w:hint="eastAsia" w:ascii="仿宋" w:hAnsi="仿宋" w:eastAsia="仿宋" w:cs="仿宋"/>
          <w:sz w:val="32"/>
          <w:szCs w:val="32"/>
          <w:lang w:val="en-US" w:eastAsia="zh-CN"/>
        </w:rPr>
        <w:t>30</w:t>
      </w:r>
      <w:r>
        <w:rPr>
          <w:rFonts w:hint="eastAsia" w:ascii="仿宋" w:hAnsi="仿宋" w:eastAsia="仿宋" w:cs="仿宋"/>
          <w:sz w:val="32"/>
          <w:szCs w:val="32"/>
          <w:lang w:eastAsia="zh-CN"/>
        </w:rPr>
        <w:t>万元，执行数</w:t>
      </w:r>
      <w:r>
        <w:rPr>
          <w:rFonts w:hint="eastAsia" w:ascii="仿宋" w:hAnsi="仿宋" w:eastAsia="仿宋" w:cs="仿宋"/>
          <w:sz w:val="32"/>
          <w:szCs w:val="32"/>
          <w:lang w:val="en-US" w:eastAsia="zh-CN"/>
        </w:rPr>
        <w:t>30</w:t>
      </w:r>
      <w:r>
        <w:rPr>
          <w:rFonts w:hint="eastAsia" w:ascii="仿宋" w:hAnsi="仿宋" w:eastAsia="仿宋" w:cs="仿宋"/>
          <w:sz w:val="32"/>
          <w:szCs w:val="32"/>
          <w:lang w:eastAsia="zh-CN"/>
        </w:rPr>
        <w:t>万元，完成预算的100%，部门评价得分</w:t>
      </w:r>
      <w:r>
        <w:rPr>
          <w:rFonts w:hint="eastAsia" w:ascii="仿宋" w:hAnsi="仿宋" w:eastAsia="仿宋" w:cs="仿宋"/>
          <w:sz w:val="32"/>
          <w:szCs w:val="32"/>
          <w:lang w:val="en-US" w:eastAsia="zh-CN"/>
        </w:rPr>
        <w:t>97</w:t>
      </w:r>
      <w:r>
        <w:rPr>
          <w:rFonts w:hint="eastAsia" w:ascii="仿宋" w:hAnsi="仿宋" w:eastAsia="仿宋" w:cs="仿宋"/>
          <w:sz w:val="32"/>
          <w:szCs w:val="32"/>
          <w:lang w:eastAsia="zh-CN"/>
        </w:rPr>
        <w:t>分，评价等级为“优秀”，服务内容包括机房工程运维、信息中心网络安全设备运维、信息中心主机（储存）运维、信息中心其他硬件系统运维、安全服务、应用系统运维、镇村设备运维等，确保“数字渌口”项目软硬件设备持续稳定运行。“</w:t>
      </w:r>
      <w:r>
        <w:rPr>
          <w:rFonts w:hint="eastAsia" w:ascii="仿宋" w:hAnsi="仿宋" w:eastAsia="仿宋"/>
          <w:sz w:val="32"/>
          <w:szCs w:val="32"/>
          <w:lang w:val="en-US" w:eastAsia="zh-CN"/>
        </w:rPr>
        <w:t>区大数据中心问题设备更换费用</w:t>
      </w:r>
      <w:r>
        <w:rPr>
          <w:rFonts w:hint="eastAsia" w:ascii="仿宋" w:hAnsi="仿宋" w:eastAsia="仿宋" w:cs="仿宋"/>
          <w:sz w:val="32"/>
          <w:szCs w:val="32"/>
          <w:lang w:eastAsia="zh-CN"/>
        </w:rPr>
        <w:t>”项目全年预算数</w:t>
      </w:r>
      <w:r>
        <w:rPr>
          <w:rFonts w:hint="eastAsia" w:ascii="仿宋" w:hAnsi="仿宋" w:eastAsia="仿宋" w:cs="仿宋"/>
          <w:sz w:val="32"/>
          <w:szCs w:val="32"/>
          <w:lang w:val="en-US" w:eastAsia="zh-CN"/>
        </w:rPr>
        <w:t>4.95</w:t>
      </w:r>
      <w:r>
        <w:rPr>
          <w:rFonts w:hint="eastAsia" w:ascii="仿宋" w:hAnsi="仿宋" w:eastAsia="仿宋" w:cs="仿宋"/>
          <w:sz w:val="32"/>
          <w:szCs w:val="32"/>
          <w:lang w:eastAsia="zh-CN"/>
        </w:rPr>
        <w:t>万元，执行数</w:t>
      </w:r>
      <w:r>
        <w:rPr>
          <w:rFonts w:hint="eastAsia" w:ascii="仿宋" w:hAnsi="仿宋" w:eastAsia="仿宋" w:cs="仿宋"/>
          <w:sz w:val="32"/>
          <w:szCs w:val="32"/>
          <w:lang w:val="en-US" w:eastAsia="zh-CN"/>
        </w:rPr>
        <w:t>4.95</w:t>
      </w:r>
      <w:r>
        <w:rPr>
          <w:rFonts w:hint="eastAsia" w:ascii="仿宋" w:hAnsi="仿宋" w:eastAsia="仿宋" w:cs="仿宋"/>
          <w:sz w:val="32"/>
          <w:szCs w:val="32"/>
          <w:lang w:eastAsia="zh-CN"/>
        </w:rPr>
        <w:t>万元，完成预算的100%，部门评价得分97分，评价等级为“优秀”，更换或维修七氟丙烷灭火瓶组、音频输入设备、视频会议室视频拼接器板载卡设备，保障区大数据中心正常运行。</w:t>
      </w:r>
    </w:p>
    <w:p w14:paraId="1ED3093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0</w:t>
      </w:r>
      <w:r>
        <w:rPr>
          <w:rFonts w:ascii="仿宋" w:hAnsi="仿宋" w:eastAsia="仿宋" w:cs="仿宋"/>
          <w:sz w:val="32"/>
          <w:szCs w:val="32"/>
        </w:rPr>
        <w:t>项目评估通过，涉及资金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6F287AA5">
      <w:pPr>
        <w:pStyle w:val="26"/>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right="0" w:rightChars="0" w:firstLine="643" w:firstLineChars="200"/>
        <w:rPr>
          <w:rFonts w:hint="default" w:ascii="Times New Roman" w:hAnsi="Times New Roman" w:eastAsia="仿宋" w:cs="Times New Roman"/>
          <w:color w:val="auto"/>
          <w:kern w:val="2"/>
          <w:sz w:val="32"/>
          <w:szCs w:val="32"/>
          <w:highlight w:val="yellow"/>
        </w:rPr>
      </w:pPr>
      <w:r>
        <w:rPr>
          <w:rFonts w:ascii="仿宋" w:hAnsi="仿宋" w:eastAsia="仿宋" w:cs="Times New Roman"/>
          <w:b/>
          <w:bCs/>
          <w:color w:val="auto"/>
          <w:kern w:val="2"/>
          <w:sz w:val="32"/>
          <w:szCs w:val="32"/>
        </w:rPr>
        <w:t>（三）评价结果应用情况。</w:t>
      </w:r>
      <w:r>
        <w:rPr>
          <w:rFonts w:hint="eastAsia" w:ascii="仿宋" w:hAnsi="仿宋" w:eastAsia="仿宋" w:cs="仿宋"/>
          <w:kern w:val="2"/>
          <w:sz w:val="32"/>
          <w:szCs w:val="32"/>
          <w:lang w:val="en-US" w:eastAsia="zh-CN" w:bidi="ar-SA"/>
        </w:rPr>
        <w:t>2024年，我单位深入贯彻党的二十大精神，认真落实上级决策部署，按照财政“大绩效”的管理理念，严格按照年初预算批复认真组织实施,严格执行财经纪律相关管理规定，扎实推进预算绩效管理工作，不断完善预算绩效管理体系建设。一是组织开展事前绩效评估，在源头上做好管控，严格执行“无绩效不预算”的要求，切实做好财政支出的第一道关卡；二是狠抓绩效目标，结合预算管理一体化系统，进一步规范资金绩效管理，确保资金投入与绩效产出结果相匹配、相适应；三是积极开展预算支出绩效运行监控管理，通过自主监控的方式促进绩效目标的实现，同时提高资金使用效益；四是积极参加绩效培训，与其他单位的财务人员进行交流与学习，提高财务人员的预算绩效管理的素质，健全预算绩效管理机制。</w:t>
      </w:r>
    </w:p>
    <w:p w14:paraId="1087A489">
      <w:pPr>
        <w:pStyle w:val="16"/>
        <w:tabs>
          <w:tab w:val="left" w:pos="3381"/>
        </w:tabs>
        <w:overflowPunct w:val="0"/>
        <w:autoSpaceDE/>
        <w:autoSpaceDN/>
        <w:adjustRightInd/>
        <w:spacing w:before="15" w:beforeLines="5"/>
        <w:ind w:left="420" w:leftChars="200" w:right="155" w:rightChars="74" w:firstLine="640" w:firstLineChars="200"/>
        <w:jc w:val="both"/>
        <w:rPr>
          <w:rFonts w:hint="eastAsia" w:ascii="仿宋" w:hAnsi="仿宋" w:eastAsia="仿宋" w:cs="仿宋"/>
          <w:color w:val="auto"/>
          <w:kern w:val="2"/>
          <w:sz w:val="32"/>
          <w:szCs w:val="32"/>
        </w:rPr>
      </w:pPr>
    </w:p>
    <w:p w14:paraId="24D582E0">
      <w:pPr>
        <w:pStyle w:val="16"/>
        <w:spacing w:line="640" w:lineRule="exact"/>
        <w:jc w:val="center"/>
        <w:rPr>
          <w:rFonts w:hint="eastAsia" w:ascii="仿宋" w:hAnsi="仿宋" w:eastAsia="仿宋" w:cs="Times New Roman"/>
          <w:sz w:val="72"/>
          <w:szCs w:val="72"/>
        </w:rPr>
      </w:pPr>
    </w:p>
    <w:p w14:paraId="3285DB7B">
      <w:pPr>
        <w:pStyle w:val="16"/>
        <w:spacing w:line="640" w:lineRule="exact"/>
        <w:jc w:val="center"/>
        <w:rPr>
          <w:rFonts w:hint="eastAsia" w:ascii="仿宋" w:hAnsi="仿宋" w:eastAsia="仿宋" w:cs="Times New Roman"/>
          <w:sz w:val="72"/>
          <w:szCs w:val="72"/>
        </w:rPr>
      </w:pPr>
    </w:p>
    <w:p w14:paraId="71446FA0">
      <w:pPr>
        <w:pStyle w:val="16"/>
        <w:spacing w:line="640" w:lineRule="exact"/>
        <w:jc w:val="center"/>
        <w:rPr>
          <w:rFonts w:hint="eastAsia" w:ascii="仿宋" w:hAnsi="仿宋" w:eastAsia="仿宋" w:cs="Times New Roman"/>
          <w:sz w:val="72"/>
          <w:szCs w:val="72"/>
        </w:rPr>
      </w:pPr>
    </w:p>
    <w:p w14:paraId="5B7A6433">
      <w:pPr>
        <w:pStyle w:val="16"/>
        <w:spacing w:line="640" w:lineRule="exact"/>
        <w:jc w:val="center"/>
        <w:rPr>
          <w:rFonts w:hint="eastAsia" w:ascii="仿宋" w:hAnsi="仿宋" w:eastAsia="仿宋" w:cs="Times New Roman"/>
          <w:sz w:val="72"/>
          <w:szCs w:val="72"/>
        </w:rPr>
      </w:pPr>
    </w:p>
    <w:p w14:paraId="764B4CC4">
      <w:pPr>
        <w:pStyle w:val="16"/>
        <w:spacing w:line="640" w:lineRule="exact"/>
        <w:jc w:val="center"/>
        <w:rPr>
          <w:rFonts w:hint="eastAsia" w:ascii="仿宋" w:hAnsi="仿宋" w:eastAsia="仿宋" w:cs="Times New Roman"/>
          <w:sz w:val="72"/>
          <w:szCs w:val="72"/>
        </w:rPr>
      </w:pPr>
    </w:p>
    <w:p w14:paraId="6CCCC55E">
      <w:pPr>
        <w:pStyle w:val="16"/>
        <w:spacing w:line="640" w:lineRule="exact"/>
        <w:jc w:val="center"/>
        <w:rPr>
          <w:rFonts w:hint="eastAsia" w:ascii="仿宋" w:hAnsi="仿宋" w:eastAsia="仿宋" w:cs="Times New Roman"/>
          <w:sz w:val="72"/>
          <w:szCs w:val="72"/>
        </w:rPr>
      </w:pPr>
    </w:p>
    <w:p w14:paraId="6D68022E">
      <w:pPr>
        <w:pStyle w:val="16"/>
        <w:spacing w:line="640" w:lineRule="exact"/>
        <w:jc w:val="center"/>
        <w:rPr>
          <w:rFonts w:hint="eastAsia" w:ascii="仿宋" w:hAnsi="仿宋" w:eastAsia="仿宋" w:cs="Times New Roman"/>
          <w:sz w:val="72"/>
          <w:szCs w:val="72"/>
        </w:rPr>
      </w:pPr>
    </w:p>
    <w:p w14:paraId="123BEEE7">
      <w:pPr>
        <w:pStyle w:val="16"/>
        <w:spacing w:line="640" w:lineRule="exact"/>
        <w:jc w:val="center"/>
        <w:rPr>
          <w:rFonts w:hint="eastAsia" w:ascii="仿宋" w:hAnsi="仿宋" w:eastAsia="仿宋" w:cs="Times New Roman"/>
          <w:sz w:val="72"/>
          <w:szCs w:val="72"/>
        </w:rPr>
      </w:pPr>
    </w:p>
    <w:p w14:paraId="5AD44623">
      <w:pPr>
        <w:pStyle w:val="16"/>
        <w:spacing w:line="640" w:lineRule="exact"/>
        <w:jc w:val="center"/>
        <w:rPr>
          <w:rFonts w:hint="eastAsia" w:ascii="仿宋" w:hAnsi="仿宋" w:eastAsia="仿宋" w:cs="Times New Roman"/>
          <w:sz w:val="72"/>
          <w:szCs w:val="72"/>
        </w:rPr>
      </w:pPr>
    </w:p>
    <w:p w14:paraId="0A3BE344">
      <w:pPr>
        <w:pStyle w:val="16"/>
        <w:spacing w:line="640" w:lineRule="exact"/>
        <w:jc w:val="center"/>
        <w:rPr>
          <w:rFonts w:hint="eastAsia" w:ascii="仿宋" w:hAnsi="仿宋" w:eastAsia="仿宋" w:cs="Times New Roman"/>
          <w:sz w:val="72"/>
          <w:szCs w:val="72"/>
        </w:rPr>
      </w:pPr>
    </w:p>
    <w:p w14:paraId="2846C273">
      <w:pPr>
        <w:pStyle w:val="16"/>
        <w:spacing w:line="640" w:lineRule="exact"/>
        <w:jc w:val="both"/>
        <w:rPr>
          <w:rFonts w:hint="eastAsia" w:ascii="仿宋" w:hAnsi="仿宋" w:eastAsia="仿宋" w:cs="Times New Roman"/>
          <w:sz w:val="72"/>
          <w:szCs w:val="72"/>
        </w:rPr>
      </w:pPr>
    </w:p>
    <w:p w14:paraId="3BE142A6">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1B960F1">
      <w:pPr>
        <w:pStyle w:val="16"/>
        <w:spacing w:line="640" w:lineRule="exact"/>
        <w:jc w:val="both"/>
        <w:rPr>
          <w:rFonts w:hint="eastAsia" w:ascii="仿宋" w:hAnsi="仿宋" w:eastAsia="仿宋" w:cs="Times New Roman"/>
          <w:sz w:val="32"/>
          <w:szCs w:val="32"/>
        </w:rPr>
      </w:pPr>
    </w:p>
    <w:p w14:paraId="6CA1A3B3">
      <w:pPr>
        <w:pStyle w:val="16"/>
        <w:spacing w:line="640" w:lineRule="exact"/>
        <w:jc w:val="center"/>
        <w:rPr>
          <w:rFonts w:hint="eastAsia" w:ascii="仿宋" w:hAnsi="仿宋" w:eastAsia="仿宋" w:cs="Times New Roman"/>
          <w:sz w:val="32"/>
          <w:szCs w:val="32"/>
        </w:rPr>
      </w:pPr>
    </w:p>
    <w:p w14:paraId="5EA0DF94">
      <w:pPr>
        <w:pStyle w:val="16"/>
        <w:spacing w:line="640" w:lineRule="exact"/>
        <w:jc w:val="center"/>
        <w:rPr>
          <w:rFonts w:hint="eastAsia" w:ascii="仿宋" w:hAnsi="仿宋" w:eastAsia="仿宋" w:cs="Times New Roman"/>
          <w:sz w:val="32"/>
          <w:szCs w:val="32"/>
        </w:rPr>
      </w:pPr>
    </w:p>
    <w:p w14:paraId="2DFBA407">
      <w:pPr>
        <w:pStyle w:val="16"/>
        <w:spacing w:line="640" w:lineRule="exact"/>
        <w:jc w:val="center"/>
        <w:rPr>
          <w:rFonts w:hint="eastAsia" w:ascii="仿宋" w:hAnsi="仿宋" w:eastAsia="仿宋" w:cs="Times New Roman"/>
          <w:sz w:val="32"/>
          <w:szCs w:val="32"/>
        </w:rPr>
      </w:pPr>
    </w:p>
    <w:p w14:paraId="0589DD2A">
      <w:pPr>
        <w:pStyle w:val="16"/>
        <w:spacing w:line="640" w:lineRule="exact"/>
        <w:jc w:val="center"/>
        <w:rPr>
          <w:rFonts w:hint="eastAsia" w:ascii="仿宋" w:hAnsi="仿宋" w:eastAsia="仿宋" w:cs="Times New Roman"/>
          <w:sz w:val="32"/>
          <w:szCs w:val="32"/>
        </w:rPr>
      </w:pPr>
    </w:p>
    <w:p w14:paraId="15244EE8">
      <w:pPr>
        <w:pStyle w:val="16"/>
        <w:spacing w:line="640" w:lineRule="exact"/>
        <w:jc w:val="center"/>
        <w:rPr>
          <w:rFonts w:hint="eastAsia" w:ascii="仿宋" w:hAnsi="仿宋" w:eastAsia="仿宋" w:cs="Times New Roman"/>
          <w:sz w:val="32"/>
          <w:szCs w:val="32"/>
        </w:rPr>
      </w:pPr>
    </w:p>
    <w:p w14:paraId="79B7EF5C">
      <w:pPr>
        <w:pStyle w:val="16"/>
        <w:spacing w:line="640" w:lineRule="exact"/>
        <w:rPr>
          <w:rFonts w:hint="eastAsia" w:ascii="仿宋" w:hAnsi="仿宋" w:eastAsia="仿宋" w:cs="Times New Roman"/>
          <w:sz w:val="32"/>
          <w:szCs w:val="32"/>
        </w:rPr>
      </w:pPr>
    </w:p>
    <w:p w14:paraId="44B78C7F">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55121CDD">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2CCB1FC7">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2B22D04A">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03D90663">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2AC5BEC">
      <w:pPr>
        <w:pStyle w:val="16"/>
        <w:spacing w:line="640" w:lineRule="exact"/>
        <w:jc w:val="center"/>
        <w:rPr>
          <w:rFonts w:hint="eastAsia" w:ascii="仿宋" w:hAnsi="仿宋" w:eastAsia="仿宋" w:cs="Times New Roman"/>
          <w:sz w:val="72"/>
          <w:szCs w:val="72"/>
        </w:rPr>
      </w:pPr>
    </w:p>
    <w:p w14:paraId="4091DB79">
      <w:pPr>
        <w:pStyle w:val="16"/>
        <w:spacing w:line="640" w:lineRule="exact"/>
        <w:jc w:val="center"/>
        <w:rPr>
          <w:rFonts w:hint="eastAsia" w:ascii="仿宋" w:hAnsi="仿宋" w:eastAsia="仿宋" w:cs="Times New Roman"/>
          <w:sz w:val="72"/>
          <w:szCs w:val="72"/>
        </w:rPr>
      </w:pPr>
    </w:p>
    <w:p w14:paraId="6F99CA7E">
      <w:pPr>
        <w:pStyle w:val="16"/>
        <w:spacing w:line="640" w:lineRule="exact"/>
        <w:jc w:val="center"/>
        <w:rPr>
          <w:rFonts w:hint="eastAsia" w:ascii="仿宋" w:hAnsi="仿宋" w:eastAsia="仿宋" w:cs="Times New Roman"/>
          <w:sz w:val="72"/>
          <w:szCs w:val="72"/>
        </w:rPr>
      </w:pPr>
    </w:p>
    <w:p w14:paraId="388D46D0">
      <w:pPr>
        <w:pStyle w:val="16"/>
        <w:spacing w:line="640" w:lineRule="exact"/>
        <w:jc w:val="center"/>
        <w:rPr>
          <w:rFonts w:hint="eastAsia" w:ascii="仿宋" w:hAnsi="仿宋" w:eastAsia="仿宋" w:cs="Times New Roman"/>
          <w:sz w:val="72"/>
          <w:szCs w:val="72"/>
        </w:rPr>
      </w:pPr>
    </w:p>
    <w:p w14:paraId="63A68FB6">
      <w:pPr>
        <w:pStyle w:val="16"/>
        <w:spacing w:line="640" w:lineRule="exact"/>
        <w:jc w:val="center"/>
        <w:rPr>
          <w:rFonts w:hint="eastAsia" w:ascii="仿宋" w:hAnsi="仿宋" w:eastAsia="仿宋" w:cs="Times New Roman"/>
          <w:sz w:val="72"/>
          <w:szCs w:val="72"/>
        </w:rPr>
      </w:pPr>
    </w:p>
    <w:p w14:paraId="116FBCD1">
      <w:pPr>
        <w:pStyle w:val="16"/>
        <w:spacing w:line="640" w:lineRule="exact"/>
        <w:jc w:val="center"/>
        <w:rPr>
          <w:rFonts w:hint="eastAsia" w:ascii="仿宋" w:hAnsi="仿宋" w:eastAsia="仿宋" w:cs="Times New Roman"/>
          <w:sz w:val="72"/>
          <w:szCs w:val="72"/>
        </w:rPr>
      </w:pPr>
    </w:p>
    <w:p w14:paraId="500AF311">
      <w:pPr>
        <w:pStyle w:val="16"/>
        <w:spacing w:line="640" w:lineRule="exact"/>
        <w:jc w:val="center"/>
        <w:rPr>
          <w:rFonts w:hint="eastAsia" w:ascii="仿宋" w:hAnsi="仿宋" w:eastAsia="仿宋" w:cs="Times New Roman"/>
          <w:sz w:val="72"/>
          <w:szCs w:val="72"/>
        </w:rPr>
      </w:pPr>
    </w:p>
    <w:p w14:paraId="4EDE3D2F">
      <w:pPr>
        <w:pStyle w:val="16"/>
        <w:spacing w:line="640" w:lineRule="exact"/>
        <w:jc w:val="center"/>
        <w:rPr>
          <w:rFonts w:hint="eastAsia" w:ascii="仿宋" w:hAnsi="仿宋" w:eastAsia="仿宋" w:cs="Times New Roman"/>
          <w:sz w:val="72"/>
          <w:szCs w:val="72"/>
        </w:rPr>
      </w:pPr>
    </w:p>
    <w:p w14:paraId="5ED74F3F">
      <w:pPr>
        <w:pStyle w:val="16"/>
        <w:spacing w:line="640" w:lineRule="exact"/>
        <w:jc w:val="center"/>
        <w:rPr>
          <w:rFonts w:hint="eastAsia" w:ascii="仿宋" w:hAnsi="仿宋" w:eastAsia="仿宋" w:cs="Times New Roman"/>
          <w:sz w:val="72"/>
          <w:szCs w:val="72"/>
        </w:rPr>
      </w:pPr>
    </w:p>
    <w:p w14:paraId="79D9D0A2">
      <w:pPr>
        <w:pStyle w:val="16"/>
        <w:spacing w:line="640" w:lineRule="exact"/>
        <w:jc w:val="center"/>
        <w:rPr>
          <w:rFonts w:hint="eastAsia" w:ascii="仿宋" w:hAnsi="仿宋" w:eastAsia="仿宋" w:cs="Times New Roman"/>
          <w:sz w:val="72"/>
          <w:szCs w:val="72"/>
        </w:rPr>
      </w:pPr>
    </w:p>
    <w:p w14:paraId="2B2D9E3E">
      <w:pPr>
        <w:pStyle w:val="16"/>
        <w:spacing w:line="640" w:lineRule="exact"/>
        <w:jc w:val="center"/>
        <w:rPr>
          <w:rFonts w:hint="eastAsia" w:ascii="仿宋" w:hAnsi="仿宋" w:eastAsia="仿宋" w:cs="Times New Roman"/>
          <w:sz w:val="72"/>
          <w:szCs w:val="72"/>
        </w:rPr>
      </w:pPr>
    </w:p>
    <w:p w14:paraId="45ABAD74">
      <w:pPr>
        <w:pStyle w:val="16"/>
        <w:spacing w:line="640" w:lineRule="exact"/>
        <w:jc w:val="center"/>
        <w:rPr>
          <w:rFonts w:hint="eastAsia" w:ascii="仿宋" w:hAnsi="仿宋" w:eastAsia="仿宋" w:cs="Times New Roman"/>
          <w:sz w:val="72"/>
          <w:szCs w:val="72"/>
        </w:rPr>
      </w:pPr>
    </w:p>
    <w:p w14:paraId="10E7D30E">
      <w:pPr>
        <w:pStyle w:val="16"/>
        <w:spacing w:line="640" w:lineRule="exact"/>
        <w:jc w:val="center"/>
        <w:rPr>
          <w:rFonts w:hint="eastAsia" w:ascii="仿宋" w:hAnsi="仿宋" w:eastAsia="仿宋" w:cs="Times New Roman"/>
          <w:sz w:val="72"/>
          <w:szCs w:val="72"/>
        </w:rPr>
      </w:pPr>
    </w:p>
    <w:p w14:paraId="4847F2B4">
      <w:pPr>
        <w:pStyle w:val="16"/>
        <w:spacing w:line="640" w:lineRule="exact"/>
        <w:jc w:val="center"/>
        <w:rPr>
          <w:rFonts w:hint="eastAsia" w:ascii="仿宋" w:hAnsi="仿宋" w:eastAsia="仿宋" w:cs="Times New Roman"/>
          <w:sz w:val="72"/>
          <w:szCs w:val="72"/>
        </w:rPr>
      </w:pPr>
    </w:p>
    <w:p w14:paraId="73FB9177">
      <w:pPr>
        <w:pStyle w:val="16"/>
        <w:spacing w:line="640" w:lineRule="exact"/>
        <w:jc w:val="center"/>
        <w:rPr>
          <w:rFonts w:hint="eastAsia" w:ascii="仿宋" w:hAnsi="仿宋" w:eastAsia="仿宋" w:cs="Times New Roman"/>
          <w:sz w:val="72"/>
          <w:szCs w:val="72"/>
        </w:rPr>
      </w:pPr>
    </w:p>
    <w:p w14:paraId="6E8CA875">
      <w:pPr>
        <w:pStyle w:val="16"/>
        <w:spacing w:line="640" w:lineRule="exact"/>
        <w:jc w:val="center"/>
        <w:rPr>
          <w:rFonts w:hint="eastAsia" w:ascii="仿宋" w:hAnsi="仿宋" w:eastAsia="仿宋" w:cs="Times New Roman"/>
          <w:sz w:val="72"/>
          <w:szCs w:val="72"/>
        </w:rPr>
      </w:pPr>
    </w:p>
    <w:p w14:paraId="2182B4D8">
      <w:pPr>
        <w:pStyle w:val="16"/>
        <w:spacing w:line="640" w:lineRule="exact"/>
        <w:jc w:val="center"/>
        <w:rPr>
          <w:rFonts w:hint="eastAsia" w:ascii="仿宋" w:hAnsi="仿宋" w:eastAsia="仿宋" w:cs="Times New Roman"/>
          <w:sz w:val="72"/>
          <w:szCs w:val="72"/>
        </w:rPr>
      </w:pPr>
    </w:p>
    <w:p w14:paraId="06874196">
      <w:pPr>
        <w:pStyle w:val="16"/>
        <w:spacing w:line="640" w:lineRule="exact"/>
        <w:jc w:val="center"/>
        <w:rPr>
          <w:rFonts w:hint="eastAsia" w:ascii="仿宋" w:hAnsi="仿宋" w:eastAsia="仿宋" w:cs="Times New Roman"/>
          <w:sz w:val="72"/>
          <w:szCs w:val="72"/>
        </w:rPr>
      </w:pPr>
    </w:p>
    <w:p w14:paraId="5F5199B0">
      <w:pPr>
        <w:pStyle w:val="16"/>
        <w:spacing w:line="640" w:lineRule="exact"/>
        <w:jc w:val="center"/>
        <w:rPr>
          <w:rFonts w:hint="eastAsia" w:ascii="仿宋" w:hAnsi="仿宋" w:eastAsia="仿宋" w:cs="Times New Roman"/>
          <w:sz w:val="72"/>
          <w:szCs w:val="72"/>
        </w:rPr>
      </w:pPr>
    </w:p>
    <w:p w14:paraId="3D4FE85E">
      <w:pPr>
        <w:pStyle w:val="16"/>
        <w:spacing w:line="640" w:lineRule="exact"/>
        <w:jc w:val="both"/>
        <w:rPr>
          <w:rFonts w:hint="eastAsia" w:ascii="仿宋" w:hAnsi="仿宋" w:eastAsia="仿宋" w:cs="Times New Roman"/>
          <w:sz w:val="72"/>
          <w:szCs w:val="72"/>
        </w:rPr>
      </w:pPr>
    </w:p>
    <w:p w14:paraId="15A29370">
      <w:pPr>
        <w:pStyle w:val="16"/>
        <w:jc w:val="center"/>
        <w:rPr>
          <w:rFonts w:hint="eastAsia" w:ascii="仿宋" w:hAnsi="仿宋" w:eastAsia="仿宋" w:cs="仿宋"/>
          <w:b/>
          <w:bCs/>
          <w:sz w:val="52"/>
          <w:szCs w:val="52"/>
        </w:rPr>
      </w:pPr>
      <w:r>
        <w:rPr>
          <w:rFonts w:ascii="仿宋" w:hAnsi="仿宋" w:eastAsia="仿宋" w:cs="仿宋"/>
          <w:b/>
          <w:bCs/>
          <w:sz w:val="52"/>
          <w:szCs w:val="52"/>
        </w:rPr>
        <w:t>第五部分</w:t>
      </w:r>
    </w:p>
    <w:p w14:paraId="516E1A1B">
      <w:pPr>
        <w:pStyle w:val="4"/>
        <w:ind w:firstLine="0"/>
        <w:jc w:val="center"/>
        <w:rPr>
          <w:rFonts w:hint="eastAsia" w:ascii="仿宋" w:hAnsi="仿宋" w:eastAsia="仿宋"/>
          <w:sz w:val="52"/>
          <w:szCs w:val="52"/>
        </w:rPr>
      </w:pPr>
    </w:p>
    <w:p w14:paraId="6C8756F5">
      <w:pPr>
        <w:pStyle w:val="4"/>
        <w:ind w:firstLine="0"/>
        <w:jc w:val="center"/>
        <w:rPr>
          <w:rFonts w:hint="eastAsia" w:ascii="仿宋" w:hAnsi="仿宋" w:eastAsia="仿宋"/>
          <w:b/>
          <w:bCs/>
          <w:sz w:val="52"/>
          <w:szCs w:val="52"/>
        </w:rPr>
      </w:pPr>
      <w:r>
        <w:rPr>
          <w:rFonts w:ascii="仿宋" w:hAnsi="仿宋" w:eastAsia="仿宋"/>
          <w:b/>
          <w:bCs/>
          <w:sz w:val="52"/>
          <w:szCs w:val="52"/>
        </w:rPr>
        <w:t>附 件</w:t>
      </w:r>
    </w:p>
    <w:p w14:paraId="7D74EF10">
      <w:pPr>
        <w:pStyle w:val="16"/>
        <w:spacing w:line="640" w:lineRule="exact"/>
        <w:jc w:val="center"/>
        <w:rPr>
          <w:rFonts w:hint="eastAsia" w:ascii="仿宋" w:hAnsi="仿宋" w:eastAsia="仿宋" w:cs="Times New Roman"/>
          <w:sz w:val="52"/>
          <w:szCs w:val="52"/>
        </w:rPr>
      </w:pPr>
    </w:p>
    <w:p w14:paraId="515A032A">
      <w:pPr>
        <w:pStyle w:val="16"/>
        <w:spacing w:line="640" w:lineRule="exact"/>
        <w:jc w:val="center"/>
        <w:rPr>
          <w:rFonts w:hint="eastAsia" w:ascii="仿宋" w:hAnsi="仿宋" w:eastAsia="仿宋" w:cs="Times New Roman"/>
          <w:sz w:val="52"/>
          <w:szCs w:val="52"/>
        </w:rPr>
      </w:pPr>
    </w:p>
    <w:p w14:paraId="24936556">
      <w:pPr>
        <w:pStyle w:val="16"/>
        <w:spacing w:line="640" w:lineRule="exact"/>
        <w:jc w:val="center"/>
        <w:rPr>
          <w:rFonts w:hint="eastAsia" w:ascii="仿宋" w:hAnsi="仿宋" w:eastAsia="仿宋" w:cs="Times New Roman"/>
          <w:sz w:val="52"/>
          <w:szCs w:val="52"/>
        </w:rPr>
      </w:pPr>
    </w:p>
    <w:p w14:paraId="2444E1E4">
      <w:pPr>
        <w:pStyle w:val="16"/>
        <w:spacing w:line="640" w:lineRule="exact"/>
        <w:jc w:val="center"/>
        <w:rPr>
          <w:rFonts w:hint="eastAsia" w:ascii="仿宋" w:hAnsi="仿宋" w:eastAsia="仿宋" w:cs="Times New Roman"/>
          <w:sz w:val="52"/>
          <w:szCs w:val="52"/>
        </w:rPr>
      </w:pPr>
    </w:p>
    <w:p w14:paraId="1F27AADF">
      <w:pPr>
        <w:pStyle w:val="16"/>
        <w:spacing w:line="640" w:lineRule="exact"/>
        <w:jc w:val="center"/>
        <w:rPr>
          <w:rFonts w:hint="eastAsia" w:ascii="仿宋" w:hAnsi="仿宋" w:eastAsia="仿宋" w:cs="Times New Roman"/>
          <w:sz w:val="52"/>
          <w:szCs w:val="52"/>
        </w:rPr>
      </w:pPr>
    </w:p>
    <w:p w14:paraId="02B87AC4">
      <w:pPr>
        <w:pStyle w:val="16"/>
        <w:spacing w:line="640" w:lineRule="exact"/>
        <w:jc w:val="center"/>
        <w:rPr>
          <w:rFonts w:hint="eastAsia" w:ascii="仿宋" w:hAnsi="仿宋" w:eastAsia="仿宋" w:cs="Times New Roman"/>
          <w:sz w:val="52"/>
          <w:szCs w:val="52"/>
        </w:rPr>
      </w:pPr>
    </w:p>
    <w:p w14:paraId="60353141">
      <w:pPr>
        <w:pStyle w:val="16"/>
        <w:spacing w:line="640" w:lineRule="exact"/>
        <w:jc w:val="center"/>
        <w:rPr>
          <w:rFonts w:hint="eastAsia" w:ascii="仿宋" w:hAnsi="仿宋" w:eastAsia="仿宋" w:cs="Times New Roman"/>
          <w:sz w:val="52"/>
          <w:szCs w:val="52"/>
        </w:rPr>
      </w:pPr>
    </w:p>
    <w:p w14:paraId="7AD9CDF4">
      <w:pPr>
        <w:pStyle w:val="16"/>
        <w:spacing w:line="640" w:lineRule="exact"/>
        <w:jc w:val="center"/>
        <w:rPr>
          <w:rFonts w:hint="eastAsia" w:ascii="仿宋" w:hAnsi="仿宋" w:eastAsia="仿宋" w:cs="Times New Roman"/>
          <w:sz w:val="52"/>
          <w:szCs w:val="52"/>
        </w:rPr>
      </w:pPr>
    </w:p>
    <w:p w14:paraId="15FBBA86">
      <w:pPr>
        <w:pStyle w:val="16"/>
        <w:spacing w:line="640" w:lineRule="exact"/>
        <w:jc w:val="center"/>
        <w:rPr>
          <w:rFonts w:hint="eastAsia" w:ascii="仿宋" w:hAnsi="仿宋" w:eastAsia="仿宋" w:cs="Times New Roman"/>
          <w:sz w:val="52"/>
          <w:szCs w:val="52"/>
        </w:rPr>
      </w:pPr>
    </w:p>
    <w:p w14:paraId="280ECAFD">
      <w:pPr>
        <w:pStyle w:val="16"/>
        <w:spacing w:line="640" w:lineRule="exact"/>
        <w:jc w:val="center"/>
        <w:rPr>
          <w:rFonts w:hint="eastAsia" w:ascii="仿宋" w:hAnsi="仿宋" w:eastAsia="仿宋" w:cs="Times New Roman"/>
          <w:sz w:val="52"/>
          <w:szCs w:val="52"/>
        </w:rPr>
      </w:pPr>
    </w:p>
    <w:p w14:paraId="18AB0678">
      <w:pPr>
        <w:pStyle w:val="16"/>
        <w:spacing w:line="640" w:lineRule="exact"/>
        <w:jc w:val="center"/>
        <w:rPr>
          <w:rFonts w:hint="eastAsia" w:ascii="仿宋" w:hAnsi="仿宋" w:eastAsia="仿宋" w:cs="Times New Roman"/>
          <w:sz w:val="52"/>
          <w:szCs w:val="52"/>
        </w:rPr>
      </w:pPr>
    </w:p>
    <w:p w14:paraId="3500F7DD">
      <w:pPr>
        <w:pStyle w:val="16"/>
        <w:spacing w:line="640" w:lineRule="exact"/>
        <w:jc w:val="center"/>
        <w:rPr>
          <w:rFonts w:hint="eastAsia" w:ascii="仿宋" w:hAnsi="仿宋" w:eastAsia="仿宋" w:cs="Times New Roman"/>
          <w:sz w:val="52"/>
          <w:szCs w:val="52"/>
        </w:rPr>
      </w:pPr>
    </w:p>
    <w:p w14:paraId="1F78C087">
      <w:pPr>
        <w:pStyle w:val="16"/>
        <w:spacing w:line="640" w:lineRule="exact"/>
        <w:jc w:val="center"/>
        <w:rPr>
          <w:rFonts w:hint="eastAsia" w:ascii="仿宋" w:hAnsi="仿宋" w:eastAsia="仿宋" w:cs="Times New Roman"/>
          <w:sz w:val="52"/>
          <w:szCs w:val="52"/>
        </w:rPr>
      </w:pPr>
    </w:p>
    <w:p w14:paraId="22001726">
      <w:pPr>
        <w:spacing w:line="640" w:lineRule="exact"/>
        <w:rPr>
          <w:rFonts w:hint="eastAsia" w:ascii="仿宋" w:hAnsi="仿宋" w:eastAsia="仿宋" w:cs="Times New Roman"/>
          <w:sz w:val="72"/>
          <w:szCs w:val="72"/>
        </w:rPr>
      </w:pPr>
    </w:p>
    <w:p w14:paraId="3069C74F">
      <w:pPr>
        <w:pStyle w:val="16"/>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547FE705">
      <w:pPr>
        <w:pStyle w:val="16"/>
        <w:jc w:val="center"/>
        <w:rPr>
          <w:rFonts w:hint="eastAsia" w:ascii="仿宋" w:hAnsi="仿宋" w:eastAsia="仿宋" w:cs="Times New Roman"/>
          <w:sz w:val="72"/>
          <w:szCs w:val="72"/>
        </w:rPr>
      </w:pPr>
    </w:p>
    <w:p w14:paraId="3717ABC2">
      <w:pPr>
        <w:jc w:val="center"/>
        <w:rPr>
          <w:rFonts w:hint="eastAsia" w:ascii="方正小标宋_GBK" w:hAnsi="方正小标宋_GBK" w:eastAsia="方正小标宋_GBK" w:cs="方正小标宋_GBK"/>
          <w:sz w:val="40"/>
          <w:szCs w:val="32"/>
          <w:lang w:eastAsia="zh-CN"/>
        </w:rPr>
      </w:pPr>
      <w:r>
        <w:rPr>
          <w:rFonts w:hint="eastAsia" w:ascii="方正小标宋_GBK" w:hAnsi="方正小标宋_GBK" w:eastAsia="方正小标宋_GBK" w:cs="方正小标宋_GBK"/>
          <w:sz w:val="40"/>
          <w:szCs w:val="32"/>
        </w:rPr>
        <w:t>2024年度</w:t>
      </w:r>
      <w:r>
        <w:rPr>
          <w:rFonts w:hint="eastAsia" w:ascii="方正小标宋_GBK" w:hAnsi="方正小标宋_GBK" w:eastAsia="方正小标宋_GBK" w:cs="方正小标宋_GBK"/>
          <w:sz w:val="40"/>
          <w:szCs w:val="32"/>
          <w:lang w:eastAsia="zh-CN"/>
        </w:rPr>
        <w:t>株洲市渌口区行政审批服务局</w:t>
      </w:r>
    </w:p>
    <w:p w14:paraId="5F45B682">
      <w:pPr>
        <w:jc w:val="center"/>
        <w:rPr>
          <w:rFonts w:hint="eastAsia" w:ascii="方正小标宋_GBK" w:hAnsi="方正小标宋_GBK" w:eastAsia="方正小标宋_GBK" w:cs="方正小标宋_GBK"/>
          <w:sz w:val="40"/>
          <w:szCs w:val="32"/>
          <w:lang w:eastAsia="zh-CN"/>
        </w:rPr>
      </w:pPr>
      <w:r>
        <w:rPr>
          <w:rFonts w:hint="eastAsia" w:ascii="方正小标宋_GBK" w:hAnsi="方正小标宋_GBK" w:eastAsia="方正小标宋_GBK" w:cs="方正小标宋_GBK"/>
          <w:sz w:val="40"/>
          <w:szCs w:val="32"/>
          <w:lang w:eastAsia="zh-CN"/>
        </w:rPr>
        <w:t>整体支出绩效自评报告</w:t>
      </w:r>
    </w:p>
    <w:p w14:paraId="7950AD2D">
      <w:pPr>
        <w:jc w:val="center"/>
        <w:rPr>
          <w:rFonts w:hint="eastAsia" w:ascii="方正小标宋简体" w:eastAsia="方正小标宋简体"/>
          <w:sz w:val="40"/>
          <w:szCs w:val="32"/>
          <w:lang w:eastAsia="zh-CN"/>
        </w:rPr>
      </w:pPr>
    </w:p>
    <w:p w14:paraId="47CF6E4E">
      <w:pPr>
        <w:tabs>
          <w:tab w:val="left" w:pos="7560"/>
        </w:tabs>
        <w:adjustRightInd w:val="0"/>
        <w:snapToGrid w:val="0"/>
        <w:spacing w:line="560" w:lineRule="exact"/>
        <w:ind w:firstLine="640" w:firstLineChars="200"/>
        <w:rPr>
          <w:rFonts w:hint="eastAsia" w:ascii="仿宋_GB2312" w:eastAsia="仿宋_GB2312"/>
          <w:sz w:val="32"/>
          <w:szCs w:val="32"/>
          <w:highlight w:val="yellow"/>
        </w:rPr>
      </w:pPr>
      <w:r>
        <w:rPr>
          <w:rFonts w:hint="eastAsia" w:ascii="黑体" w:hAnsi="黑体" w:eastAsia="黑体"/>
          <w:sz w:val="32"/>
          <w:szCs w:val="32"/>
        </w:rPr>
        <w:t>一、部门（单位）基本情况</w:t>
      </w:r>
    </w:p>
    <w:p w14:paraId="5A0F0A97">
      <w:pPr>
        <w:numPr>
          <w:ilvl w:val="0"/>
          <w:numId w:val="2"/>
        </w:numPr>
        <w:snapToGrid w:val="0"/>
        <w:spacing w:line="520" w:lineRule="exact"/>
        <w:ind w:firstLine="640" w:firstLineChars="200"/>
        <w:rPr>
          <w:rFonts w:hint="eastAsia" w:ascii="楷体_GB2312" w:hAnsi="Times New Roman" w:eastAsia="楷体_GB2312" w:cs="Times New Roman"/>
          <w:sz w:val="32"/>
          <w:szCs w:val="32"/>
          <w:lang w:eastAsia="zh-CN"/>
        </w:rPr>
      </w:pPr>
      <w:r>
        <w:rPr>
          <w:rFonts w:hint="eastAsia" w:ascii="楷体_GB2312" w:hAnsi="Times New Roman" w:eastAsia="楷体_GB2312" w:cs="Times New Roman"/>
          <w:sz w:val="32"/>
          <w:szCs w:val="32"/>
          <w:lang w:eastAsia="zh-CN"/>
        </w:rPr>
        <w:t>主要职能</w:t>
      </w:r>
    </w:p>
    <w:p w14:paraId="46FE0C84">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仿宋" w:hAnsi="仿宋" w:eastAsia="仿宋" w:cs="仿宋"/>
          <w:color w:val="000000"/>
          <w:sz w:val="32"/>
          <w:szCs w:val="32"/>
        </w:rPr>
        <w:t>根据</w:t>
      </w:r>
      <w:r>
        <w:rPr>
          <w:rFonts w:hint="eastAsia" w:ascii="仿宋" w:hAnsi="仿宋" w:eastAsia="仿宋" w:cs="仿宋"/>
          <w:sz w:val="32"/>
          <w:szCs w:val="32"/>
        </w:rPr>
        <w:t>渌办〔</w:t>
      </w:r>
      <w:r>
        <w:rPr>
          <w:rFonts w:hint="eastAsia" w:ascii="仿宋" w:hAnsi="仿宋" w:eastAsia="仿宋" w:cs="仿宋"/>
          <w:sz w:val="32"/>
          <w:szCs w:val="32"/>
          <w:lang w:val="en-US" w:eastAsia="zh-CN"/>
        </w:rPr>
        <w:t>2024</w:t>
      </w: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仿宋"/>
          <w:sz w:val="32"/>
          <w:szCs w:val="32"/>
        </w:rPr>
        <w:t>号</w:t>
      </w:r>
      <w:r>
        <w:rPr>
          <w:rFonts w:hint="eastAsia" w:ascii="仿宋" w:hAnsi="仿宋" w:eastAsia="仿宋" w:cs="仿宋"/>
          <w:color w:val="000000"/>
          <w:sz w:val="32"/>
          <w:szCs w:val="32"/>
        </w:rPr>
        <w:t>文件规定</w:t>
      </w:r>
      <w:r>
        <w:rPr>
          <w:rFonts w:hint="eastAsia" w:ascii="仿宋" w:hAnsi="仿宋" w:eastAsia="仿宋" w:cs="仿宋"/>
          <w:color w:val="000000"/>
          <w:sz w:val="32"/>
          <w:szCs w:val="32"/>
          <w:lang w:eastAsia="zh-CN"/>
        </w:rPr>
        <w:t>，</w:t>
      </w:r>
      <w:r>
        <w:rPr>
          <w:rFonts w:hint="default" w:ascii="Times New Roman" w:hAnsi="Times New Roman" w:eastAsia="仿宋" w:cs="Times New Roman"/>
          <w:color w:val="000000" w:themeColor="text1"/>
          <w:sz w:val="32"/>
          <w:szCs w:val="32"/>
          <w14:textFill>
            <w14:solidFill>
              <w14:schemeClr w14:val="tx1"/>
            </w14:solidFill>
          </w14:textFill>
        </w:rPr>
        <w:t>本部门主要职责是：</w:t>
      </w:r>
    </w:p>
    <w:p w14:paraId="698147E8">
      <w:pPr>
        <w:spacing w:line="56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1、牵头负责指导、协调、推进全区行政审批制度改革工作；负责全区重点项目行政审批事项督办工作。</w:t>
      </w:r>
    </w:p>
    <w:p w14:paraId="61E8D131">
      <w:pPr>
        <w:spacing w:line="56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2、统筹推进、监督协调全区“互联网+政务服务”工作。</w:t>
      </w:r>
    </w:p>
    <w:p w14:paraId="33487317">
      <w:pPr>
        <w:spacing w:line="56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3、负责区集中统一办事大厅政务服务标准化、规范化建设以及进驻部门和人员的日常管理、培训、监督和考核工作。</w:t>
      </w:r>
    </w:p>
    <w:p w14:paraId="28E9629B">
      <w:pPr>
        <w:spacing w:line="56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4、指导推进跨领域、跨部门“放管服”改革工作。</w:t>
      </w:r>
    </w:p>
    <w:p w14:paraId="1109C145">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5、完成区委、区政府交办的其他任务。</w:t>
      </w:r>
    </w:p>
    <w:p w14:paraId="490CF52C">
      <w:pPr>
        <w:keepNext w:val="0"/>
        <w:keepLines w:val="0"/>
        <w:pageBreakBefore w:val="0"/>
        <w:widowControl w:val="0"/>
        <w:suppressLineNumbers w:val="0"/>
        <w:wordWrap/>
        <w:overflowPunct/>
        <w:topLinePunct w:val="0"/>
        <w:bidi w:val="0"/>
        <w:spacing w:before="0" w:beforeAutospacing="0" w:after="0" w:afterAutospacing="0" w:line="560" w:lineRule="exact"/>
        <w:ind w:left="0" w:right="0" w:firstLine="640" w:firstLineChars="200"/>
        <w:jc w:val="both"/>
        <w:rPr>
          <w:rFonts w:hint="eastAsia" w:ascii="Times New Roman" w:hAnsi="Times New Roman" w:eastAsia="楷体_GB2312" w:cs="Times New Roman"/>
          <w:kern w:val="2"/>
          <w:sz w:val="32"/>
          <w:szCs w:val="32"/>
          <w:lang w:val="en-US" w:eastAsia="zh-CN" w:bidi="ar"/>
        </w:rPr>
      </w:pPr>
      <w:r>
        <w:rPr>
          <w:rFonts w:hint="eastAsia" w:ascii="Times New Roman" w:hAnsi="Times New Roman" w:eastAsia="楷体_GB2312" w:cs="Times New Roman"/>
          <w:kern w:val="2"/>
          <w:sz w:val="32"/>
          <w:szCs w:val="32"/>
          <w:lang w:val="en-US" w:eastAsia="zh-CN" w:bidi="ar"/>
        </w:rPr>
        <w:t xml:space="preserve">（二）机构设置 </w:t>
      </w:r>
    </w:p>
    <w:p w14:paraId="0A3F70B2">
      <w:pPr>
        <w:keepNext w:val="0"/>
        <w:keepLines w:val="0"/>
        <w:pageBreakBefore w:val="0"/>
        <w:widowControl w:val="0"/>
        <w:suppressLineNumbers w:val="0"/>
        <w:wordWrap/>
        <w:overflowPunct/>
        <w:topLinePunct w:val="0"/>
        <w:bidi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株洲市渌口区行政审批服务局是株洲市渌口区人民政府工作部门，为正科级。下设</w:t>
      </w:r>
      <w:r>
        <w:rPr>
          <w:rFonts w:hint="default" w:ascii="Times New Roman" w:hAnsi="Times New Roman" w:eastAsia="方正仿宋_GB2312" w:cs="Times New Roman"/>
          <w:sz w:val="32"/>
          <w:szCs w:val="40"/>
          <w:lang w:val="en-US" w:eastAsia="zh-CN"/>
        </w:rPr>
        <w:t>股级内设机构</w:t>
      </w:r>
      <w:r>
        <w:rPr>
          <w:rFonts w:hint="eastAsia" w:ascii="Times New Roman" w:hAnsi="Times New Roman" w:eastAsia="方正仿宋_GB2312" w:cs="Times New Roman"/>
          <w:sz w:val="32"/>
          <w:szCs w:val="40"/>
          <w:lang w:val="en-US" w:eastAsia="zh-CN"/>
        </w:rPr>
        <w:t>3</w:t>
      </w:r>
      <w:r>
        <w:rPr>
          <w:rFonts w:hint="eastAsia" w:ascii="仿宋" w:hAnsi="仿宋" w:eastAsia="仿宋" w:cs="仿宋"/>
          <w:kern w:val="2"/>
          <w:sz w:val="32"/>
          <w:szCs w:val="32"/>
          <w:lang w:val="en-US" w:eastAsia="zh-CN" w:bidi="ar"/>
        </w:rPr>
        <w:t>个，包括办公室、</w:t>
      </w:r>
      <w:r>
        <w:rPr>
          <w:rFonts w:hint="default" w:ascii="Times New Roman" w:hAnsi="Times New Roman" w:eastAsia="方正仿宋_GB2312" w:cs="Times New Roman"/>
          <w:sz w:val="32"/>
          <w:szCs w:val="40"/>
          <w:lang w:val="en-US" w:eastAsia="zh-CN"/>
        </w:rPr>
        <w:t>行政审批制度改革股</w:t>
      </w:r>
      <w:r>
        <w:rPr>
          <w:rFonts w:hint="eastAsia" w:ascii="Times New Roman" w:hAnsi="Times New Roman" w:eastAsia="方正仿宋_GB2312" w:cs="Times New Roman"/>
          <w:sz w:val="32"/>
          <w:szCs w:val="40"/>
          <w:lang w:val="en-US" w:eastAsia="zh-CN"/>
        </w:rPr>
        <w:t>、</w:t>
      </w:r>
      <w:r>
        <w:rPr>
          <w:rFonts w:hint="default" w:ascii="Times New Roman" w:hAnsi="Times New Roman" w:eastAsia="方正仿宋_GB2312" w:cs="Times New Roman"/>
          <w:sz w:val="32"/>
          <w:szCs w:val="40"/>
          <w:lang w:val="en-US" w:eastAsia="zh-CN"/>
        </w:rPr>
        <w:t>政务服务管理股</w:t>
      </w:r>
      <w:r>
        <w:rPr>
          <w:rFonts w:hint="eastAsia" w:ascii="仿宋" w:hAnsi="仿宋" w:eastAsia="仿宋" w:cs="仿宋"/>
          <w:kern w:val="2"/>
          <w:sz w:val="32"/>
          <w:szCs w:val="32"/>
          <w:lang w:val="en-US" w:eastAsia="zh-CN" w:bidi="ar"/>
        </w:rPr>
        <w:t>。所属事业单位1个，渌口区政务服务中心为副科级公益一类全额拨款事业单位。</w:t>
      </w:r>
    </w:p>
    <w:p w14:paraId="15AA7CFB">
      <w:pPr>
        <w:keepNext w:val="0"/>
        <w:keepLines w:val="0"/>
        <w:pageBreakBefore w:val="0"/>
        <w:widowControl w:val="0"/>
        <w:suppressLineNumbers w:val="0"/>
        <w:wordWrap/>
        <w:overflowPunct/>
        <w:topLinePunct w:val="0"/>
        <w:bidi w:val="0"/>
        <w:spacing w:before="0" w:beforeAutospacing="0" w:after="0" w:afterAutospacing="0" w:line="560" w:lineRule="exact"/>
        <w:ind w:left="0" w:right="0" w:firstLine="640" w:firstLineChars="200"/>
        <w:jc w:val="both"/>
        <w:rPr>
          <w:rFonts w:hint="eastAsia" w:ascii="Times New Roman" w:hAnsi="Times New Roman" w:eastAsia="楷体_GB2312" w:cs="Times New Roman"/>
          <w:kern w:val="2"/>
          <w:sz w:val="32"/>
          <w:szCs w:val="32"/>
          <w:lang w:val="en-US" w:eastAsia="zh-CN" w:bidi="ar"/>
        </w:rPr>
      </w:pPr>
      <w:r>
        <w:rPr>
          <w:rFonts w:hint="eastAsia" w:ascii="Times New Roman" w:hAnsi="Times New Roman" w:eastAsia="楷体_GB2312" w:cs="Times New Roman"/>
          <w:kern w:val="2"/>
          <w:sz w:val="32"/>
          <w:szCs w:val="32"/>
          <w:lang w:val="en-US" w:eastAsia="zh-CN" w:bidi="ar"/>
        </w:rPr>
        <w:t>（三）人员情况</w:t>
      </w:r>
    </w:p>
    <w:p w14:paraId="34416E03">
      <w:pPr>
        <w:keepNext w:val="0"/>
        <w:keepLines w:val="0"/>
        <w:pageBreakBefore w:val="0"/>
        <w:widowControl w:val="0"/>
        <w:suppressLineNumbers w:val="0"/>
        <w:wordWrap/>
        <w:overflowPunct/>
        <w:topLinePunct w:val="0"/>
        <w:bidi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 xml:space="preserve">株洲市渌口区行政审批服务局现有编制6人，在职人员5人。 </w:t>
      </w:r>
    </w:p>
    <w:p w14:paraId="64894249">
      <w:pPr>
        <w:keepNext w:val="0"/>
        <w:keepLines w:val="0"/>
        <w:pageBreakBefore w:val="0"/>
        <w:widowControl w:val="0"/>
        <w:suppressLineNumbers w:val="0"/>
        <w:wordWrap/>
        <w:overflowPunct/>
        <w:topLinePunct w:val="0"/>
        <w:bidi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 xml:space="preserve">渌口区政务服务中心现有编制6人，在职人员3人（其中参公事业人员3人，非参公事业人员0人），离休人员0人，退休人员3人。 </w:t>
      </w:r>
    </w:p>
    <w:p w14:paraId="2C2DA79A">
      <w:pPr>
        <w:keepNext w:val="0"/>
        <w:keepLines w:val="0"/>
        <w:pageBreakBefore w:val="0"/>
        <w:widowControl w:val="0"/>
        <w:suppressLineNumbers w:val="0"/>
        <w:wordWrap/>
        <w:overflowPunct/>
        <w:topLinePunct w:val="0"/>
        <w:bidi w:val="0"/>
        <w:spacing w:before="0" w:beforeAutospacing="0" w:after="0" w:afterAutospacing="0" w:line="560" w:lineRule="exact"/>
        <w:ind w:left="0" w:right="0" w:firstLine="640" w:firstLineChars="200"/>
        <w:jc w:val="both"/>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全系统共有人员34人，其中在职在编人员8人，离休人员0人，退休人员2人，临聘人员23人。</w:t>
      </w:r>
    </w:p>
    <w:p w14:paraId="521E5314">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14:paraId="6C85C92C">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（一）基本支出情况</w:t>
      </w:r>
    </w:p>
    <w:p w14:paraId="7589A707">
      <w:pPr>
        <w:keepNext w:val="0"/>
        <w:keepLines w:val="0"/>
        <w:pageBreakBefore w:val="0"/>
        <w:wordWrap/>
        <w:overflowPunct/>
        <w:topLinePunct w:val="0"/>
        <w:bidi w:val="0"/>
        <w:snapToGrid w:val="0"/>
        <w:spacing w:line="560" w:lineRule="exact"/>
        <w:ind w:firstLine="640" w:firstLineChars="200"/>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sz w:val="32"/>
          <w:szCs w:val="32"/>
        </w:rPr>
        <w:t>基本支出</w:t>
      </w:r>
      <w:r>
        <w:rPr>
          <w:rFonts w:hint="eastAsia" w:ascii="仿宋" w:hAnsi="仿宋" w:eastAsia="仿宋"/>
          <w:sz w:val="32"/>
          <w:szCs w:val="32"/>
          <w:lang w:val="en-US" w:eastAsia="zh-CN"/>
        </w:rPr>
        <w:t>726.39</w:t>
      </w:r>
      <w:r>
        <w:rPr>
          <w:rFonts w:hint="eastAsia" w:ascii="仿宋" w:hAnsi="仿宋" w:eastAsia="仿宋"/>
          <w:sz w:val="32"/>
          <w:szCs w:val="32"/>
        </w:rPr>
        <w:t>万元</w:t>
      </w:r>
      <w:r>
        <w:rPr>
          <w:rFonts w:hint="eastAsia" w:ascii="仿宋" w:hAnsi="仿宋" w:eastAsia="仿宋"/>
          <w:sz w:val="32"/>
          <w:szCs w:val="32"/>
          <w:lang w:eastAsia="zh-CN"/>
        </w:rPr>
        <w:t>，其</w:t>
      </w:r>
      <w:r>
        <w:rPr>
          <w:rFonts w:hint="eastAsia" w:ascii="仿宋" w:hAnsi="仿宋" w:eastAsia="仿宋"/>
          <w:sz w:val="32"/>
          <w:szCs w:val="32"/>
        </w:rPr>
        <w:t>中工资福利支出</w:t>
      </w:r>
      <w:r>
        <w:rPr>
          <w:rFonts w:hint="eastAsia" w:ascii="仿宋" w:hAnsi="仿宋" w:eastAsia="仿宋"/>
          <w:sz w:val="32"/>
          <w:szCs w:val="32"/>
          <w:lang w:val="en-US" w:eastAsia="zh-CN"/>
        </w:rPr>
        <w:t>321.41</w:t>
      </w:r>
      <w:r>
        <w:rPr>
          <w:rFonts w:hint="eastAsia" w:ascii="仿宋" w:hAnsi="仿宋" w:eastAsia="仿宋"/>
          <w:sz w:val="32"/>
          <w:szCs w:val="32"/>
        </w:rPr>
        <w:t>万元，商品和服务支出</w:t>
      </w:r>
      <w:r>
        <w:rPr>
          <w:rFonts w:hint="eastAsia" w:ascii="仿宋" w:hAnsi="仿宋" w:eastAsia="仿宋"/>
          <w:sz w:val="32"/>
          <w:szCs w:val="32"/>
          <w:lang w:val="en-US" w:eastAsia="zh-CN"/>
        </w:rPr>
        <w:t>375.84</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19.23</w:t>
      </w:r>
      <w:r>
        <w:rPr>
          <w:rFonts w:hint="eastAsia" w:ascii="仿宋" w:hAnsi="仿宋" w:eastAsia="仿宋"/>
          <w:sz w:val="32"/>
          <w:szCs w:val="32"/>
        </w:rPr>
        <w:t>万元</w:t>
      </w:r>
      <w:r>
        <w:rPr>
          <w:rFonts w:hint="eastAsia" w:ascii="仿宋" w:hAnsi="仿宋" w:eastAsia="仿宋"/>
          <w:sz w:val="32"/>
          <w:szCs w:val="32"/>
          <w:lang w:eastAsia="zh-CN"/>
        </w:rPr>
        <w:t>，资本性支出</w:t>
      </w:r>
      <w:r>
        <w:rPr>
          <w:rFonts w:hint="eastAsia" w:ascii="仿宋" w:hAnsi="仿宋" w:eastAsia="仿宋"/>
          <w:sz w:val="32"/>
          <w:szCs w:val="32"/>
          <w:lang w:val="en-US" w:eastAsia="zh-CN"/>
        </w:rPr>
        <w:t>9.9万元</w:t>
      </w:r>
      <w:r>
        <w:rPr>
          <w:rFonts w:hint="eastAsia" w:ascii="仿宋" w:hAnsi="仿宋" w:eastAsia="仿宋" w:cs="仿宋"/>
          <w:color w:val="000000"/>
          <w:kern w:val="2"/>
          <w:sz w:val="32"/>
          <w:szCs w:val="32"/>
          <w:lang w:val="en-US" w:eastAsia="zh-CN" w:bidi="ar-SA"/>
        </w:rPr>
        <w:t>（</w:t>
      </w:r>
      <w:r>
        <w:rPr>
          <w:rFonts w:hint="eastAsia" w:ascii="仿宋" w:hAnsi="仿宋" w:eastAsia="仿宋" w:cs="仿宋"/>
          <w:i w:val="0"/>
          <w:iCs w:val="0"/>
          <w:caps w:val="0"/>
          <w:color w:val="000000"/>
          <w:spacing w:val="0"/>
          <w:sz w:val="32"/>
          <w:szCs w:val="32"/>
          <w:shd w:val="clear" w:fill="FFFFFF"/>
        </w:rPr>
        <w:t>因四舍五入的原因，</w:t>
      </w:r>
      <w:r>
        <w:rPr>
          <w:rFonts w:hint="eastAsia" w:ascii="仿宋" w:hAnsi="仿宋" w:eastAsia="仿宋" w:cs="仿宋"/>
          <w:color w:val="000000"/>
          <w:kern w:val="2"/>
          <w:sz w:val="32"/>
          <w:szCs w:val="32"/>
          <w:lang w:val="en-US" w:eastAsia="zh-CN" w:bidi="ar-SA"/>
        </w:rPr>
        <w:t>基本支出726.39万元</w:t>
      </w:r>
      <w:r>
        <w:rPr>
          <w:rFonts w:hint="eastAsia" w:ascii="仿宋" w:hAnsi="仿宋" w:eastAsia="仿宋" w:cs="仿宋"/>
          <w:i w:val="0"/>
          <w:iCs w:val="0"/>
          <w:caps w:val="0"/>
          <w:color w:val="000000"/>
          <w:spacing w:val="0"/>
          <w:sz w:val="32"/>
          <w:szCs w:val="32"/>
          <w:shd w:val="clear" w:fill="FFFFFF"/>
        </w:rPr>
        <w:t>和明细数合计总数</w:t>
      </w:r>
      <w:r>
        <w:rPr>
          <w:rFonts w:hint="eastAsia" w:ascii="仿宋" w:hAnsi="仿宋" w:eastAsia="仿宋" w:cs="仿宋"/>
          <w:i w:val="0"/>
          <w:iCs w:val="0"/>
          <w:caps w:val="0"/>
          <w:color w:val="000000"/>
          <w:spacing w:val="0"/>
          <w:sz w:val="32"/>
          <w:szCs w:val="32"/>
          <w:shd w:val="clear" w:fill="FFFFFF"/>
          <w:lang w:val="en-US" w:eastAsia="zh-CN"/>
        </w:rPr>
        <w:t>726.38万元</w:t>
      </w:r>
      <w:r>
        <w:rPr>
          <w:rFonts w:hint="eastAsia" w:ascii="仿宋" w:hAnsi="仿宋" w:eastAsia="仿宋" w:cs="仿宋"/>
          <w:i w:val="0"/>
          <w:iCs w:val="0"/>
          <w:caps w:val="0"/>
          <w:color w:val="000000"/>
          <w:spacing w:val="0"/>
          <w:sz w:val="32"/>
          <w:szCs w:val="32"/>
          <w:shd w:val="clear" w:fill="FFFFFF"/>
        </w:rPr>
        <w:t>相差0.0</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color w:val="000000"/>
          <w:kern w:val="2"/>
          <w:sz w:val="32"/>
          <w:szCs w:val="32"/>
          <w:lang w:val="en-US" w:eastAsia="zh-CN" w:bidi="ar-SA"/>
        </w:rPr>
        <w:t>）</w:t>
      </w:r>
      <w:r>
        <w:rPr>
          <w:rFonts w:hint="eastAsia" w:ascii="仿宋" w:hAnsi="仿宋" w:eastAsia="仿宋" w:cs="仿宋"/>
          <w:kern w:val="2"/>
          <w:sz w:val="32"/>
          <w:szCs w:val="32"/>
          <w:lang w:val="en-US" w:eastAsia="zh-CN" w:bidi="ar"/>
        </w:rPr>
        <w:t>。</w:t>
      </w:r>
    </w:p>
    <w:p w14:paraId="7B296A20">
      <w:pPr>
        <w:numPr>
          <w:ilvl w:val="0"/>
          <w:numId w:val="2"/>
        </w:numPr>
        <w:tabs>
          <w:tab w:val="left" w:pos="7560"/>
        </w:tabs>
        <w:adjustRightInd w:val="0"/>
        <w:snapToGrid w:val="0"/>
        <w:spacing w:line="560" w:lineRule="exact"/>
        <w:ind w:left="0" w:leftChars="0" w:firstLine="640" w:firstLineChars="200"/>
        <w:rPr>
          <w:rFonts w:hint="eastAsia" w:ascii="仿宋_GB2312" w:eastAsia="仿宋_GB2312"/>
          <w:sz w:val="32"/>
          <w:szCs w:val="32"/>
        </w:rPr>
      </w:pPr>
      <w:r>
        <w:rPr>
          <w:rFonts w:hint="eastAsia" w:ascii="仿宋_GB2312" w:eastAsia="仿宋_GB2312"/>
          <w:sz w:val="32"/>
          <w:szCs w:val="32"/>
        </w:rPr>
        <w:t>项目支出情况</w:t>
      </w:r>
    </w:p>
    <w:p w14:paraId="509F0742">
      <w:pPr>
        <w:pStyle w:val="10"/>
        <w:keepNext w:val="0"/>
        <w:keepLines w:val="0"/>
        <w:pageBreakBefore w:val="0"/>
        <w:wordWrap/>
        <w:overflowPunct/>
        <w:topLinePunct w:val="0"/>
        <w:bidi w:val="0"/>
        <w:spacing w:before="0" w:beforeAutospacing="0" w:after="0" w:afterAutospacing="0" w:line="560" w:lineRule="exact"/>
        <w:ind w:firstLine="640" w:firstLineChars="200"/>
        <w:textAlignment w:val="baseline"/>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sz w:val="32"/>
          <w:szCs w:val="32"/>
        </w:rPr>
        <w:t>项目支出</w:t>
      </w:r>
      <w:r>
        <w:rPr>
          <w:rFonts w:hint="eastAsia" w:ascii="仿宋" w:hAnsi="仿宋" w:eastAsia="仿宋"/>
          <w:sz w:val="32"/>
          <w:szCs w:val="32"/>
          <w:lang w:val="en-US" w:eastAsia="zh-CN"/>
        </w:rPr>
        <w:t>246.42</w:t>
      </w:r>
      <w:r>
        <w:rPr>
          <w:rFonts w:hint="eastAsia" w:ascii="仿宋" w:hAnsi="仿宋" w:eastAsia="仿宋"/>
          <w:sz w:val="32"/>
          <w:szCs w:val="32"/>
        </w:rPr>
        <w:t>万元，</w:t>
      </w:r>
      <w:r>
        <w:rPr>
          <w:rFonts w:hint="eastAsia" w:ascii="仿宋" w:hAnsi="仿宋" w:eastAsia="仿宋"/>
          <w:sz w:val="32"/>
          <w:szCs w:val="32"/>
          <w:lang w:eastAsia="zh-CN"/>
        </w:rPr>
        <w:t>其中纪委调剂办案经费</w:t>
      </w:r>
      <w:r>
        <w:rPr>
          <w:rFonts w:hint="eastAsia" w:ascii="仿宋" w:hAnsi="仿宋" w:eastAsia="仿宋"/>
          <w:sz w:val="32"/>
          <w:szCs w:val="32"/>
          <w:lang w:val="en-US" w:eastAsia="zh-CN"/>
        </w:rPr>
        <w:t>5万元，渌口区政务协同办公系统项目建设经费82.92万元，电子政务外网链路租赁经费97.75万元，“湘易办”超级服务端建设推广应用工作经费20万元，渌口区规范村民建房监督管理平台新增功能模块5.8万元，数字化基础支撑平台设备运维费30万元，区大数据中心问题设备更换费用4.95万元。</w:t>
      </w:r>
    </w:p>
    <w:p w14:paraId="091EB0D4">
      <w:pPr>
        <w:numPr>
          <w:ilvl w:val="0"/>
          <w:numId w:val="3"/>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政府性基金预算支出情况</w:t>
      </w:r>
    </w:p>
    <w:p w14:paraId="4814407A">
      <w:pPr>
        <w:numPr>
          <w:ilvl w:val="0"/>
          <w:numId w:val="0"/>
        </w:numPr>
        <w:tabs>
          <w:tab w:val="left" w:pos="7560"/>
        </w:tabs>
        <w:adjustRightInd w:val="0"/>
        <w:snapToGrid w:val="0"/>
        <w:spacing w:line="560" w:lineRule="exact"/>
        <w:ind w:firstLine="640" w:firstLineChars="200"/>
      </w:pPr>
      <w:r>
        <w:rPr>
          <w:rFonts w:hint="eastAsia" w:ascii="仿宋" w:hAnsi="仿宋" w:eastAsia="仿宋" w:cs="宋体"/>
          <w:kern w:val="0"/>
          <w:sz w:val="32"/>
          <w:szCs w:val="32"/>
          <w:lang w:val="en-US" w:eastAsia="zh-CN" w:bidi="ar-SA"/>
        </w:rPr>
        <w:t>本部门无政府性基金预算支出。</w:t>
      </w:r>
    </w:p>
    <w:p w14:paraId="29AA4A42">
      <w:pPr>
        <w:numPr>
          <w:ilvl w:val="0"/>
          <w:numId w:val="3"/>
        </w:numPr>
        <w:tabs>
          <w:tab w:val="left" w:pos="7560"/>
        </w:tabs>
        <w:adjustRightInd w:val="0"/>
        <w:snapToGrid w:val="0"/>
        <w:spacing w:line="560" w:lineRule="exact"/>
        <w:ind w:left="0" w:leftChars="0" w:firstLine="640" w:firstLineChars="200"/>
        <w:rPr>
          <w:rFonts w:hint="eastAsia" w:ascii="黑体" w:hAnsi="黑体" w:eastAsia="黑体"/>
          <w:sz w:val="32"/>
          <w:szCs w:val="32"/>
        </w:rPr>
      </w:pPr>
      <w:r>
        <w:rPr>
          <w:rFonts w:hint="eastAsia" w:ascii="黑体" w:hAnsi="黑体" w:eastAsia="黑体"/>
          <w:sz w:val="32"/>
          <w:szCs w:val="32"/>
        </w:rPr>
        <w:t>国有资本经营预算支出情况</w:t>
      </w:r>
    </w:p>
    <w:p w14:paraId="629C088D">
      <w:pPr>
        <w:pStyle w:val="2"/>
        <w:numPr>
          <w:ilvl w:val="0"/>
          <w:numId w:val="0"/>
        </w:numPr>
        <w:ind w:leftChars="200" w:firstLine="320" w:firstLineChars="100"/>
      </w:pPr>
      <w:r>
        <w:rPr>
          <w:rFonts w:hint="eastAsia" w:ascii="仿宋" w:hAnsi="仿宋" w:eastAsia="仿宋" w:cs="宋体"/>
          <w:kern w:val="0"/>
          <w:sz w:val="32"/>
          <w:szCs w:val="32"/>
          <w:lang w:val="en-US" w:eastAsia="zh-CN" w:bidi="ar-SA"/>
        </w:rPr>
        <w:t>本部门无国有资本经营预算支出。</w:t>
      </w:r>
    </w:p>
    <w:p w14:paraId="221BB344">
      <w:pPr>
        <w:numPr>
          <w:ilvl w:val="0"/>
          <w:numId w:val="3"/>
        </w:numPr>
        <w:tabs>
          <w:tab w:val="left" w:pos="7560"/>
        </w:tabs>
        <w:adjustRightInd w:val="0"/>
        <w:snapToGrid w:val="0"/>
        <w:spacing w:line="560" w:lineRule="exact"/>
        <w:ind w:left="0" w:leftChars="0" w:firstLine="640" w:firstLineChars="200"/>
        <w:rPr>
          <w:rFonts w:hint="eastAsia" w:ascii="黑体" w:hAnsi="黑体" w:eastAsia="黑体"/>
          <w:sz w:val="32"/>
          <w:szCs w:val="32"/>
        </w:rPr>
      </w:pPr>
      <w:r>
        <w:rPr>
          <w:rFonts w:hint="eastAsia" w:ascii="黑体" w:hAnsi="黑体" w:eastAsia="黑体"/>
          <w:sz w:val="32"/>
          <w:szCs w:val="32"/>
        </w:rPr>
        <w:t>社会保险基金预算支出情况</w:t>
      </w:r>
    </w:p>
    <w:p w14:paraId="0149DA95">
      <w:pPr>
        <w:numPr>
          <w:ilvl w:val="0"/>
          <w:numId w:val="0"/>
        </w:numPr>
        <w:tabs>
          <w:tab w:val="left" w:pos="7560"/>
        </w:tabs>
        <w:adjustRightInd w:val="0"/>
        <w:snapToGrid w:val="0"/>
        <w:spacing w:line="560" w:lineRule="exact"/>
        <w:ind w:leftChars="200" w:firstLine="320" w:firstLineChars="100"/>
      </w:pPr>
      <w:r>
        <w:rPr>
          <w:rFonts w:hint="eastAsia" w:ascii="仿宋" w:hAnsi="仿宋" w:eastAsia="仿宋" w:cs="宋体"/>
          <w:kern w:val="0"/>
          <w:sz w:val="32"/>
          <w:szCs w:val="32"/>
          <w:lang w:val="en-US" w:eastAsia="zh-CN" w:bidi="ar-SA"/>
        </w:rPr>
        <w:t>本部门无社会保险基金预算支出情况。</w:t>
      </w:r>
    </w:p>
    <w:p w14:paraId="1CBBBDD6">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六、资金使用及绩效情况</w:t>
      </w:r>
    </w:p>
    <w:p w14:paraId="33969958">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（一）整体支出绩效情况</w:t>
      </w:r>
    </w:p>
    <w:p w14:paraId="6F59DC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bCs/>
          <w:sz w:val="32"/>
          <w:szCs w:val="32"/>
          <w:lang w:val="en-US" w:eastAsia="zh-CN"/>
        </w:rPr>
        <w:t>聚焦党建引领，</w:t>
      </w:r>
      <w:r>
        <w:rPr>
          <w:rFonts w:hint="eastAsia" w:ascii="Times New Roman" w:hAnsi="Times New Roman" w:eastAsia="方正仿宋_GBK" w:cs="Times New Roman"/>
          <w:b/>
          <w:bCs/>
          <w:sz w:val="32"/>
          <w:szCs w:val="32"/>
          <w:lang w:val="en-US" w:eastAsia="zh-CN"/>
        </w:rPr>
        <w:t>增强服务</w:t>
      </w:r>
      <w:r>
        <w:rPr>
          <w:rFonts w:hint="default" w:ascii="Times New Roman" w:hAnsi="Times New Roman" w:eastAsia="方正仿宋_GBK" w:cs="Times New Roman"/>
          <w:b/>
          <w:bCs/>
          <w:sz w:val="32"/>
          <w:szCs w:val="32"/>
          <w:lang w:val="en-US" w:eastAsia="zh-CN"/>
        </w:rPr>
        <w:t>动</w:t>
      </w:r>
      <w:r>
        <w:rPr>
          <w:rFonts w:hint="eastAsia" w:ascii="Times New Roman" w:hAnsi="Times New Roman" w:eastAsia="方正仿宋_GBK" w:cs="Times New Roman"/>
          <w:b/>
          <w:bCs/>
          <w:sz w:val="32"/>
          <w:szCs w:val="32"/>
          <w:lang w:val="en-US" w:eastAsia="zh-CN"/>
        </w:rPr>
        <w:t>力</w:t>
      </w:r>
      <w:r>
        <w:rPr>
          <w:rFonts w:hint="default" w:ascii="Times New Roman" w:hAnsi="Times New Roman" w:eastAsia="方正仿宋_GBK" w:cs="Times New Roman"/>
          <w:b/>
          <w:bCs/>
          <w:sz w:val="32"/>
          <w:szCs w:val="32"/>
          <w:lang w:val="en-US" w:eastAsia="zh-CN"/>
        </w:rPr>
        <w:t>。一是强化理论武装。</w:t>
      </w:r>
      <w:r>
        <w:rPr>
          <w:rFonts w:hint="default" w:ascii="Times New Roman" w:hAnsi="Times New Roman" w:eastAsia="方正仿宋_GBK" w:cs="Times New Roman"/>
          <w:sz w:val="32"/>
          <w:szCs w:val="32"/>
          <w:lang w:val="en-US" w:eastAsia="zh-CN"/>
        </w:rPr>
        <w:t>紧紧围绕习近平总书记考察湖南重要讲话精神、党的二十届三中全会精神，通过专题学习，交流研讨等形式，引导机关干部职工坚定理想信念。9月上旬，立足行政审批服务工作实际，举办深化行政审批制度改革专题培训班，强化全区行政审批服务干部队伍整体素质和业务水平，凝聚改革合力。</w:t>
      </w:r>
      <w:r>
        <w:rPr>
          <w:rFonts w:hint="default" w:ascii="Times New Roman" w:hAnsi="Times New Roman" w:eastAsia="方正仿宋_GBK" w:cs="Times New Roman"/>
          <w:b/>
          <w:bCs/>
          <w:sz w:val="32"/>
          <w:szCs w:val="32"/>
          <w:lang w:val="en-US" w:eastAsia="zh-CN"/>
        </w:rPr>
        <w:t>二是强化作风建设。</w:t>
      </w:r>
      <w:r>
        <w:rPr>
          <w:rFonts w:hint="default" w:ascii="Times New Roman" w:hAnsi="Times New Roman" w:eastAsia="方正仿宋_GBK" w:cs="Times New Roman"/>
          <w:sz w:val="32"/>
          <w:szCs w:val="32"/>
          <w:lang w:val="en-US" w:eastAsia="zh-CN"/>
        </w:rPr>
        <w:t>常态化开展“清廉机关”“清廉大厅”建设，组织开展廉政教育，强化对服务窗口的常态化监督，</w:t>
      </w:r>
      <w:r>
        <w:rPr>
          <w:rFonts w:hint="eastAsia" w:ascii="Times New Roman" w:hAnsi="Times New Roman" w:eastAsia="方正仿宋_GBK" w:cs="Times New Roman"/>
          <w:sz w:val="32"/>
          <w:szCs w:val="32"/>
          <w:lang w:val="en-US" w:eastAsia="zh-CN"/>
        </w:rPr>
        <w:t>营造</w:t>
      </w:r>
      <w:r>
        <w:rPr>
          <w:rFonts w:hint="default" w:ascii="Times New Roman" w:hAnsi="Times New Roman" w:eastAsia="方正仿宋_GBK" w:cs="Times New Roman"/>
          <w:sz w:val="32"/>
          <w:szCs w:val="32"/>
          <w:lang w:val="en-US" w:eastAsia="zh-CN"/>
        </w:rPr>
        <w:t>风清气正的良好政治生态。</w:t>
      </w:r>
      <w:r>
        <w:rPr>
          <w:rFonts w:hint="default" w:ascii="Times New Roman" w:hAnsi="Times New Roman" w:eastAsia="方正仿宋_GBK" w:cs="Times New Roman"/>
          <w:b/>
          <w:bCs/>
          <w:sz w:val="32"/>
          <w:szCs w:val="32"/>
          <w:lang w:val="en-US" w:eastAsia="zh-CN"/>
        </w:rPr>
        <w:t>三是强化先锋示范。</w:t>
      </w:r>
      <w:r>
        <w:rPr>
          <w:rFonts w:hint="default" w:ascii="Times New Roman" w:hAnsi="Times New Roman" w:eastAsia="方正仿宋_GBK" w:cs="Times New Roman"/>
          <w:sz w:val="32"/>
          <w:szCs w:val="32"/>
          <w:lang w:val="en-US" w:eastAsia="zh-CN"/>
        </w:rPr>
        <w:t>在政务服务大厅设立“党员示范岗”，充分发挥党员先锋模范作用，推进党建和业务深度融合，不断提高大厅办事效率和服务质量。</w:t>
      </w:r>
    </w:p>
    <w:p w14:paraId="1025131C">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bCs/>
          <w:sz w:val="32"/>
          <w:szCs w:val="32"/>
          <w:lang w:val="en-US" w:eastAsia="zh-CN"/>
        </w:rPr>
        <w:t>聚</w:t>
      </w:r>
      <w:r>
        <w:rPr>
          <w:rFonts w:hint="eastAsia" w:ascii="Times New Roman" w:hAnsi="Times New Roman" w:eastAsia="方正仿宋_GBK" w:cs="Times New Roman"/>
          <w:b/>
          <w:bCs/>
          <w:sz w:val="32"/>
          <w:szCs w:val="32"/>
          <w:lang w:val="en-US" w:eastAsia="zh-CN"/>
        </w:rPr>
        <w:t>焦</w:t>
      </w:r>
      <w:r>
        <w:rPr>
          <w:rFonts w:hint="default" w:ascii="Times New Roman" w:hAnsi="Times New Roman" w:eastAsia="方正仿宋_GBK" w:cs="Times New Roman"/>
          <w:b/>
          <w:bCs/>
          <w:sz w:val="32"/>
          <w:szCs w:val="32"/>
          <w:lang w:val="en-US" w:eastAsia="zh-CN"/>
        </w:rPr>
        <w:t>改革攻坚，</w:t>
      </w:r>
      <w:r>
        <w:rPr>
          <w:rFonts w:hint="eastAsia" w:ascii="Times New Roman" w:hAnsi="Times New Roman" w:eastAsia="方正仿宋_GBK" w:cs="Times New Roman"/>
          <w:b/>
          <w:bCs/>
          <w:sz w:val="32"/>
          <w:szCs w:val="32"/>
          <w:lang w:val="en-US" w:eastAsia="zh-CN"/>
        </w:rPr>
        <w:t>增强服务</w:t>
      </w:r>
      <w:r>
        <w:rPr>
          <w:rFonts w:hint="default" w:ascii="Times New Roman" w:hAnsi="Times New Roman" w:eastAsia="方正仿宋_GBK" w:cs="Times New Roman"/>
          <w:b/>
          <w:bCs/>
          <w:sz w:val="32"/>
          <w:szCs w:val="32"/>
          <w:lang w:val="en-US" w:eastAsia="zh-CN"/>
        </w:rPr>
        <w:t>推力。一是推进“高效办成一件事”服务改革。</w:t>
      </w:r>
      <w:r>
        <w:rPr>
          <w:rFonts w:hint="default" w:ascii="Times New Roman" w:hAnsi="Times New Roman" w:eastAsia="方正仿宋_GBK" w:cs="Times New Roman"/>
          <w:sz w:val="32"/>
          <w:szCs w:val="32"/>
          <w:lang w:val="en-US" w:eastAsia="zh-CN"/>
        </w:rPr>
        <w:t>紧扣“高效、办成”目标，将原本繁琐的327个事项整合为17个“一件事”事项，事项集成缩减率超过80%，政务中心设立“高效办成一件事”引导区、自助专区和4个“高效办成一件事”业务专窗。线上，通过“湘易办”超级服务端和渌口区旗舰店，实现业务在线填报、提交和审查，做到了“应上尽上、全程在线”。线下，依托“专区+专人”，提供“一对一”精细服务，“一窗受理、一站办理”实现政务服务“一次办好”。截至目前，已办理“高效办成一件事”事项3000余件。</w:t>
      </w:r>
      <w:r>
        <w:rPr>
          <w:rFonts w:hint="default" w:ascii="Times New Roman" w:hAnsi="Times New Roman" w:eastAsia="方正仿宋_GBK" w:cs="Times New Roman"/>
          <w:b/>
          <w:bCs/>
          <w:sz w:val="32"/>
          <w:szCs w:val="32"/>
          <w:lang w:val="en-US" w:eastAsia="zh-CN"/>
        </w:rPr>
        <w:t>二是推动政务服务事项“一网通办”。</w:t>
      </w:r>
      <w:r>
        <w:rPr>
          <w:rFonts w:hint="default" w:ascii="Times New Roman" w:hAnsi="Times New Roman" w:eastAsia="方正仿宋_GBK" w:cs="Times New Roman"/>
          <w:sz w:val="32"/>
          <w:szCs w:val="32"/>
          <w:lang w:val="en-US" w:eastAsia="zh-CN"/>
        </w:rPr>
        <w:t>制定《株洲市渌口区行政审批服务局关于开展“一网通办”（第一批）试运行工作方案》，明确工作安排和分工，组织召开工作推进暨业务培训会，推动</w:t>
      </w:r>
      <w:r>
        <w:rPr>
          <w:rFonts w:hint="eastAsia" w:ascii="Times New Roman" w:hAnsi="Times New Roman" w:eastAsia="方正仿宋_GBK" w:cs="Times New Roman"/>
          <w:sz w:val="32"/>
          <w:szCs w:val="32"/>
          <w:lang w:val="en-US" w:eastAsia="zh-CN"/>
        </w:rPr>
        <w:t>702</w:t>
      </w:r>
      <w:r>
        <w:rPr>
          <w:rFonts w:hint="default" w:ascii="Times New Roman" w:hAnsi="Times New Roman" w:eastAsia="方正仿宋_GBK" w:cs="Times New Roman"/>
          <w:sz w:val="32"/>
          <w:szCs w:val="32"/>
          <w:lang w:val="en-US" w:eastAsia="zh-CN"/>
        </w:rPr>
        <w:t>项政务服务事项“一网通办”。</w:t>
      </w:r>
      <w:r>
        <w:rPr>
          <w:rFonts w:hint="eastAsia"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lang w:val="en-US" w:eastAsia="zh-CN"/>
        </w:rPr>
        <w:t>是深化“一把手走流程”解难题、优服务行动。</w:t>
      </w:r>
      <w:r>
        <w:rPr>
          <w:rFonts w:hint="default" w:ascii="Times New Roman" w:hAnsi="Times New Roman" w:eastAsia="方正仿宋_GBK" w:cs="Times New Roman"/>
          <w:sz w:val="32"/>
          <w:szCs w:val="32"/>
          <w:lang w:val="en-US" w:eastAsia="zh-CN"/>
        </w:rPr>
        <w:t>抓好四项集成改革，组织开展好“亲身讲”“主动送”“接单办”“交叉走”，创新“陪伴走”“点题走”，截至目前，累计发布“一把手”说政务视频32条，送政策、送服务进基层、进企业53次，接收处理投诉34条，围绕高效办成“一件事”开展交叉走流程5次，累计发现问题116个，已全部完成整改。</w:t>
      </w:r>
      <w:r>
        <w:rPr>
          <w:rFonts w:hint="eastAsia"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bCs/>
          <w:sz w:val="32"/>
          <w:szCs w:val="32"/>
          <w:lang w:val="en-US" w:eastAsia="zh-CN"/>
        </w:rPr>
        <w:t>是持续推进“三集中三到位”。</w:t>
      </w:r>
      <w:r>
        <w:rPr>
          <w:rFonts w:hint="default" w:ascii="Times New Roman" w:hAnsi="Times New Roman" w:eastAsia="方正仿宋_GBK" w:cs="Times New Roman"/>
          <w:sz w:val="32"/>
          <w:szCs w:val="32"/>
          <w:lang w:val="en-US" w:eastAsia="zh-CN"/>
        </w:rPr>
        <w:t>对36个有审批服务事项的区直部门进行事项梳理，除因场地条件限制、特殊情形的事项外，确保“应进必进”。同时全面自查具有行政审批职能部门的股室内设和人员派驻情况。</w:t>
      </w:r>
      <w:r>
        <w:rPr>
          <w:rFonts w:hint="eastAsia" w:ascii="Times New Roman" w:hAnsi="Times New Roman" w:eastAsia="方正仿宋_GBK" w:cs="Times New Roman"/>
          <w:b/>
          <w:bCs/>
          <w:sz w:val="32"/>
          <w:szCs w:val="32"/>
          <w:lang w:val="en-US" w:eastAsia="zh-CN"/>
        </w:rPr>
        <w:t>五</w:t>
      </w:r>
      <w:r>
        <w:rPr>
          <w:rFonts w:hint="default" w:ascii="Times New Roman" w:hAnsi="Times New Roman" w:eastAsia="方正仿宋_GBK" w:cs="Times New Roman"/>
          <w:b/>
          <w:bCs/>
          <w:sz w:val="32"/>
          <w:szCs w:val="32"/>
          <w:lang w:val="en-US" w:eastAsia="zh-CN"/>
        </w:rPr>
        <w:t>是推进重大项目攻坚。</w:t>
      </w:r>
      <w:r>
        <w:rPr>
          <w:rFonts w:hint="eastAsia" w:ascii="Times New Roman" w:hAnsi="Times New Roman" w:eastAsia="方正仿宋_GBK" w:cs="Times New Roman"/>
          <w:color w:val="auto"/>
          <w:sz w:val="32"/>
          <w:szCs w:val="32"/>
          <w:lang w:val="en-US" w:eastAsia="zh-CN"/>
        </w:rPr>
        <w:t>继续推行“1234”政务服务工作法，3月4日冷弯生产线建设项目、宇辰铝制品生产厂房建设项目2个项目4天拿“四证”，同步实现“竣工即交证”并举办送证仪式。</w:t>
      </w:r>
      <w:r>
        <w:rPr>
          <w:rFonts w:hint="default" w:ascii="Times New Roman" w:hAnsi="Times New Roman" w:eastAsia="方正仿宋_GBK" w:cs="Times New Roman"/>
          <w:color w:val="auto"/>
          <w:sz w:val="32"/>
          <w:szCs w:val="32"/>
          <w:lang w:val="en-US" w:eastAsia="zh-CN"/>
        </w:rPr>
        <w:t>对渌口区2024年省、市、区重点建设项目进行分类，梳理“点对点”帮代办服务清单</w:t>
      </w:r>
      <w:r>
        <w:rPr>
          <w:rFonts w:hint="eastAsia"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lang w:val="en-US" w:eastAsia="zh-CN"/>
        </w:rPr>
        <w:t>个。</w:t>
      </w:r>
      <w:r>
        <w:rPr>
          <w:rFonts w:hint="default" w:ascii="Times New Roman" w:hAnsi="Times New Roman" w:eastAsia="方正仿宋_GBK" w:cs="Times New Roman"/>
          <w:sz w:val="32"/>
          <w:szCs w:val="32"/>
          <w:lang w:val="en-US" w:eastAsia="zh-CN"/>
        </w:rPr>
        <w:t>同时，积极推进农文旅项目“清单式”代办服务工作，制定农文旅项目建设流程图，明确专人负责统筹协调。组建“政务服务团”，为重点项目、驻园企业、入园意向企业提供专业、提前预指导服务。</w:t>
      </w:r>
      <w:r>
        <w:rPr>
          <w:rFonts w:hint="eastAsia" w:ascii="Times New Roman" w:hAnsi="Times New Roman" w:eastAsia="方正仿宋_GBK" w:cs="Times New Roman"/>
          <w:b/>
          <w:bCs/>
          <w:sz w:val="32"/>
          <w:szCs w:val="32"/>
          <w:lang w:val="en-US" w:eastAsia="zh-CN"/>
        </w:rPr>
        <w:t>六</w:t>
      </w:r>
      <w:r>
        <w:rPr>
          <w:rFonts w:hint="default" w:ascii="Times New Roman" w:hAnsi="Times New Roman" w:eastAsia="方正仿宋_GBK" w:cs="Times New Roman"/>
          <w:b/>
          <w:bCs/>
          <w:sz w:val="32"/>
          <w:szCs w:val="32"/>
          <w:lang w:val="en-US" w:eastAsia="zh-CN"/>
        </w:rPr>
        <w:t>是积极推进园区赋权、“跨省通办”、网上中介服务超市建设工作。</w:t>
      </w:r>
      <w:r>
        <w:rPr>
          <w:rFonts w:hint="default" w:ascii="Times New Roman" w:hAnsi="Times New Roman" w:eastAsia="方正仿宋_GBK" w:cs="Times New Roman"/>
          <w:sz w:val="32"/>
          <w:szCs w:val="32"/>
          <w:lang w:val="en-US" w:eastAsia="zh-CN"/>
        </w:rPr>
        <w:t>更新梳理园区赋权指导目</w:t>
      </w:r>
      <w:r>
        <w:rPr>
          <w:rFonts w:hint="eastAsia" w:ascii="Times New Roman" w:hAnsi="Times New Roman" w:eastAsia="方正仿宋_GBK" w:cs="Times New Roman"/>
          <w:sz w:val="32"/>
          <w:szCs w:val="32"/>
          <w:lang w:val="en-US" w:eastAsia="zh-CN"/>
        </w:rPr>
        <w:t>录</w:t>
      </w:r>
      <w:r>
        <w:rPr>
          <w:rFonts w:hint="default" w:ascii="Times New Roman" w:hAnsi="Times New Roman" w:eastAsia="方正仿宋_GBK" w:cs="Times New Roman"/>
          <w:sz w:val="32"/>
          <w:szCs w:val="32"/>
          <w:lang w:val="en-US" w:eastAsia="zh-CN"/>
        </w:rPr>
        <w:t>87项，其中，涉及服务前移42项、审批直报2项、委托行使35项、直接赋权8项，全力提供“园区事园区办”政务新体验。积极扩大政务“朋友圈”，与广东省佛山市顺德区签订跨省通办协议，91项事项实现“跨省通办”，截至目前，累计办理“跨省通办”事项5024件。动态调整本级中介服务事项清单44项，组织召开业务培训会，加强与各职能部门对接，目前已入驻区本级中介服务机构30家，项目委托人169家，发布采购公告27个，中选26个。</w:t>
      </w:r>
    </w:p>
    <w:p w14:paraId="11B55F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bCs/>
          <w:sz w:val="32"/>
          <w:szCs w:val="32"/>
          <w:lang w:val="en-US" w:eastAsia="zh-CN"/>
        </w:rPr>
        <w:t>聚焦服务优化，</w:t>
      </w:r>
      <w:r>
        <w:rPr>
          <w:rFonts w:hint="eastAsia" w:ascii="Times New Roman" w:hAnsi="Times New Roman" w:eastAsia="方正仿宋_GBK" w:cs="Times New Roman"/>
          <w:b/>
          <w:bCs/>
          <w:sz w:val="32"/>
          <w:szCs w:val="32"/>
          <w:lang w:val="en-US" w:eastAsia="zh-CN"/>
        </w:rPr>
        <w:t>增强服务效力</w:t>
      </w:r>
      <w:r>
        <w:rPr>
          <w:rFonts w:hint="default"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b/>
          <w:bCs/>
          <w:sz w:val="32"/>
          <w:szCs w:val="32"/>
          <w:lang w:val="en-US" w:eastAsia="zh-CN"/>
        </w:rPr>
        <w:t>一</w:t>
      </w:r>
      <w:r>
        <w:rPr>
          <w:rFonts w:hint="default" w:ascii="Times New Roman" w:hAnsi="Times New Roman" w:eastAsia="方正仿宋_GBK" w:cs="Times New Roman"/>
          <w:b/>
          <w:bCs/>
          <w:sz w:val="32"/>
          <w:szCs w:val="32"/>
          <w:lang w:val="en-US" w:eastAsia="zh-CN"/>
        </w:rPr>
        <w:t>是开展“去柜化”改革试点工作。</w:t>
      </w:r>
      <w:r>
        <w:rPr>
          <w:rFonts w:hint="default" w:ascii="Times New Roman" w:hAnsi="Times New Roman" w:eastAsia="方正仿宋_GBK" w:cs="Times New Roman"/>
          <w:sz w:val="32"/>
          <w:szCs w:val="32"/>
          <w:lang w:val="en-US" w:eastAsia="zh-CN"/>
        </w:rPr>
        <w:t>率先在全省完成了伏波岭社区、向阳社区、接龙桥社区3个社区的“去柜化”试点改革。拆除原有柜台、弱化区域隔离、强化导办帮办，改造后大厅工作区域仅占 20%，将党群服务、政务服务、便民服务、网格服务等功能入驻“综合窗口”，实行“一窗受理、综合服务”。</w:t>
      </w:r>
      <w:r>
        <w:rPr>
          <w:rFonts w:hint="eastAsia" w:ascii="Times New Roman" w:hAnsi="Times New Roman" w:eastAsia="方正仿宋_GBK" w:cs="Times New Roman"/>
          <w:color w:val="auto"/>
          <w:sz w:val="32"/>
          <w:szCs w:val="32"/>
          <w:lang w:val="en-US" w:eastAsia="zh-CN"/>
        </w:rPr>
        <w:t>梳理了社区73个就近办事项清单，对22个高频常办事项制作了办事指南</w:t>
      </w:r>
      <w:r>
        <w:rPr>
          <w:rFonts w:hint="default" w:ascii="Times New Roman" w:hAnsi="Times New Roman" w:eastAsia="方正仿宋_GBK" w:cs="Times New Roman"/>
          <w:sz w:val="32"/>
          <w:szCs w:val="32"/>
          <w:lang w:val="en-US" w:eastAsia="zh-CN"/>
        </w:rPr>
        <w:t>。渌口区“去柜化”改革获评全省“清廉大厅”建设整治典型经验做法</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b/>
          <w:bCs/>
          <w:sz w:val="32"/>
          <w:szCs w:val="32"/>
          <w:lang w:val="en-US" w:eastAsia="zh-CN"/>
        </w:rPr>
        <w:t>二</w:t>
      </w:r>
      <w:r>
        <w:rPr>
          <w:rFonts w:hint="default" w:ascii="Times New Roman" w:hAnsi="Times New Roman" w:eastAsia="方正仿宋_GBK" w:cs="Times New Roman"/>
          <w:b/>
          <w:bCs/>
          <w:sz w:val="32"/>
          <w:szCs w:val="32"/>
          <w:lang w:val="en-US" w:eastAsia="zh-CN"/>
        </w:rPr>
        <w:t>是打造“政务体验官”升级版。</w:t>
      </w:r>
      <w:r>
        <w:rPr>
          <w:rFonts w:hint="default" w:ascii="Times New Roman" w:hAnsi="Times New Roman" w:eastAsia="方正仿宋_GBK" w:cs="Times New Roman"/>
          <w:sz w:val="32"/>
          <w:szCs w:val="32"/>
          <w:lang w:val="en-US" w:eastAsia="zh-CN"/>
        </w:rPr>
        <w:t>结合营商环境体验官，新招募12名企业群众代表作为“政务体验官”，拓宽社会监督渠道、完善监督体系，推进政务服务再提质。</w:t>
      </w:r>
      <w:r>
        <w:rPr>
          <w:rFonts w:hint="eastAsia"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lang w:val="en-US" w:eastAsia="zh-CN"/>
        </w:rPr>
        <w:t>是打造“渌口政务直播间”。</w:t>
      </w:r>
      <w:r>
        <w:rPr>
          <w:rFonts w:hint="default" w:ascii="Times New Roman" w:hAnsi="Times New Roman" w:eastAsia="方正仿宋_GBK" w:cs="Times New Roman"/>
          <w:sz w:val="32"/>
          <w:szCs w:val="32"/>
          <w:lang w:val="en-US" w:eastAsia="zh-CN"/>
        </w:rPr>
        <w:t>结合“一把手”走流程活动，联合进驻部门组建政务直播队伍，开设“一把手直播间”，邀请部门负责人在直播间说政策、听民声，</w:t>
      </w:r>
      <w:r>
        <w:rPr>
          <w:rFonts w:hint="eastAsia" w:ascii="Times New Roman" w:hAnsi="Times New Roman" w:eastAsia="方正仿宋_GBK" w:cs="Times New Roman"/>
          <w:color w:val="auto"/>
          <w:sz w:val="32"/>
          <w:szCs w:val="32"/>
          <w:lang w:val="en-US" w:eastAsia="zh-CN"/>
        </w:rPr>
        <w:t>开设企业保险、职工医保、不动产专场等，解答问题130余个</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bCs/>
          <w:sz w:val="32"/>
          <w:szCs w:val="32"/>
          <w:lang w:val="en-US" w:eastAsia="zh-CN"/>
        </w:rPr>
        <w:t>是探索小微企业政务服务增值化改革。</w:t>
      </w:r>
      <w:r>
        <w:rPr>
          <w:rFonts w:hint="default" w:ascii="Times New Roman" w:hAnsi="Times New Roman" w:eastAsia="方正仿宋_GBK" w:cs="Times New Roman"/>
          <w:sz w:val="32"/>
          <w:szCs w:val="32"/>
          <w:lang w:val="en-US" w:eastAsia="zh-CN"/>
        </w:rPr>
        <w:t>梳理小微企业开户、变更、注销等能享受的服务事项，集成服务套餐。开设涉企法律服务专窗，设立渌口区联合人民调解委员会驻园区“1+1”调解工作室。设立“小微企业服务专窗”，制作“创业新城政务服务卡”，及时为区内企业提供帮办代办、政策宣传。</w:t>
      </w:r>
    </w:p>
    <w:p w14:paraId="3D51D7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bCs/>
          <w:sz w:val="32"/>
          <w:szCs w:val="32"/>
          <w:lang w:val="en-US" w:eastAsia="zh-CN"/>
        </w:rPr>
        <w:t>聚焦</w:t>
      </w:r>
      <w:r>
        <w:rPr>
          <w:rFonts w:hint="eastAsia" w:ascii="Times New Roman" w:hAnsi="Times New Roman" w:eastAsia="方正仿宋_GBK" w:cs="Times New Roman"/>
          <w:b/>
          <w:bCs/>
          <w:sz w:val="32"/>
          <w:szCs w:val="32"/>
          <w:lang w:val="en-US" w:eastAsia="zh-CN"/>
        </w:rPr>
        <w:t>管培结合</w:t>
      </w:r>
      <w:r>
        <w:rPr>
          <w:rFonts w:hint="default"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b/>
          <w:bCs/>
          <w:sz w:val="32"/>
          <w:szCs w:val="32"/>
          <w:lang w:val="en-US" w:eastAsia="zh-CN"/>
        </w:rPr>
        <w:t>增强</w:t>
      </w:r>
      <w:r>
        <w:rPr>
          <w:rFonts w:hint="default" w:ascii="Times New Roman" w:hAnsi="Times New Roman" w:eastAsia="方正仿宋_GBK" w:cs="Times New Roman"/>
          <w:b/>
          <w:bCs/>
          <w:sz w:val="32"/>
          <w:szCs w:val="32"/>
          <w:lang w:val="en-US" w:eastAsia="zh-CN"/>
        </w:rPr>
        <w:t>服务</w:t>
      </w:r>
      <w:r>
        <w:rPr>
          <w:rFonts w:hint="eastAsia" w:ascii="Times New Roman" w:hAnsi="Times New Roman" w:eastAsia="方正仿宋_GBK" w:cs="Times New Roman"/>
          <w:b/>
          <w:bCs/>
          <w:sz w:val="32"/>
          <w:szCs w:val="32"/>
          <w:lang w:val="en-US" w:eastAsia="zh-CN"/>
        </w:rPr>
        <w:t>能力</w:t>
      </w:r>
      <w:r>
        <w:rPr>
          <w:rFonts w:hint="default"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b/>
          <w:bCs/>
          <w:sz w:val="32"/>
          <w:szCs w:val="32"/>
          <w:lang w:val="en-US" w:eastAsia="zh-CN"/>
        </w:rPr>
        <w:t>一</w:t>
      </w:r>
      <w:r>
        <w:rPr>
          <w:rFonts w:hint="default" w:ascii="Times New Roman" w:hAnsi="Times New Roman" w:eastAsia="方正仿宋_GBK" w:cs="Times New Roman"/>
          <w:b/>
          <w:bCs/>
          <w:sz w:val="32"/>
          <w:szCs w:val="32"/>
          <w:lang w:val="en-US" w:eastAsia="zh-CN"/>
        </w:rPr>
        <w:t>是</w:t>
      </w:r>
      <w:r>
        <w:rPr>
          <w:rFonts w:hint="eastAsia" w:ascii="Times New Roman" w:hAnsi="Times New Roman" w:eastAsia="方正仿宋_GBK" w:cs="Times New Roman"/>
          <w:b/>
          <w:bCs/>
          <w:sz w:val="32"/>
          <w:szCs w:val="32"/>
          <w:lang w:val="en-US" w:eastAsia="zh-CN"/>
        </w:rPr>
        <w:t>完善政务服务制度</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严格落实首问责任、一次性告知、限时办结等工作制度，继续推行“一窗式”“三时五免”“三送”等服务，不断提升服务“温度”。充分发挥“办不成事”反映窗口、12345政务服务热线作用，实现民生实事、政务服务、企业咨询等诉求分级分类和接诉即办。</w:t>
      </w:r>
      <w:r>
        <w:rPr>
          <w:rFonts w:hint="eastAsia" w:ascii="Times New Roman" w:hAnsi="Times New Roman" w:eastAsia="方正仿宋_GBK" w:cs="Times New Roman"/>
          <w:b/>
          <w:bCs/>
          <w:sz w:val="32"/>
          <w:szCs w:val="32"/>
          <w:lang w:val="en-US" w:eastAsia="zh-CN"/>
        </w:rPr>
        <w:t>二</w:t>
      </w:r>
      <w:r>
        <w:rPr>
          <w:rFonts w:hint="default" w:ascii="Times New Roman" w:hAnsi="Times New Roman" w:eastAsia="方正仿宋_GBK" w:cs="Times New Roman"/>
          <w:b/>
          <w:bCs/>
          <w:sz w:val="32"/>
          <w:szCs w:val="32"/>
          <w:lang w:val="en-US" w:eastAsia="zh-CN"/>
        </w:rPr>
        <w:t>是强化政务效能监督。</w:t>
      </w:r>
      <w:r>
        <w:rPr>
          <w:rFonts w:hint="default" w:ascii="Times New Roman" w:hAnsi="Times New Roman" w:eastAsia="方正仿宋_GBK" w:cs="Times New Roman"/>
          <w:sz w:val="32"/>
          <w:szCs w:val="32"/>
          <w:lang w:val="en-US" w:eastAsia="zh-CN"/>
        </w:rPr>
        <w:t>截</w:t>
      </w:r>
      <w:r>
        <w:rPr>
          <w:rFonts w:hint="eastAsia" w:ascii="Times New Roman" w:hAnsi="Times New Roman" w:eastAsia="方正仿宋_GBK" w:cs="Times New Roman"/>
          <w:sz w:val="32"/>
          <w:szCs w:val="32"/>
          <w:lang w:val="en-US" w:eastAsia="zh-CN"/>
        </w:rPr>
        <w:t>至11</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val="en-US" w:eastAsia="zh-CN"/>
        </w:rPr>
        <w:t>日，全区共归集办件数据</w:t>
      </w:r>
      <w:r>
        <w:rPr>
          <w:rFonts w:hint="eastAsia" w:ascii="Times New Roman" w:hAnsi="Times New Roman" w:eastAsia="方正仿宋_GBK" w:cs="Times New Roman"/>
          <w:sz w:val="32"/>
          <w:szCs w:val="32"/>
          <w:lang w:val="en-US" w:eastAsia="zh-CN"/>
        </w:rPr>
        <w:t>82992</w:t>
      </w:r>
      <w:r>
        <w:rPr>
          <w:rFonts w:hint="default" w:ascii="Times New Roman" w:hAnsi="Times New Roman" w:eastAsia="方正仿宋_GBK" w:cs="Times New Roman"/>
          <w:sz w:val="32"/>
          <w:szCs w:val="32"/>
          <w:lang w:val="en-US" w:eastAsia="zh-CN"/>
        </w:rPr>
        <w:t>件，办结数据</w:t>
      </w:r>
      <w:r>
        <w:rPr>
          <w:rFonts w:hint="eastAsia" w:ascii="Times New Roman" w:hAnsi="Times New Roman" w:eastAsia="方正仿宋_GBK" w:cs="Times New Roman"/>
          <w:sz w:val="32"/>
          <w:szCs w:val="32"/>
          <w:lang w:val="en-US" w:eastAsia="zh-CN"/>
        </w:rPr>
        <w:t>82779</w:t>
      </w:r>
      <w:r>
        <w:rPr>
          <w:rFonts w:hint="default" w:ascii="Times New Roman" w:hAnsi="Times New Roman" w:eastAsia="方正仿宋_GBK" w:cs="Times New Roman"/>
          <w:sz w:val="32"/>
          <w:szCs w:val="32"/>
          <w:lang w:val="en-US" w:eastAsia="zh-CN"/>
        </w:rPr>
        <w:t>件，无“红牌”。全区政务服务“好差评”评价总数</w:t>
      </w:r>
      <w:r>
        <w:rPr>
          <w:rFonts w:hint="eastAsia" w:ascii="Times New Roman" w:hAnsi="Times New Roman" w:eastAsia="方正仿宋_GBK" w:cs="Times New Roman"/>
          <w:sz w:val="32"/>
          <w:szCs w:val="32"/>
          <w:lang w:val="en-US" w:eastAsia="zh-CN"/>
        </w:rPr>
        <w:t>14096</w:t>
      </w:r>
      <w:r>
        <w:rPr>
          <w:rFonts w:hint="default" w:ascii="Times New Roman" w:hAnsi="Times New Roman" w:eastAsia="方正仿宋_GBK" w:cs="Times New Roman"/>
          <w:sz w:val="32"/>
          <w:szCs w:val="32"/>
          <w:lang w:val="en-US" w:eastAsia="zh-CN"/>
        </w:rPr>
        <w:t>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事项覆盖数19</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项，数据汇聚及时率</w:t>
      </w:r>
      <w:r>
        <w:rPr>
          <w:rFonts w:hint="eastAsia" w:ascii="Times New Roman" w:hAnsi="Times New Roman" w:eastAsia="方正仿宋_GBK" w:cs="Times New Roman"/>
          <w:sz w:val="32"/>
          <w:szCs w:val="32"/>
          <w:lang w:val="en-US" w:eastAsia="zh-CN"/>
        </w:rPr>
        <w:t>88</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lang w:val="en-US" w:eastAsia="zh-CN"/>
        </w:rPr>
        <w:t>%，数据汇聚准确率96.8</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%，部门覆盖率</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71</w:t>
      </w:r>
      <w:r>
        <w:rPr>
          <w:rFonts w:hint="default" w:ascii="Times New Roman" w:hAnsi="Times New Roman" w:eastAsia="方正仿宋_GBK" w:cs="Times New Roman"/>
          <w:sz w:val="32"/>
          <w:szCs w:val="32"/>
          <w:lang w:val="en-US" w:eastAsia="zh-CN"/>
        </w:rPr>
        <w:t>％，好评率99.99％，无差评。</w:t>
      </w:r>
      <w:r>
        <w:rPr>
          <w:rFonts w:hint="eastAsia"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lang w:val="en-US" w:eastAsia="zh-CN"/>
        </w:rPr>
        <w:t>是打造优质服务团队。</w:t>
      </w:r>
      <w:r>
        <w:rPr>
          <w:rFonts w:hint="default" w:ascii="Times New Roman" w:hAnsi="Times New Roman" w:eastAsia="方正仿宋_GBK" w:cs="Times New Roman"/>
          <w:sz w:val="32"/>
          <w:szCs w:val="32"/>
          <w:lang w:val="en-US" w:eastAsia="zh-CN"/>
        </w:rPr>
        <w:t>利用“午间课堂+闲时课堂”</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结合“月考+综合考”的测评模式，全力打造一支业务精、能力强、专业化政务服务队伍</w:t>
      </w:r>
      <w:r>
        <w:rPr>
          <w:rFonts w:hint="eastAsia" w:ascii="Times New Roman" w:hAnsi="Times New Roman" w:eastAsia="方正仿宋_GBK" w:cs="Times New Roman"/>
          <w:sz w:val="32"/>
          <w:szCs w:val="32"/>
          <w:lang w:val="en-US" w:eastAsia="zh-CN"/>
        </w:rPr>
        <w:t>。开展</w:t>
      </w:r>
      <w:r>
        <w:rPr>
          <w:rFonts w:hint="default" w:ascii="Times New Roman" w:hAnsi="Times New Roman" w:eastAsia="方正仿宋_GBK" w:cs="Times New Roman"/>
          <w:sz w:val="32"/>
          <w:szCs w:val="32"/>
          <w:lang w:val="en-US" w:eastAsia="zh-CN"/>
        </w:rPr>
        <w:t>政务服务礼仪素养培训</w:t>
      </w:r>
      <w:r>
        <w:rPr>
          <w:rFonts w:hint="eastAsia" w:ascii="Times New Roman" w:hAnsi="Times New Roman" w:eastAsia="方正仿宋_GBK" w:cs="Times New Roman"/>
          <w:sz w:val="32"/>
          <w:szCs w:val="32"/>
          <w:lang w:val="en-US" w:eastAsia="zh-CN"/>
        </w:rPr>
        <w:t>、应急救护知识培训，</w:t>
      </w:r>
      <w:r>
        <w:rPr>
          <w:rFonts w:hint="default" w:ascii="Times New Roman" w:hAnsi="Times New Roman" w:eastAsia="方正仿宋_GBK" w:cs="Times New Roman"/>
          <w:sz w:val="32"/>
          <w:szCs w:val="32"/>
          <w:lang w:val="en-US" w:eastAsia="zh-CN"/>
        </w:rPr>
        <w:t>全面提升便民服务“硬实力”。设置老人、残疾人特殊帮办代办窗口，每天安排3名志愿者在大厅内为</w:t>
      </w:r>
      <w:r>
        <w:rPr>
          <w:rFonts w:hint="eastAsia" w:ascii="Times New Roman" w:hAnsi="Times New Roman" w:eastAsia="方正仿宋_GBK" w:cs="Times New Roman"/>
          <w:sz w:val="32"/>
          <w:szCs w:val="32"/>
          <w:lang w:val="en-US" w:eastAsia="zh-CN"/>
        </w:rPr>
        <w:t>企业、</w:t>
      </w:r>
      <w:r>
        <w:rPr>
          <w:rFonts w:hint="default" w:ascii="Times New Roman" w:hAnsi="Times New Roman" w:eastAsia="方正仿宋_GBK" w:cs="Times New Roman"/>
          <w:sz w:val="32"/>
          <w:szCs w:val="32"/>
          <w:lang w:val="en-US" w:eastAsia="zh-CN"/>
        </w:rPr>
        <w:t>群众现场解决问题，做好主动服务。</w:t>
      </w:r>
      <w:r>
        <w:rPr>
          <w:rFonts w:hint="default" w:ascii="Times New Roman" w:hAnsi="Times New Roman" w:eastAsia="方正仿宋_GBK" w:cs="Times New Roman"/>
          <w:b/>
          <w:bCs/>
          <w:sz w:val="32"/>
          <w:szCs w:val="32"/>
          <w:lang w:val="en-US" w:eastAsia="zh-CN"/>
        </w:rPr>
        <w:t>四是持续深化为基层减负赋能。</w:t>
      </w:r>
      <w:r>
        <w:rPr>
          <w:rFonts w:hint="default" w:ascii="Times New Roman" w:hAnsi="Times New Roman" w:eastAsia="方正仿宋_GBK" w:cs="Times New Roman"/>
          <w:sz w:val="32"/>
          <w:szCs w:val="32"/>
          <w:lang w:val="en-US" w:eastAsia="zh-CN"/>
        </w:rPr>
        <w:t>4月底，联合司法局对辖区8个镇开展行政审批事项下放情况的自查工作。结合省“一网通办”平台对镇、村（社区）政务服务事项进行动态调整，梳理出镇级政务服务事项</w:t>
      </w:r>
      <w:r>
        <w:rPr>
          <w:rFonts w:hint="eastAsia" w:ascii="Times New Roman" w:hAnsi="Times New Roman" w:eastAsia="方正仿宋_GBK" w:cs="Times New Roman"/>
          <w:sz w:val="32"/>
          <w:szCs w:val="32"/>
          <w:lang w:val="en-US" w:eastAsia="zh-CN"/>
        </w:rPr>
        <w:t>103</w:t>
      </w:r>
      <w:r>
        <w:rPr>
          <w:rFonts w:hint="default" w:ascii="Times New Roman" w:hAnsi="Times New Roman" w:eastAsia="方正仿宋_GBK" w:cs="Times New Roman"/>
          <w:sz w:val="32"/>
          <w:szCs w:val="32"/>
          <w:lang w:val="en-US" w:eastAsia="zh-CN"/>
        </w:rPr>
        <w:t>项，村级政务服务事项（业务办理项）</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lang w:val="en-US" w:eastAsia="zh-CN"/>
        </w:rPr>
        <w:t>项，并在渌口区政务旗舰店进行公开。</w:t>
      </w:r>
    </w:p>
    <w:p w14:paraId="545DB3F3">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（二）项目支出绩效情况</w:t>
      </w:r>
    </w:p>
    <w:p w14:paraId="7F9F71EF">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对应年初预算申报及年中预算调整的子项目分别描述绩效情况，填报项目支出绩效自评表（附件3）。</w:t>
      </w:r>
    </w:p>
    <w:p w14:paraId="14C18A23">
      <w:pPr>
        <w:tabs>
          <w:tab w:val="left" w:pos="7560"/>
        </w:tabs>
        <w:adjustRightInd w:val="0"/>
        <w:snapToGrid w:val="0"/>
        <w:spacing w:line="560" w:lineRule="exact"/>
        <w:ind w:firstLine="640" w:firstLineChars="200"/>
        <w:rPr>
          <w:rFonts w:hint="default" w:ascii="仿宋_GB2312" w:eastAsia="仿宋_GB2312"/>
          <w:sz w:val="32"/>
          <w:szCs w:val="32"/>
          <w:lang w:val="en-US"/>
        </w:rPr>
      </w:pPr>
      <w:r>
        <w:rPr>
          <w:rFonts w:hint="eastAsia" w:ascii="仿宋_GB2312" w:eastAsia="仿宋_GB2312"/>
          <w:sz w:val="32"/>
          <w:szCs w:val="32"/>
        </w:rPr>
        <w:t>1.年初预算项目“</w:t>
      </w:r>
      <w:r>
        <w:rPr>
          <w:rFonts w:hint="eastAsia" w:ascii="仿宋_GB2312" w:eastAsia="仿宋_GB2312"/>
          <w:sz w:val="32"/>
          <w:szCs w:val="32"/>
          <w:lang w:eastAsia="zh-CN"/>
        </w:rPr>
        <w:t>政务服务大厅运行经费”</w:t>
      </w:r>
      <w:r>
        <w:rPr>
          <w:rFonts w:hint="eastAsia" w:ascii="仿宋_GB2312" w:eastAsia="仿宋_GB2312"/>
          <w:sz w:val="32"/>
          <w:szCs w:val="32"/>
        </w:rPr>
        <w:t>专项资金，年中执行调减</w:t>
      </w:r>
      <w:r>
        <w:rPr>
          <w:rFonts w:hint="eastAsia" w:ascii="仿宋_GB2312" w:eastAsia="仿宋_GB2312"/>
          <w:sz w:val="32"/>
          <w:szCs w:val="32"/>
          <w:lang w:val="en-US" w:eastAsia="zh-CN"/>
        </w:rPr>
        <w:t>0</w:t>
      </w:r>
      <w:r>
        <w:rPr>
          <w:rFonts w:hint="eastAsia" w:ascii="仿宋_GB2312" w:eastAsia="仿宋_GB2312"/>
          <w:sz w:val="32"/>
          <w:szCs w:val="32"/>
        </w:rPr>
        <w:t>万</w:t>
      </w:r>
      <w:r>
        <w:rPr>
          <w:rFonts w:hint="eastAsia" w:ascii="仿宋_GB2312" w:eastAsia="仿宋_GB2312"/>
          <w:sz w:val="32"/>
          <w:szCs w:val="32"/>
          <w:highlight w:val="none"/>
        </w:rPr>
        <w:t>元，实际支出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万元，结余结转</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万元。项</w:t>
      </w:r>
      <w:r>
        <w:rPr>
          <w:rFonts w:hint="eastAsia" w:ascii="仿宋_GB2312" w:eastAsia="仿宋_GB2312"/>
          <w:sz w:val="32"/>
          <w:szCs w:val="32"/>
        </w:rPr>
        <w:t>目实施及绩效情况如下：</w:t>
      </w:r>
      <w:r>
        <w:rPr>
          <w:rFonts w:hint="eastAsia" w:ascii="仿宋_GB2312" w:eastAsia="仿宋_GB2312"/>
          <w:sz w:val="32"/>
          <w:szCs w:val="32"/>
          <w:lang w:eastAsia="zh-CN"/>
        </w:rPr>
        <w:t>因为项目支出功能科目不能是行政运行，所以</w:t>
      </w:r>
      <w:r>
        <w:rPr>
          <w:rFonts w:hint="default" w:eastAsia="仿宋_GB2312"/>
          <w:kern w:val="0"/>
          <w:sz w:val="32"/>
          <w:szCs w:val="32"/>
          <w:highlight w:val="none"/>
          <w:lang w:val="en-US" w:eastAsia="zh-CN" w:bidi="hi-IN"/>
        </w:rPr>
        <w:t>年初项目预算均调剂至基本支出</w:t>
      </w:r>
      <w:r>
        <w:rPr>
          <w:rFonts w:hint="eastAsia" w:eastAsia="仿宋_GB2312"/>
          <w:kern w:val="0"/>
          <w:sz w:val="32"/>
          <w:szCs w:val="32"/>
          <w:highlight w:val="none"/>
          <w:lang w:val="en-US" w:eastAsia="zh-CN" w:bidi="hi-IN"/>
        </w:rPr>
        <w:t>。</w:t>
      </w:r>
    </w:p>
    <w:p w14:paraId="7699737F">
      <w:pPr>
        <w:tabs>
          <w:tab w:val="left" w:pos="7560"/>
        </w:tabs>
        <w:adjustRightInd w:val="0"/>
        <w:snapToGrid w:val="0"/>
        <w:spacing w:line="560" w:lineRule="exact"/>
        <w:ind w:firstLine="640" w:firstLineChars="200"/>
        <w:rPr>
          <w:rFonts w:hint="eastAsia" w:ascii="仿宋" w:hAnsi="仿宋" w:eastAsia="仿宋" w:cs="仿宋"/>
          <w:color w:val="000000"/>
          <w:sz w:val="32"/>
          <w:szCs w:val="32"/>
          <w:lang w:val="en-US" w:eastAsia="zh-CN"/>
        </w:rPr>
      </w:pPr>
      <w:r>
        <w:rPr>
          <w:rFonts w:hint="eastAsia" w:ascii="仿宋_GB2312" w:eastAsia="仿宋_GB2312"/>
          <w:sz w:val="32"/>
          <w:szCs w:val="32"/>
        </w:rPr>
        <w:t>年初预算项目“</w:t>
      </w:r>
      <w:r>
        <w:rPr>
          <w:rFonts w:hint="eastAsia" w:ascii="仿宋_GB2312" w:eastAsia="仿宋_GB2312"/>
          <w:sz w:val="32"/>
          <w:szCs w:val="32"/>
          <w:lang w:eastAsia="zh-CN"/>
        </w:rPr>
        <w:t>网格化管理服务平台网络安全等级保护测评项目（三级）”</w:t>
      </w:r>
      <w:r>
        <w:rPr>
          <w:rFonts w:hint="eastAsia" w:ascii="仿宋_GB2312" w:eastAsia="仿宋_GB2312"/>
          <w:sz w:val="32"/>
          <w:szCs w:val="32"/>
        </w:rPr>
        <w:t>专项资金，年中执行调减</w:t>
      </w:r>
      <w:r>
        <w:rPr>
          <w:rFonts w:hint="eastAsia" w:ascii="仿宋_GB2312" w:eastAsia="仿宋_GB2312"/>
          <w:sz w:val="32"/>
          <w:szCs w:val="32"/>
          <w:lang w:val="en-US" w:eastAsia="zh-CN"/>
        </w:rPr>
        <w:t>8</w:t>
      </w:r>
      <w:r>
        <w:rPr>
          <w:rFonts w:hint="eastAsia" w:ascii="仿宋_GB2312" w:eastAsia="仿宋_GB2312"/>
          <w:sz w:val="32"/>
          <w:szCs w:val="32"/>
        </w:rPr>
        <w:t>万</w:t>
      </w:r>
      <w:r>
        <w:rPr>
          <w:rFonts w:hint="eastAsia" w:ascii="仿宋_GB2312" w:eastAsia="仿宋_GB2312"/>
          <w:sz w:val="32"/>
          <w:szCs w:val="32"/>
          <w:highlight w:val="none"/>
        </w:rPr>
        <w:t>元，实际支出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万元，结余结转</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万元。项目实施及绩效情况如下：</w:t>
      </w:r>
      <w:r>
        <w:rPr>
          <w:rFonts w:hint="eastAsia" w:ascii="仿宋" w:hAnsi="仿宋" w:eastAsia="仿宋" w:cs="仿宋"/>
          <w:color w:val="000000"/>
          <w:sz w:val="32"/>
          <w:szCs w:val="32"/>
          <w:lang w:val="en-US" w:eastAsia="zh-CN"/>
        </w:rPr>
        <w:t>因为单位职能划转，“数字渌口”发展事务中心划转到区数据局，所以本年度未进行</w:t>
      </w:r>
      <w:r>
        <w:rPr>
          <w:rFonts w:hint="eastAsia" w:ascii="仿宋_GB2312" w:eastAsia="仿宋_GB2312"/>
          <w:sz w:val="32"/>
          <w:szCs w:val="32"/>
          <w:lang w:eastAsia="zh-CN"/>
        </w:rPr>
        <w:t>此项目。</w:t>
      </w:r>
    </w:p>
    <w:p w14:paraId="0CB926FC">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年中追加项目“</w:t>
      </w:r>
      <w:r>
        <w:rPr>
          <w:rFonts w:hint="eastAsia" w:ascii="仿宋_GB2312" w:eastAsia="仿宋_GB2312"/>
          <w:sz w:val="32"/>
          <w:szCs w:val="32"/>
          <w:lang w:val="en-US" w:eastAsia="zh-CN"/>
        </w:rPr>
        <w:t>纪委调剂办案经费”</w:t>
      </w:r>
      <w:r>
        <w:rPr>
          <w:rFonts w:hint="eastAsia" w:ascii="仿宋_GB2312" w:eastAsia="仿宋_GB2312"/>
          <w:sz w:val="32"/>
          <w:szCs w:val="32"/>
        </w:rPr>
        <w:t>，金额</w:t>
      </w:r>
      <w:r>
        <w:rPr>
          <w:rFonts w:hint="eastAsia" w:ascii="仿宋_GB2312" w:eastAsia="仿宋_GB2312"/>
          <w:sz w:val="32"/>
          <w:szCs w:val="32"/>
          <w:lang w:val="en-US" w:eastAsia="zh-CN"/>
        </w:rPr>
        <w:t>5</w:t>
      </w:r>
      <w:r>
        <w:rPr>
          <w:rFonts w:hint="eastAsia" w:ascii="仿宋_GB2312" w:eastAsia="仿宋_GB2312"/>
          <w:sz w:val="32"/>
          <w:szCs w:val="32"/>
        </w:rPr>
        <w:t>万元，实际支出</w:t>
      </w:r>
      <w:r>
        <w:rPr>
          <w:rFonts w:hint="eastAsia" w:ascii="仿宋_GB2312" w:eastAsia="仿宋_GB2312"/>
          <w:sz w:val="32"/>
          <w:szCs w:val="32"/>
          <w:lang w:val="en-US" w:eastAsia="zh-CN"/>
        </w:rPr>
        <w:t>5</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w:t>
      </w:r>
      <w:r>
        <w:rPr>
          <w:rFonts w:hint="eastAsia" w:ascii="仿宋_GB2312" w:eastAsia="仿宋_GB2312"/>
          <w:sz w:val="32"/>
          <w:szCs w:val="32"/>
          <w:lang w:eastAsia="zh-CN"/>
        </w:rPr>
        <w:t>清廉大厅建设，保障了政务服务大厅的正常有序运行。</w:t>
      </w:r>
    </w:p>
    <w:p w14:paraId="7F9850AF">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年中追加项目“</w:t>
      </w:r>
      <w:r>
        <w:rPr>
          <w:rFonts w:hint="eastAsia" w:ascii="仿宋" w:hAnsi="仿宋" w:eastAsia="仿宋"/>
          <w:sz w:val="32"/>
          <w:szCs w:val="32"/>
          <w:lang w:val="en-US" w:eastAsia="zh-CN"/>
        </w:rPr>
        <w:t>渌口区政务协同办公系统项目建设经费”</w:t>
      </w:r>
      <w:r>
        <w:rPr>
          <w:rFonts w:hint="eastAsia" w:ascii="仿宋_GB2312" w:eastAsia="仿宋_GB2312"/>
          <w:sz w:val="32"/>
          <w:szCs w:val="32"/>
        </w:rPr>
        <w:t>，</w:t>
      </w:r>
      <w:r>
        <w:rPr>
          <w:rFonts w:hint="eastAsia" w:ascii="仿宋_GB2312" w:eastAsia="仿宋_GB2312"/>
          <w:sz w:val="32"/>
          <w:szCs w:val="32"/>
          <w:highlight w:val="none"/>
        </w:rPr>
        <w:t>金额</w:t>
      </w:r>
      <w:r>
        <w:rPr>
          <w:rFonts w:hint="eastAsia" w:ascii="仿宋_GB2312" w:eastAsia="仿宋_GB2312"/>
          <w:sz w:val="32"/>
          <w:szCs w:val="32"/>
          <w:highlight w:val="none"/>
          <w:lang w:val="en-US" w:eastAsia="zh-CN"/>
        </w:rPr>
        <w:t>82.92</w:t>
      </w:r>
      <w:r>
        <w:rPr>
          <w:rFonts w:hint="eastAsia" w:ascii="仿宋_GB2312" w:eastAsia="仿宋_GB2312"/>
          <w:sz w:val="32"/>
          <w:szCs w:val="32"/>
          <w:highlight w:val="none"/>
        </w:rPr>
        <w:t>万元，实际</w:t>
      </w:r>
      <w:r>
        <w:rPr>
          <w:rFonts w:hint="eastAsia" w:ascii="仿宋_GB2312" w:eastAsia="仿宋_GB2312"/>
          <w:sz w:val="32"/>
          <w:szCs w:val="32"/>
        </w:rPr>
        <w:t>支出</w:t>
      </w:r>
      <w:r>
        <w:rPr>
          <w:rFonts w:hint="eastAsia" w:ascii="仿宋_GB2312" w:eastAsia="仿宋_GB2312"/>
          <w:sz w:val="32"/>
          <w:szCs w:val="32"/>
          <w:lang w:val="en-US" w:eastAsia="zh-CN"/>
        </w:rPr>
        <w:t>82.92</w:t>
      </w:r>
      <w:r>
        <w:rPr>
          <w:rFonts w:hint="eastAsia" w:ascii="仿宋_GB2312" w:eastAsia="仿宋_GB2312"/>
          <w:sz w:val="32"/>
          <w:szCs w:val="32"/>
        </w:rPr>
        <w:t>万元，</w:t>
      </w:r>
      <w:r>
        <w:rPr>
          <w:rFonts w:hint="eastAsia" w:ascii="仿宋_GB2312" w:eastAsia="仿宋_GB2312"/>
          <w:sz w:val="32"/>
          <w:szCs w:val="32"/>
          <w:highlight w:val="none"/>
        </w:rPr>
        <w:t>结余结转</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rPr>
        <w:t>项目实施及绩效情况如下：</w:t>
      </w:r>
      <w:r>
        <w:rPr>
          <w:rFonts w:hint="eastAsia" w:ascii="仿宋_GB2312" w:eastAsia="仿宋_GB2312"/>
          <w:sz w:val="32"/>
          <w:szCs w:val="32"/>
          <w:lang w:eastAsia="zh-CN"/>
        </w:rPr>
        <w:t>通过以办公应用为核心，优化机关事务流程，同时整合云资源信息以及与“掌上渌口”“马办”平台嵌入对接，构建云公文中心、云事务中心、云会议中心、云资讯中心、云督办中心等功能。提升政务办公自动化水平，实现机关各部门之间办公信息的收集与处理、流动与共享，实现公文收发流转、公务活动审签及其他事务办理等。</w:t>
      </w:r>
    </w:p>
    <w:p w14:paraId="6FDF7F06">
      <w:pPr>
        <w:tabs>
          <w:tab w:val="left" w:pos="7560"/>
        </w:tabs>
        <w:adjustRightInd w:val="0"/>
        <w:snapToGrid w:val="0"/>
        <w:spacing w:line="560" w:lineRule="exact"/>
        <w:ind w:firstLine="640" w:firstLineChars="200"/>
        <w:jc w:val="left"/>
        <w:rPr>
          <w:rFonts w:hint="eastAsia" w:ascii="仿宋_GB2312" w:eastAsia="仿宋_GB2312"/>
          <w:sz w:val="32"/>
          <w:szCs w:val="32"/>
          <w:highlight w:val="yellow"/>
        </w:rPr>
      </w:pPr>
      <w:r>
        <w:rPr>
          <w:rFonts w:hint="eastAsia" w:ascii="仿宋_GB2312" w:eastAsia="仿宋_GB2312"/>
          <w:sz w:val="32"/>
          <w:szCs w:val="32"/>
        </w:rPr>
        <w:t>年中追加项目“</w:t>
      </w:r>
      <w:r>
        <w:rPr>
          <w:rFonts w:hint="eastAsia" w:ascii="仿宋" w:hAnsi="仿宋" w:eastAsia="仿宋"/>
          <w:sz w:val="32"/>
          <w:szCs w:val="32"/>
          <w:lang w:val="en-US" w:eastAsia="zh-CN"/>
        </w:rPr>
        <w:t>电子政务外网链路租赁经费”</w:t>
      </w:r>
      <w:r>
        <w:rPr>
          <w:rFonts w:hint="eastAsia" w:ascii="仿宋_GB2312" w:eastAsia="仿宋_GB2312"/>
          <w:sz w:val="32"/>
          <w:szCs w:val="32"/>
        </w:rPr>
        <w:t>，</w:t>
      </w:r>
      <w:r>
        <w:rPr>
          <w:rFonts w:hint="eastAsia" w:ascii="仿宋_GB2312" w:eastAsia="仿宋_GB2312"/>
          <w:sz w:val="32"/>
          <w:szCs w:val="32"/>
          <w:highlight w:val="none"/>
        </w:rPr>
        <w:t>金额</w:t>
      </w:r>
      <w:r>
        <w:rPr>
          <w:rFonts w:hint="eastAsia" w:ascii="仿宋_GB2312" w:eastAsia="仿宋_GB2312"/>
          <w:sz w:val="32"/>
          <w:szCs w:val="32"/>
          <w:highlight w:val="none"/>
          <w:lang w:val="en-US" w:eastAsia="zh-CN"/>
        </w:rPr>
        <w:t>97.75</w:t>
      </w:r>
      <w:r>
        <w:rPr>
          <w:rFonts w:hint="eastAsia" w:ascii="仿宋_GB2312" w:eastAsia="仿宋_GB2312"/>
          <w:sz w:val="32"/>
          <w:szCs w:val="32"/>
          <w:highlight w:val="none"/>
        </w:rPr>
        <w:t>万元，实际支出</w:t>
      </w:r>
      <w:r>
        <w:rPr>
          <w:rFonts w:hint="eastAsia" w:ascii="仿宋_GB2312" w:eastAsia="仿宋_GB2312"/>
          <w:sz w:val="32"/>
          <w:szCs w:val="32"/>
          <w:highlight w:val="none"/>
          <w:lang w:val="en-US" w:eastAsia="zh-CN"/>
        </w:rPr>
        <w:t>97.75</w:t>
      </w:r>
      <w:r>
        <w:rPr>
          <w:rFonts w:hint="eastAsia" w:ascii="仿宋_GB2312" w:eastAsia="仿宋_GB2312"/>
          <w:sz w:val="32"/>
          <w:szCs w:val="32"/>
          <w:highlight w:val="none"/>
        </w:rPr>
        <w:t>万元，结余结转</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rPr>
        <w:t>项目实施及绩效情况如下：</w:t>
      </w:r>
      <w:r>
        <w:rPr>
          <w:rFonts w:hint="eastAsia" w:ascii="仿宋_GB2312" w:eastAsia="仿宋_GB2312"/>
          <w:sz w:val="32"/>
          <w:szCs w:val="32"/>
          <w:lang w:val="en-US" w:eastAsia="zh-CN"/>
        </w:rPr>
        <w:t>已满足渌口区区直政务外网申请单位和乡镇政务网络接入，</w:t>
      </w:r>
      <w:r>
        <w:rPr>
          <w:rFonts w:hint="eastAsia" w:ascii="仿宋_GB2312" w:eastAsia="仿宋_GB2312"/>
          <w:sz w:val="32"/>
          <w:szCs w:val="32"/>
          <w:lang w:eastAsia="zh-CN"/>
        </w:rPr>
        <w:t>保障了各部门单位和乡镇政务外网网络通畅，政务系统平稳运行，为渌口区信息化建设和“数字渌口”整体建设提供了基础网络服务和网络资源。</w:t>
      </w:r>
    </w:p>
    <w:p w14:paraId="6FC886B5">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年中追加项目</w:t>
      </w:r>
      <w:r>
        <w:rPr>
          <w:rFonts w:hint="eastAsia" w:ascii="仿宋" w:hAnsi="仿宋" w:eastAsia="仿宋"/>
          <w:sz w:val="32"/>
          <w:szCs w:val="32"/>
          <w:lang w:val="en-US" w:eastAsia="zh-CN"/>
        </w:rPr>
        <w:t>“湘易办”超级服务端建设推广应用工作经费</w:t>
      </w:r>
      <w:r>
        <w:rPr>
          <w:rFonts w:hint="eastAsia" w:ascii="仿宋_GB2312" w:eastAsia="仿宋_GB2312"/>
          <w:sz w:val="32"/>
          <w:szCs w:val="32"/>
        </w:rPr>
        <w:t>，金额</w:t>
      </w:r>
      <w:r>
        <w:rPr>
          <w:rFonts w:hint="eastAsia" w:ascii="仿宋_GB2312" w:eastAsia="仿宋_GB2312"/>
          <w:sz w:val="32"/>
          <w:szCs w:val="32"/>
          <w:lang w:val="en-US" w:eastAsia="zh-CN"/>
        </w:rPr>
        <w:t>20</w:t>
      </w:r>
      <w:r>
        <w:rPr>
          <w:rFonts w:hint="eastAsia" w:ascii="仿宋_GB2312" w:eastAsia="仿宋_GB2312"/>
          <w:sz w:val="32"/>
          <w:szCs w:val="32"/>
        </w:rPr>
        <w:t>万元，实际支出</w:t>
      </w:r>
      <w:r>
        <w:rPr>
          <w:rFonts w:hint="eastAsia" w:ascii="仿宋_GB2312" w:eastAsia="仿宋_GB2312"/>
          <w:sz w:val="32"/>
          <w:szCs w:val="32"/>
          <w:lang w:val="en-US" w:eastAsia="zh-CN"/>
        </w:rPr>
        <w:t>20</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万元。项目实施及绩效情况如下：为进一步做好</w:t>
      </w:r>
      <w:r>
        <w:rPr>
          <w:rFonts w:hint="eastAsia" w:ascii="仿宋_GB2312" w:eastAsia="仿宋_GB2312"/>
          <w:sz w:val="32"/>
          <w:szCs w:val="32"/>
          <w:lang w:eastAsia="zh-CN"/>
        </w:rPr>
        <w:t>渌口</w:t>
      </w:r>
      <w:r>
        <w:rPr>
          <w:rFonts w:hint="eastAsia" w:ascii="仿宋_GB2312" w:eastAsia="仿宋_GB2312"/>
          <w:sz w:val="32"/>
          <w:szCs w:val="32"/>
        </w:rPr>
        <w:t>区“湘易办”超级服务端的建设推广应用工作，</w:t>
      </w:r>
      <w:r>
        <w:rPr>
          <w:rFonts w:hint="eastAsia" w:ascii="仿宋_GB2312" w:eastAsia="仿宋_GB2312"/>
          <w:sz w:val="32"/>
          <w:szCs w:val="32"/>
          <w:lang w:eastAsia="zh-CN"/>
        </w:rPr>
        <w:t>本部门</w:t>
      </w:r>
      <w:r>
        <w:rPr>
          <w:rFonts w:hint="eastAsia" w:ascii="仿宋_GB2312" w:eastAsia="仿宋_GB2312"/>
          <w:sz w:val="32"/>
          <w:szCs w:val="32"/>
        </w:rPr>
        <w:t>从阵地建设、宣传发动、应用推广、媒体助力等多方面发力，加快推进“数字渌口”数字政府建设，确保省“十大民生实事”在渌口区落实落地落细。</w:t>
      </w:r>
    </w:p>
    <w:p w14:paraId="533C4256">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年中追加项目“</w:t>
      </w:r>
      <w:r>
        <w:rPr>
          <w:rFonts w:hint="eastAsia" w:ascii="仿宋" w:hAnsi="仿宋" w:eastAsia="仿宋"/>
          <w:sz w:val="32"/>
          <w:szCs w:val="32"/>
          <w:lang w:val="en-US" w:eastAsia="zh-CN"/>
        </w:rPr>
        <w:t>渌口区规范村民建房监督管理平台新增功能模块</w:t>
      </w:r>
      <w:r>
        <w:rPr>
          <w:rFonts w:hint="eastAsia" w:ascii="仿宋_GB2312" w:eastAsia="仿宋_GB2312"/>
          <w:sz w:val="32"/>
          <w:szCs w:val="32"/>
          <w:lang w:val="en-US" w:eastAsia="zh-CN"/>
        </w:rPr>
        <w:t>经费”</w:t>
      </w:r>
      <w:r>
        <w:rPr>
          <w:rFonts w:hint="eastAsia" w:ascii="仿宋_GB2312" w:eastAsia="仿宋_GB2312"/>
          <w:sz w:val="32"/>
          <w:szCs w:val="32"/>
        </w:rPr>
        <w:t>，金额</w:t>
      </w:r>
      <w:r>
        <w:rPr>
          <w:rFonts w:hint="eastAsia" w:ascii="仿宋_GB2312" w:eastAsia="仿宋_GB2312"/>
          <w:sz w:val="32"/>
          <w:szCs w:val="32"/>
          <w:lang w:val="en-US" w:eastAsia="zh-CN"/>
        </w:rPr>
        <w:t>5.8</w:t>
      </w:r>
      <w:r>
        <w:rPr>
          <w:rFonts w:hint="eastAsia" w:ascii="仿宋_GB2312" w:eastAsia="仿宋_GB2312"/>
          <w:sz w:val="32"/>
          <w:szCs w:val="32"/>
        </w:rPr>
        <w:t>万元，实际支出</w:t>
      </w:r>
      <w:r>
        <w:rPr>
          <w:rFonts w:hint="eastAsia" w:ascii="仿宋_GB2312" w:eastAsia="仿宋_GB2312"/>
          <w:sz w:val="32"/>
          <w:szCs w:val="32"/>
          <w:lang w:val="en-US" w:eastAsia="zh-CN"/>
        </w:rPr>
        <w:t>5.8</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w:t>
      </w:r>
      <w:r>
        <w:rPr>
          <w:rFonts w:hint="eastAsia" w:ascii="仿宋_GB2312" w:eastAsia="仿宋_GB2312"/>
          <w:sz w:val="32"/>
          <w:szCs w:val="32"/>
          <w:lang w:eastAsia="zh-CN"/>
        </w:rPr>
        <w:t>在</w:t>
      </w:r>
      <w:r>
        <w:rPr>
          <w:rFonts w:hint="eastAsia" w:ascii="仿宋" w:hAnsi="仿宋" w:eastAsia="仿宋"/>
          <w:sz w:val="32"/>
          <w:szCs w:val="32"/>
          <w:lang w:val="en-US" w:eastAsia="zh-CN"/>
        </w:rPr>
        <w:t>规范村民建房监督管理平台上新增可视化大屏端，将“一网两端三联动”总体架构拓展为“一网三端三联动”总体架构（“一张网”管理，数据大屏端、微信小程序端和后台管理端“三端”应用，区、镇、村“三级联动”工作模式），并在微信小程序端新增登录账号缓存、进度分类统计、违规工匠详情、接受通知通报等功能。</w:t>
      </w:r>
      <w:r>
        <w:rPr>
          <w:rFonts w:hint="eastAsia" w:ascii="仿宋_GB2312" w:eastAsia="仿宋_GB2312"/>
          <w:sz w:val="32"/>
          <w:szCs w:val="32"/>
          <w:lang w:eastAsia="zh-CN"/>
        </w:rPr>
        <w:t>进一步加强农村村民建房管理，改善人居环境，建设美丽乡村，促进城乡统筹发展。</w:t>
      </w:r>
    </w:p>
    <w:p w14:paraId="02650DAD">
      <w:pPr>
        <w:tabs>
          <w:tab w:val="left" w:pos="7560"/>
        </w:tabs>
        <w:adjustRightInd w:val="0"/>
        <w:snapToGrid w:val="0"/>
        <w:spacing w:line="560" w:lineRule="exact"/>
        <w:ind w:firstLine="640" w:firstLineChars="200"/>
        <w:rPr>
          <w:rFonts w:hint="eastAsia" w:ascii="仿宋_GB2312" w:eastAsia="仿宋_GB2312"/>
          <w:sz w:val="32"/>
          <w:szCs w:val="32"/>
          <w:highlight w:val="yellow"/>
        </w:rPr>
      </w:pPr>
      <w:r>
        <w:rPr>
          <w:rFonts w:hint="eastAsia" w:ascii="仿宋_GB2312" w:eastAsia="仿宋_GB2312"/>
          <w:sz w:val="32"/>
          <w:szCs w:val="32"/>
        </w:rPr>
        <w:t>年中追加项目“</w:t>
      </w:r>
      <w:r>
        <w:rPr>
          <w:rFonts w:hint="eastAsia" w:ascii="仿宋" w:hAnsi="仿宋" w:eastAsia="仿宋"/>
          <w:sz w:val="32"/>
          <w:szCs w:val="32"/>
          <w:lang w:val="en-US" w:eastAsia="zh-CN"/>
        </w:rPr>
        <w:t>数字化基础支撑平台设备运维费</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highlight w:val="none"/>
        </w:rPr>
        <w:t>金额</w:t>
      </w:r>
      <w:r>
        <w:rPr>
          <w:rFonts w:hint="eastAsia" w:ascii="仿宋_GB2312" w:eastAsia="仿宋_GB2312"/>
          <w:sz w:val="32"/>
          <w:szCs w:val="32"/>
          <w:highlight w:val="none"/>
          <w:lang w:val="en-US" w:eastAsia="zh-CN"/>
        </w:rPr>
        <w:t>30</w:t>
      </w:r>
      <w:r>
        <w:rPr>
          <w:rFonts w:hint="eastAsia" w:ascii="仿宋_GB2312" w:eastAsia="仿宋_GB2312"/>
          <w:sz w:val="32"/>
          <w:szCs w:val="32"/>
        </w:rPr>
        <w:t>万元，实际支出</w:t>
      </w:r>
      <w:r>
        <w:rPr>
          <w:rFonts w:hint="eastAsia" w:ascii="仿宋_GB2312" w:eastAsia="仿宋_GB2312"/>
          <w:sz w:val="32"/>
          <w:szCs w:val="32"/>
          <w:lang w:val="en-US" w:eastAsia="zh-CN"/>
        </w:rPr>
        <w:t>30</w:t>
      </w:r>
      <w:r>
        <w:rPr>
          <w:rFonts w:hint="eastAsia" w:ascii="仿宋_GB2312" w:eastAsia="仿宋_GB2312"/>
          <w:sz w:val="32"/>
          <w:szCs w:val="32"/>
        </w:rPr>
        <w:t>万元</w:t>
      </w:r>
      <w:r>
        <w:rPr>
          <w:rFonts w:hint="eastAsia" w:ascii="仿宋_GB2312" w:eastAsia="仿宋_GB2312"/>
          <w:sz w:val="32"/>
          <w:szCs w:val="32"/>
          <w:highlight w:val="none"/>
        </w:rPr>
        <w:t>，结余结转</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rPr>
        <w:t>项目实施及绩效情况如下：</w:t>
      </w:r>
      <w:r>
        <w:rPr>
          <w:rFonts w:hint="eastAsia" w:ascii="仿宋_GB2312" w:eastAsia="仿宋_GB2312"/>
          <w:sz w:val="32"/>
          <w:szCs w:val="32"/>
          <w:lang w:eastAsia="zh-CN"/>
        </w:rPr>
        <w:t>服务内容包括机房工程运维、信息中心网络安全设备运维、信息中心主机（储存）运维、信息中心其他硬件系统运维、安全服务、应用系统运维、镇村设备运维等，确保“数字渌口”项目软硬件设备持续稳定运行。</w:t>
      </w:r>
    </w:p>
    <w:p w14:paraId="7BA440FB">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年中追加项目“</w:t>
      </w:r>
      <w:r>
        <w:rPr>
          <w:rFonts w:hint="eastAsia" w:ascii="仿宋" w:hAnsi="仿宋" w:eastAsia="仿宋"/>
          <w:sz w:val="32"/>
          <w:szCs w:val="32"/>
          <w:lang w:val="en-US" w:eastAsia="zh-CN"/>
        </w:rPr>
        <w:t>区大数据中心问题设备更换费用</w:t>
      </w:r>
      <w:r>
        <w:rPr>
          <w:rFonts w:hint="eastAsia" w:ascii="仿宋_GB2312" w:eastAsia="仿宋_GB2312"/>
          <w:sz w:val="32"/>
          <w:szCs w:val="32"/>
          <w:lang w:val="en-US" w:eastAsia="zh-CN"/>
        </w:rPr>
        <w:t>”</w:t>
      </w:r>
      <w:r>
        <w:rPr>
          <w:rFonts w:hint="eastAsia" w:ascii="仿宋_GB2312" w:eastAsia="仿宋_GB2312"/>
          <w:sz w:val="32"/>
          <w:szCs w:val="32"/>
        </w:rPr>
        <w:t>，金额</w:t>
      </w:r>
      <w:r>
        <w:rPr>
          <w:rFonts w:hint="eastAsia" w:ascii="仿宋_GB2312" w:eastAsia="仿宋_GB2312"/>
          <w:sz w:val="32"/>
          <w:szCs w:val="32"/>
          <w:lang w:val="en-US" w:eastAsia="zh-CN"/>
        </w:rPr>
        <w:t>4.95</w:t>
      </w:r>
      <w:r>
        <w:rPr>
          <w:rFonts w:hint="eastAsia" w:ascii="仿宋_GB2312" w:eastAsia="仿宋_GB2312"/>
          <w:sz w:val="32"/>
          <w:szCs w:val="32"/>
        </w:rPr>
        <w:t>万元，实际支出</w:t>
      </w:r>
      <w:r>
        <w:rPr>
          <w:rFonts w:hint="eastAsia" w:ascii="仿宋_GB2312" w:eastAsia="仿宋_GB2312"/>
          <w:sz w:val="32"/>
          <w:szCs w:val="32"/>
          <w:lang w:val="en-US" w:eastAsia="zh-CN"/>
        </w:rPr>
        <w:t>4.95</w:t>
      </w:r>
      <w:r>
        <w:rPr>
          <w:rFonts w:hint="eastAsia" w:ascii="仿宋_GB2312" w:eastAsia="仿宋_GB2312"/>
          <w:sz w:val="32"/>
          <w:szCs w:val="32"/>
        </w:rPr>
        <w:t>万元，结余结转</w:t>
      </w:r>
      <w:r>
        <w:rPr>
          <w:rFonts w:hint="eastAsia" w:ascii="仿宋_GB2312" w:eastAsia="仿宋_GB2312"/>
          <w:sz w:val="32"/>
          <w:szCs w:val="32"/>
          <w:lang w:val="en-US" w:eastAsia="zh-CN"/>
        </w:rPr>
        <w:t>0</w:t>
      </w:r>
      <w:r>
        <w:rPr>
          <w:rFonts w:hint="eastAsia" w:ascii="仿宋_GB2312" w:eastAsia="仿宋_GB2312"/>
          <w:sz w:val="32"/>
          <w:szCs w:val="32"/>
        </w:rPr>
        <w:t>万元。项目实施及绩效情况如下：</w:t>
      </w:r>
      <w:r>
        <w:rPr>
          <w:rFonts w:hint="eastAsia" w:ascii="仿宋_GB2312" w:eastAsia="仿宋_GB2312"/>
          <w:sz w:val="32"/>
          <w:szCs w:val="32"/>
          <w:lang w:eastAsia="zh-CN"/>
        </w:rPr>
        <w:t>更换或维修七氟丙烷灭火瓶组、音频输入设备、视频会议室视频拼接器板载卡设备，保障区大数据中心正常运行。</w:t>
      </w:r>
    </w:p>
    <w:p w14:paraId="2B195DB5">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七、存在的问题及原因分析</w:t>
      </w:r>
    </w:p>
    <w:p w14:paraId="6FE9C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32"/>
          <w:lang w:val="en-US" w:eastAsia="zh-CN" w:bidi="ar"/>
        </w:rPr>
      </w:pPr>
      <w:r>
        <w:rPr>
          <w:rFonts w:hint="default" w:ascii="Times New Roman" w:hAnsi="Times New Roman" w:eastAsia="仿宋_GB2312" w:cs="仿宋_GB2312"/>
          <w:kern w:val="2"/>
          <w:sz w:val="32"/>
          <w:szCs w:val="32"/>
          <w:lang w:val="en-US" w:eastAsia="zh-CN" w:bidi="ar"/>
        </w:rPr>
        <w:t>202</w:t>
      </w:r>
      <w:r>
        <w:rPr>
          <w:rFonts w:hint="eastAsia" w:ascii="Times New Roman" w:hAnsi="Times New Roman" w:eastAsia="仿宋_GB2312" w:cs="仿宋_GB2312"/>
          <w:kern w:val="2"/>
          <w:sz w:val="32"/>
          <w:szCs w:val="32"/>
          <w:lang w:val="en-US" w:eastAsia="zh-CN" w:bidi="ar"/>
        </w:rPr>
        <w:t>4年度本部门预算支出执行没有偏离绩效目标的情况，但需要加强部门对预算绩效日常监控，围绕绩效目标，适时监控绩效目标实现程度和预算执行情况。因机关运转经费不足，</w:t>
      </w:r>
      <w:r>
        <w:rPr>
          <w:rFonts w:hint="eastAsia" w:ascii="仿宋" w:hAnsi="仿宋" w:eastAsia="仿宋"/>
          <w:sz w:val="32"/>
          <w:szCs w:val="32"/>
          <w:lang w:val="en-US" w:eastAsia="zh-CN"/>
        </w:rPr>
        <w:t>很多</w:t>
      </w:r>
      <w:r>
        <w:rPr>
          <w:rFonts w:hint="eastAsia" w:ascii="Times New Roman" w:hAnsi="Times New Roman" w:eastAsia="仿宋_GB2312" w:cs="仿宋_GB2312"/>
          <w:kern w:val="2"/>
          <w:sz w:val="32"/>
          <w:szCs w:val="32"/>
          <w:lang w:val="en-US" w:eastAsia="zh-CN" w:bidi="ar"/>
        </w:rPr>
        <w:t>工作经费需要追加，建议在年初预算时将这些工作每年都需要支出的经费纳入财政年初预算。在今后工作中，我们将围绕预算资金，厉行节约，节省不必要的开支。</w:t>
      </w:r>
    </w:p>
    <w:p w14:paraId="52F42E31">
      <w:pPr>
        <w:pStyle w:val="27"/>
        <w:keepNext w:val="0"/>
        <w:keepLines w:val="0"/>
        <w:pageBreakBefore w:val="0"/>
        <w:numPr>
          <w:ilvl w:val="0"/>
          <w:numId w:val="4"/>
        </w:numPr>
        <w:tabs>
          <w:tab w:val="left" w:pos="1066"/>
        </w:tabs>
        <w:wordWrap/>
        <w:overflowPunct/>
        <w:topLinePunct w:val="0"/>
        <w:bidi w:val="0"/>
        <w:spacing w:line="560" w:lineRule="exact"/>
        <w:ind w:firstLine="640" w:firstLineChars="200"/>
        <w:outlineLvl w:val="1"/>
        <w:rPr>
          <w:rFonts w:hint="eastAsia" w:ascii="Times New Roman" w:hAnsi="Times New Roman" w:eastAsia="仿宋_GB2312" w:cs="仿宋_GB2312"/>
          <w:kern w:val="2"/>
          <w:sz w:val="32"/>
          <w:szCs w:val="32"/>
          <w:lang w:val="en-US" w:eastAsia="zh-CN" w:bidi="ar"/>
        </w:rPr>
      </w:pPr>
      <w:bookmarkStart w:id="3" w:name="_Toc926"/>
      <w:r>
        <w:rPr>
          <w:rFonts w:hint="eastAsia" w:ascii="Times New Roman" w:hAnsi="Times New Roman" w:eastAsia="仿宋_GB2312" w:cs="仿宋_GB2312"/>
          <w:kern w:val="2"/>
          <w:sz w:val="32"/>
          <w:szCs w:val="32"/>
          <w:lang w:val="en-US" w:eastAsia="zh-CN" w:bidi="ar"/>
        </w:rPr>
        <w:t>绩效管理不规范</w:t>
      </w:r>
      <w:bookmarkEnd w:id="3"/>
    </w:p>
    <w:p w14:paraId="6BAF5AC2">
      <w:pPr>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本部门部分绩效目标设定不规范，绩效目标笼统且不全面，缺乏细化量化。绩效评价体系不健全，评价指标模糊化、主观性强。过程监控与动态调整缺失，未建立实时数据跟踪机制。</w:t>
      </w:r>
    </w:p>
    <w:p w14:paraId="7FF766DF">
      <w:pPr>
        <w:pStyle w:val="27"/>
        <w:keepNext w:val="0"/>
        <w:keepLines w:val="0"/>
        <w:pageBreakBefore w:val="0"/>
        <w:wordWrap/>
        <w:overflowPunct/>
        <w:topLinePunct w:val="0"/>
        <w:bidi w:val="0"/>
        <w:spacing w:line="560" w:lineRule="exact"/>
        <w:ind w:firstLine="640" w:firstLineChars="200"/>
        <w:outlineLvl w:val="1"/>
        <w:rPr>
          <w:rFonts w:hint="eastAsia" w:ascii="Times New Roman" w:hAnsi="Times New Roman" w:eastAsia="仿宋_GB2312" w:cs="仿宋_GB2312"/>
          <w:kern w:val="2"/>
          <w:sz w:val="32"/>
          <w:szCs w:val="32"/>
          <w:lang w:val="en-US" w:eastAsia="zh-CN" w:bidi="ar"/>
        </w:rPr>
      </w:pPr>
      <w:bookmarkStart w:id="4" w:name="_Toc9041"/>
      <w:r>
        <w:rPr>
          <w:rFonts w:hint="eastAsia" w:ascii="Times New Roman" w:hAnsi="Times New Roman" w:eastAsia="仿宋_GB2312" w:cs="仿宋_GB2312"/>
          <w:kern w:val="2"/>
          <w:sz w:val="32"/>
          <w:szCs w:val="32"/>
          <w:lang w:val="en-US" w:eastAsia="zh-CN" w:bidi="ar"/>
        </w:rPr>
        <w:t>（二）预算编制欠科学</w:t>
      </w:r>
      <w:bookmarkEnd w:id="4"/>
    </w:p>
    <w:p w14:paraId="6E4884F3">
      <w:pPr>
        <w:snapToGrid w:val="0"/>
        <w:spacing w:line="560" w:lineRule="exact"/>
        <w:ind w:firstLine="640" w:firstLineChars="200"/>
        <w:rPr>
          <w:rFonts w:hint="eastAsia" w:eastAsia="仿宋"/>
          <w:kern w:val="0"/>
          <w:sz w:val="32"/>
          <w:szCs w:val="32"/>
          <w:highlight w:val="none"/>
          <w:lang w:val="en-US" w:eastAsia="zh-CN"/>
        </w:rPr>
      </w:pPr>
      <w:r>
        <w:rPr>
          <w:rFonts w:hint="default" w:eastAsia="仿宋_GB2312"/>
          <w:kern w:val="0"/>
          <w:sz w:val="32"/>
          <w:szCs w:val="32"/>
          <w:highlight w:val="none"/>
          <w:lang w:val="en-US" w:eastAsia="zh-CN" w:bidi="hi-IN"/>
        </w:rPr>
        <w:t>通过预算报表及实际支出数进行对比，存在超预算支出的情况</w:t>
      </w:r>
      <w:r>
        <w:rPr>
          <w:rFonts w:hint="eastAsia" w:eastAsia="仿宋_GB2312"/>
          <w:kern w:val="0"/>
          <w:sz w:val="32"/>
          <w:szCs w:val="32"/>
          <w:highlight w:val="none"/>
          <w:lang w:val="en-US" w:eastAsia="zh-CN" w:bidi="hi-IN"/>
        </w:rPr>
        <w:t>。</w:t>
      </w:r>
      <w:r>
        <w:rPr>
          <w:rFonts w:hint="eastAsia" w:ascii="Times New Roman" w:hAnsi="Times New Roman" w:eastAsia="仿宋_GB2312" w:cs="仿宋_GB2312"/>
          <w:kern w:val="2"/>
          <w:sz w:val="32"/>
          <w:szCs w:val="32"/>
          <w:lang w:val="en-US" w:eastAsia="zh-CN" w:bidi="ar"/>
        </w:rPr>
        <w:t>因机关运转经费不足，</w:t>
      </w:r>
      <w:r>
        <w:rPr>
          <w:rFonts w:hint="eastAsia" w:ascii="仿宋" w:hAnsi="仿宋" w:eastAsia="仿宋"/>
          <w:sz w:val="32"/>
          <w:szCs w:val="32"/>
          <w:lang w:val="en-US" w:eastAsia="zh-CN"/>
        </w:rPr>
        <w:t>渌口区政务协同办公系统项目建设经费、电子政务外网链路租赁经费、数字化基础支撑平台设备运维费</w:t>
      </w:r>
      <w:r>
        <w:rPr>
          <w:rFonts w:hint="eastAsia" w:ascii="Times New Roman" w:hAnsi="Times New Roman" w:eastAsia="仿宋_GB2312" w:cs="仿宋_GB2312"/>
          <w:kern w:val="2"/>
          <w:sz w:val="32"/>
          <w:szCs w:val="32"/>
          <w:lang w:val="en-US" w:eastAsia="zh-CN" w:bidi="ar"/>
        </w:rPr>
        <w:t>等工作经费，需要年中</w:t>
      </w:r>
      <w:r>
        <w:rPr>
          <w:rFonts w:hint="eastAsia" w:ascii="仿宋_GB2312" w:hAnsi="仿宋" w:eastAsia="仿宋_GB2312" w:cs="Times New Roman"/>
          <w:sz w:val="32"/>
          <w:szCs w:val="32"/>
        </w:rPr>
        <w:t>按规定通过申请预算追加解决</w:t>
      </w:r>
      <w:r>
        <w:rPr>
          <w:rFonts w:hint="eastAsia" w:ascii="仿宋_GB2312" w:hAnsi="仿宋" w:eastAsia="仿宋_GB2312" w:cs="Times New Roman"/>
          <w:sz w:val="32"/>
          <w:szCs w:val="32"/>
          <w:lang w:eastAsia="zh-CN"/>
        </w:rPr>
        <w:t>，</w:t>
      </w:r>
      <w:r>
        <w:rPr>
          <w:rFonts w:hint="eastAsia" w:ascii="Times New Roman" w:hAnsi="Times New Roman" w:eastAsia="仿宋_GB2312" w:cs="仿宋_GB2312"/>
          <w:kern w:val="2"/>
          <w:sz w:val="32"/>
          <w:szCs w:val="32"/>
          <w:lang w:val="en-US" w:eastAsia="zh-CN" w:bidi="ar"/>
        </w:rPr>
        <w:t>建议在年初预算时将这些工作每年都需要支出的经费纳入财政年初预算。</w:t>
      </w:r>
    </w:p>
    <w:p w14:paraId="6E3C6847">
      <w:pPr>
        <w:pStyle w:val="27"/>
        <w:keepNext w:val="0"/>
        <w:keepLines w:val="0"/>
        <w:pageBreakBefore w:val="0"/>
        <w:wordWrap/>
        <w:overflowPunct/>
        <w:topLinePunct w:val="0"/>
        <w:bidi w:val="0"/>
        <w:spacing w:line="560" w:lineRule="exact"/>
        <w:ind w:firstLine="640" w:firstLineChars="200"/>
        <w:outlineLvl w:val="1"/>
        <w:rPr>
          <w:rFonts w:hint="eastAsia" w:ascii="Times New Roman" w:hAnsi="Times New Roman" w:eastAsia="仿宋_GB2312" w:cs="仿宋_GB2312"/>
          <w:kern w:val="2"/>
          <w:sz w:val="32"/>
          <w:szCs w:val="32"/>
          <w:lang w:val="en-US" w:eastAsia="zh-CN" w:bidi="ar"/>
        </w:rPr>
      </w:pPr>
      <w:bookmarkStart w:id="5" w:name="_Toc14906"/>
      <w:r>
        <w:rPr>
          <w:rFonts w:hint="eastAsia" w:ascii="Times New Roman" w:hAnsi="Times New Roman" w:eastAsia="仿宋_GB2312" w:cs="仿宋_GB2312"/>
          <w:kern w:val="2"/>
          <w:sz w:val="32"/>
          <w:szCs w:val="32"/>
          <w:lang w:val="en-US" w:eastAsia="zh-CN" w:bidi="ar"/>
        </w:rPr>
        <w:t>（三）财务管理欠规范</w:t>
      </w:r>
      <w:bookmarkEnd w:id="5"/>
    </w:p>
    <w:p w14:paraId="74CA2CA8">
      <w:pPr>
        <w:widowControl/>
        <w:spacing w:line="560" w:lineRule="exact"/>
        <w:ind w:firstLine="640" w:firstLineChars="200"/>
        <w:jc w:val="left"/>
      </w:pPr>
      <w:r>
        <w:rPr>
          <w:rFonts w:hint="eastAsia" w:ascii="Times New Roman" w:hAnsi="Times New Roman" w:eastAsia="仿宋_GB2312" w:cs="仿宋_GB2312"/>
          <w:kern w:val="2"/>
          <w:sz w:val="32"/>
          <w:szCs w:val="32"/>
          <w:lang w:val="en-US" w:eastAsia="zh-CN" w:bidi="ar"/>
        </w:rPr>
        <w:t>因财政资金紧张，有些费用报销跨期较大，</w:t>
      </w:r>
      <w:r>
        <w:rPr>
          <w:rFonts w:hint="eastAsia" w:eastAsia="仿宋_GB2312"/>
          <w:sz w:val="32"/>
          <w:szCs w:val="32"/>
          <w:lang w:eastAsia="zh-CN"/>
        </w:rPr>
        <w:t>导致资金使用进度并不标准，会有收回重新申请的情况发生。</w:t>
      </w:r>
    </w:p>
    <w:p w14:paraId="29131918">
      <w:pPr>
        <w:numPr>
          <w:ilvl w:val="0"/>
          <w:numId w:val="5"/>
        </w:num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下一步改进措施</w:t>
      </w:r>
    </w:p>
    <w:p w14:paraId="52B93F62">
      <w:pPr>
        <w:keepNext w:val="0"/>
        <w:keepLines w:val="0"/>
        <w:pageBreakBefore w:val="0"/>
        <w:widowControl/>
        <w:wordWrap/>
        <w:overflowPunct/>
        <w:topLinePunct w:val="0"/>
        <w:bidi w:val="0"/>
        <w:spacing w:line="560" w:lineRule="exact"/>
        <w:ind w:firstLine="640" w:firstLineChars="200"/>
        <w:rPr>
          <w:rFonts w:hint="eastAsia" w:ascii="仿宋" w:hAnsi="仿宋" w:eastAsia="仿宋" w:cs="仿宋"/>
          <w:kern w:val="0"/>
          <w:sz w:val="32"/>
          <w:szCs w:val="32"/>
          <w:highlight w:val="none"/>
          <w:lang w:bidi="hi-IN"/>
        </w:rPr>
      </w:pPr>
      <w:r>
        <w:rPr>
          <w:rFonts w:hint="eastAsia" w:ascii="仿宋" w:hAnsi="仿宋" w:eastAsia="仿宋" w:cs="仿宋"/>
          <w:kern w:val="0"/>
          <w:sz w:val="32"/>
          <w:szCs w:val="32"/>
          <w:highlight w:val="none"/>
          <w:lang w:bidi="hi-IN"/>
        </w:rPr>
        <w:t>（一）准确编报预、决算，加强绩效目标管理</w:t>
      </w:r>
    </w:p>
    <w:p w14:paraId="763D5DE8">
      <w:pPr>
        <w:keepNext w:val="0"/>
        <w:keepLines w:val="0"/>
        <w:pageBreakBefore w:val="0"/>
        <w:widowControl/>
        <w:wordWrap/>
        <w:overflowPunct/>
        <w:topLinePunct w:val="0"/>
        <w:bidi w:val="0"/>
        <w:spacing w:line="560" w:lineRule="exact"/>
        <w:ind w:firstLine="640" w:firstLineChars="200"/>
        <w:rPr>
          <w:rFonts w:hint="eastAsia" w:ascii="仿宋" w:hAnsi="仿宋" w:eastAsia="仿宋" w:cs="仿宋"/>
          <w:kern w:val="0"/>
          <w:sz w:val="32"/>
          <w:szCs w:val="32"/>
          <w:highlight w:val="none"/>
          <w:lang w:bidi="hi-IN"/>
        </w:rPr>
      </w:pPr>
      <w:r>
        <w:rPr>
          <w:rFonts w:hint="eastAsia" w:ascii="仿宋" w:hAnsi="仿宋" w:eastAsia="仿宋" w:cs="仿宋"/>
          <w:kern w:val="0"/>
          <w:sz w:val="32"/>
          <w:szCs w:val="32"/>
          <w:highlight w:val="none"/>
          <w:lang w:val="en-US" w:eastAsia="zh-CN" w:bidi="hi-IN"/>
        </w:rPr>
        <w:t>1、</w:t>
      </w:r>
      <w:r>
        <w:rPr>
          <w:rFonts w:hint="eastAsia" w:ascii="仿宋" w:hAnsi="仿宋" w:eastAsia="仿宋" w:cs="仿宋"/>
          <w:kern w:val="0"/>
          <w:sz w:val="32"/>
          <w:szCs w:val="32"/>
          <w:highlight w:val="none"/>
          <w:lang w:eastAsia="zh-CN" w:bidi="hi-IN"/>
        </w:rPr>
        <w:t>根据</w:t>
      </w:r>
      <w:r>
        <w:rPr>
          <w:rFonts w:hint="eastAsia" w:ascii="仿宋" w:hAnsi="仿宋" w:eastAsia="仿宋" w:cs="仿宋"/>
          <w:kern w:val="0"/>
          <w:sz w:val="32"/>
          <w:szCs w:val="32"/>
          <w:highlight w:val="none"/>
          <w:lang w:bidi="hi-IN"/>
        </w:rPr>
        <w:t>单位的实际情况科学合理</w:t>
      </w:r>
      <w:bookmarkStart w:id="6" w:name="_Hlk79443724"/>
      <w:r>
        <w:rPr>
          <w:rFonts w:hint="eastAsia" w:ascii="仿宋" w:hAnsi="仿宋" w:eastAsia="仿宋" w:cs="仿宋"/>
          <w:kern w:val="0"/>
          <w:sz w:val="32"/>
          <w:szCs w:val="32"/>
          <w:highlight w:val="none"/>
          <w:lang w:bidi="hi-IN"/>
        </w:rPr>
        <w:t>编</w:t>
      </w:r>
      <w:bookmarkEnd w:id="6"/>
      <w:r>
        <w:rPr>
          <w:rFonts w:hint="eastAsia" w:ascii="仿宋" w:hAnsi="仿宋" w:eastAsia="仿宋" w:cs="仿宋"/>
          <w:kern w:val="0"/>
          <w:sz w:val="32"/>
          <w:szCs w:val="32"/>
          <w:highlight w:val="none"/>
          <w:lang w:bidi="hi-IN"/>
        </w:rPr>
        <w:t>制预算，严格按照预算的项目进行支出控制和管理</w:t>
      </w:r>
      <w:r>
        <w:rPr>
          <w:rFonts w:hint="eastAsia" w:ascii="仿宋" w:hAnsi="仿宋" w:eastAsia="仿宋" w:cs="仿宋"/>
          <w:kern w:val="0"/>
          <w:sz w:val="32"/>
          <w:szCs w:val="32"/>
          <w:highlight w:val="none"/>
          <w:lang w:eastAsia="zh-CN" w:bidi="hi-IN"/>
        </w:rPr>
        <w:t>；应加强对账务核算的管理，对作为项目支出下达的资金应均纳入项目支出进行核算</w:t>
      </w:r>
      <w:r>
        <w:rPr>
          <w:rFonts w:hint="eastAsia" w:ascii="仿宋" w:hAnsi="仿宋" w:eastAsia="仿宋" w:cs="仿宋"/>
          <w:kern w:val="0"/>
          <w:sz w:val="32"/>
          <w:szCs w:val="32"/>
          <w:highlight w:val="none"/>
          <w:lang w:bidi="hi-IN"/>
        </w:rPr>
        <w:t>。维护预算的严肃性，确保上报决算报表数据与预算下达金额及账面发生数据一致。</w:t>
      </w:r>
    </w:p>
    <w:p w14:paraId="66E46B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yellow"/>
          <w:lang w:val="en-US" w:eastAsia="zh-CN"/>
        </w:rPr>
      </w:pPr>
      <w:r>
        <w:rPr>
          <w:rFonts w:hint="eastAsia" w:ascii="仿宋" w:hAnsi="仿宋" w:eastAsia="仿宋" w:cs="仿宋"/>
          <w:kern w:val="2"/>
          <w:sz w:val="32"/>
          <w:szCs w:val="32"/>
          <w:lang w:val="en-US" w:eastAsia="zh-CN" w:bidi="ar"/>
        </w:rPr>
        <w:t>2、加强开展预算绩效日常监控，首先要制定相关日常监控具体流程，及时掌握绩效运行情况、资金支出进度等，并定期对绩效监控信息进行收集、审核、分析、汇总、填报。分析偏离绩效目标的原因，并及时采取纠偏措施。</w:t>
      </w:r>
    </w:p>
    <w:p w14:paraId="3E2EBBA4">
      <w:pPr>
        <w:keepNext w:val="0"/>
        <w:keepLines w:val="0"/>
        <w:pageBreakBefore w:val="0"/>
        <w:wordWrap/>
        <w:overflowPunct/>
        <w:topLinePunct w:val="0"/>
        <w:bidi w:val="0"/>
        <w:adjustRightInd w:val="0"/>
        <w:snapToGrid w:val="0"/>
        <w:spacing w:line="560" w:lineRule="exact"/>
        <w:ind w:firstLine="640" w:firstLineChars="200"/>
        <w:rPr>
          <w:rFonts w:hint="eastAsia" w:ascii="仿宋" w:hAnsi="仿宋" w:eastAsia="仿宋" w:cs="仿宋"/>
          <w:b w:val="0"/>
          <w:bCs w:val="0"/>
          <w:kern w:val="0"/>
          <w:sz w:val="32"/>
          <w:szCs w:val="32"/>
          <w:highlight w:val="none"/>
        </w:rPr>
      </w:pPr>
      <w:r>
        <w:rPr>
          <w:rFonts w:hint="eastAsia" w:ascii="仿宋" w:hAnsi="仿宋" w:eastAsia="仿宋" w:cs="仿宋"/>
          <w:b w:val="0"/>
          <w:bCs w:val="0"/>
          <w:kern w:val="0"/>
          <w:sz w:val="32"/>
          <w:szCs w:val="32"/>
          <w:highlight w:val="none"/>
        </w:rPr>
        <w:t>（二）强化财务管理，规范使用资金</w:t>
      </w:r>
    </w:p>
    <w:p w14:paraId="19DA29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highlight w:val="none"/>
          <w:lang w:bidi="hi-IN"/>
        </w:rPr>
      </w:pPr>
      <w:r>
        <w:rPr>
          <w:rFonts w:hint="eastAsia" w:ascii="仿宋" w:hAnsi="仿宋" w:eastAsia="仿宋" w:cs="仿宋"/>
          <w:kern w:val="0"/>
          <w:sz w:val="32"/>
          <w:szCs w:val="32"/>
          <w:highlight w:val="none"/>
          <w:lang w:val="en-US" w:eastAsia="zh-CN" w:bidi="hi-IN"/>
        </w:rPr>
        <w:t>1、</w:t>
      </w:r>
      <w:r>
        <w:rPr>
          <w:rFonts w:hint="eastAsia" w:ascii="仿宋" w:hAnsi="仿宋" w:eastAsia="仿宋" w:cs="仿宋"/>
          <w:kern w:val="0"/>
          <w:sz w:val="32"/>
          <w:szCs w:val="32"/>
          <w:highlight w:val="none"/>
          <w:lang w:bidi="hi-IN"/>
        </w:rPr>
        <w:t>进一步加强预算收支执行管理，从严控制公用经费支出。以完善财政专项资金核算为手段，加强一般公共预算支出的监管，确保“无预算、不支出”。正确归集项目支出明细，确保资金使用如实反映</w:t>
      </w:r>
      <w:bookmarkStart w:id="7" w:name="_Toc10625"/>
      <w:bookmarkStart w:id="8" w:name="_Toc24006"/>
      <w:bookmarkStart w:id="9" w:name="_Toc27879"/>
      <w:bookmarkStart w:id="10" w:name="_Toc20867"/>
      <w:bookmarkStart w:id="11" w:name="_Toc10765"/>
      <w:r>
        <w:rPr>
          <w:rFonts w:hint="eastAsia" w:ascii="仿宋" w:hAnsi="仿宋" w:eastAsia="仿宋" w:cs="仿宋"/>
          <w:kern w:val="0"/>
          <w:sz w:val="32"/>
          <w:szCs w:val="32"/>
          <w:highlight w:val="none"/>
          <w:lang w:bidi="hi-IN"/>
        </w:rPr>
        <w:t>；加强财务监督审核职能，规范费用支出报账程序及要求，对票据不合规、附件不完整的原始凭证坚决不予报账。</w:t>
      </w:r>
      <w:bookmarkEnd w:id="7"/>
      <w:bookmarkEnd w:id="8"/>
      <w:bookmarkEnd w:id="9"/>
      <w:bookmarkEnd w:id="10"/>
      <w:bookmarkEnd w:id="11"/>
    </w:p>
    <w:p w14:paraId="1D0E7F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highlight w:val="none"/>
          <w:lang w:val="en-US" w:eastAsia="zh-CN" w:bidi="ar"/>
        </w:rPr>
      </w:pPr>
      <w:r>
        <w:rPr>
          <w:rFonts w:hint="eastAsia" w:ascii="仿宋" w:hAnsi="仿宋" w:eastAsia="仿宋" w:cs="仿宋"/>
          <w:kern w:val="0"/>
          <w:sz w:val="32"/>
          <w:szCs w:val="32"/>
          <w:highlight w:val="none"/>
          <w:lang w:val="en-US" w:eastAsia="zh-CN" w:bidi="hi-IN"/>
        </w:rPr>
        <w:t>2、</w:t>
      </w:r>
      <w:r>
        <w:rPr>
          <w:rFonts w:hint="eastAsia" w:ascii="仿宋" w:hAnsi="仿宋" w:eastAsia="仿宋" w:cs="仿宋"/>
          <w:kern w:val="2"/>
          <w:sz w:val="32"/>
          <w:szCs w:val="32"/>
          <w:highlight w:val="none"/>
          <w:lang w:val="en-US" w:eastAsia="zh-CN" w:bidi="ar"/>
        </w:rPr>
        <w:t>为切实做好专项资金管理和使用，确保补贴专项资金的安全、规范、有效的提高资金使用效益。严格按政府会计制度的规定进行会计核算，编制财务报表和预算会计报表。同时进一步健全我局内控制度，严格执行“三重一大”集体决策制度及各项财务制度，加强内部管理。</w:t>
      </w:r>
    </w:p>
    <w:p w14:paraId="45E3D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（三）完善相关制度，规范单位日常管理</w:t>
      </w:r>
    </w:p>
    <w:p w14:paraId="12CB6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kern w:val="2"/>
          <w:sz w:val="32"/>
          <w:szCs w:val="32"/>
          <w:highlight w:val="none"/>
          <w:lang w:val="en-US" w:eastAsia="zh-CN" w:bidi="ar"/>
        </w:rPr>
        <w:t>进一步完善单位</w:t>
      </w:r>
      <w:r>
        <w:rPr>
          <w:rFonts w:hint="default" w:eastAsia="仿宋_GB2312"/>
          <w:kern w:val="0"/>
          <w:sz w:val="32"/>
          <w:szCs w:val="32"/>
          <w:highlight w:val="none"/>
          <w:lang w:val="en-US" w:eastAsia="zh-CN" w:bidi="hi-IN"/>
        </w:rPr>
        <w:t>单位内部制度</w:t>
      </w:r>
      <w:r>
        <w:rPr>
          <w:rFonts w:hint="eastAsia" w:eastAsia="仿宋_GB2312"/>
          <w:kern w:val="0"/>
          <w:sz w:val="32"/>
          <w:szCs w:val="32"/>
          <w:highlight w:val="none"/>
          <w:lang w:val="en-US" w:eastAsia="zh-CN" w:bidi="hi-IN"/>
        </w:rPr>
        <w:t>、</w:t>
      </w:r>
      <w:r>
        <w:rPr>
          <w:rFonts w:hint="eastAsia" w:ascii="仿宋" w:hAnsi="仿宋" w:eastAsia="仿宋" w:cs="仿宋"/>
          <w:kern w:val="2"/>
          <w:sz w:val="32"/>
          <w:szCs w:val="32"/>
          <w:highlight w:val="none"/>
          <w:lang w:val="en-US" w:eastAsia="zh-CN" w:bidi="ar"/>
        </w:rPr>
        <w:t>财务管理体制、运行机制和监督制度，建立科学化、精细化的预算管理机制、建立绩效评价制度、加快财务监管体系建设、提高经费使用效益、强化财务风险管理，</w:t>
      </w:r>
      <w:r>
        <w:rPr>
          <w:rFonts w:hint="default" w:eastAsia="仿宋_GB2312"/>
          <w:kern w:val="0"/>
          <w:sz w:val="32"/>
          <w:szCs w:val="32"/>
          <w:highlight w:val="none"/>
          <w:lang w:val="en-US" w:eastAsia="zh-CN" w:bidi="hi-IN"/>
        </w:rPr>
        <w:t>确保单位日常管理工作更规范</w:t>
      </w:r>
      <w:r>
        <w:rPr>
          <w:rFonts w:hint="eastAsia" w:eastAsia="仿宋_GB2312"/>
          <w:kern w:val="0"/>
          <w:sz w:val="32"/>
          <w:szCs w:val="32"/>
          <w:highlight w:val="none"/>
          <w:lang w:val="en-US" w:eastAsia="zh-CN" w:bidi="hi-IN"/>
        </w:rPr>
        <w:t>。</w:t>
      </w:r>
      <w:r>
        <w:rPr>
          <w:rFonts w:hint="eastAsia" w:ascii="仿宋" w:hAnsi="仿宋" w:eastAsia="仿宋" w:cs="仿宋"/>
          <w:kern w:val="2"/>
          <w:sz w:val="32"/>
          <w:szCs w:val="32"/>
          <w:highlight w:val="none"/>
          <w:lang w:val="en-US" w:eastAsia="zh-CN" w:bidi="ar"/>
        </w:rPr>
        <w:t>提高预算编制的科学性、准确性，按照“量入为出，统筹兼顾、保证重点、收支平衡”的原则，科学合理编制预算，强化预算执行，提高预算执行效率，推进预算公开。</w:t>
      </w:r>
    </w:p>
    <w:p w14:paraId="00A65937">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九、部门整体支出绩效自评结果拟应用和公开情况</w:t>
      </w:r>
    </w:p>
    <w:p w14:paraId="42DE4F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6"/>
        <w:textAlignment w:val="center"/>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1、2024年整体支出绩效自评从产出指标、效益指标、满意度指标等方面对整体支出逐项自评得分为</w:t>
      </w:r>
      <w:r>
        <w:rPr>
          <w:rFonts w:hint="eastAsia" w:ascii="Times New Roman" w:hAnsi="Times New Roman" w:eastAsia="仿宋_GB2312" w:cs="仿宋_GB2312"/>
          <w:color w:val="auto"/>
          <w:kern w:val="2"/>
          <w:sz w:val="32"/>
          <w:szCs w:val="32"/>
          <w:lang w:val="en-US" w:eastAsia="zh-CN" w:bidi="ar"/>
        </w:rPr>
        <w:t>98.5</w:t>
      </w:r>
      <w:r>
        <w:rPr>
          <w:rFonts w:hint="eastAsia" w:ascii="Times New Roman" w:hAnsi="Times New Roman" w:eastAsia="仿宋_GB2312" w:cs="仿宋_GB2312"/>
          <w:kern w:val="2"/>
          <w:sz w:val="32"/>
          <w:szCs w:val="32"/>
          <w:lang w:val="en-US" w:eastAsia="zh-CN" w:bidi="ar"/>
        </w:rPr>
        <w:t>分。</w:t>
      </w:r>
    </w:p>
    <w:p w14:paraId="648CB31C">
      <w:pPr>
        <w:widowControl/>
        <w:spacing w:line="56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仿宋_GB2312"/>
          <w:kern w:val="2"/>
          <w:sz w:val="32"/>
          <w:szCs w:val="32"/>
          <w:lang w:val="en-US" w:eastAsia="zh-CN" w:bidi="ar"/>
        </w:rPr>
        <w:t>2、按照</w:t>
      </w:r>
      <w:r>
        <w:rPr>
          <w:rFonts w:hint="default" w:ascii="Times New Roman" w:hAnsi="Times New Roman" w:eastAsia="仿宋_GB2312" w:cs="Times New Roman"/>
          <w:kern w:val="2"/>
          <w:sz w:val="32"/>
          <w:szCs w:val="32"/>
          <w:lang w:val="en-US" w:eastAsia="zh-CN" w:bidi="ar"/>
        </w:rPr>
        <w:t>《中共中央国务院关于全面实施预算绩效管理的意见》（中发〔2018〕34号）、《中共湖南省委办公厅 湖南省人民政府办公厅关于全面实施预算绩效管理的实施意见》（湘办发〔2019〕10号）、《湖南省财政厅关于印发&lt;湖南省预算支出绩效评价管理办法&gt;的通知</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（湘财绩〔20</w:t>
      </w:r>
      <w:r>
        <w:rPr>
          <w:rFonts w:hint="eastAsia" w:ascii="Times New Roman" w:hAnsi="Times New Roman" w:eastAsia="仿宋_GB2312" w:cs="Times New Roman"/>
          <w:kern w:val="2"/>
          <w:sz w:val="32"/>
          <w:szCs w:val="32"/>
          <w:lang w:val="en-US" w:eastAsia="zh-CN" w:bidi="ar"/>
        </w:rPr>
        <w:t>20</w:t>
      </w:r>
      <w:r>
        <w:rPr>
          <w:rFonts w:hint="default" w:ascii="Times New Roman" w:hAnsi="Times New Roman" w:eastAsia="仿宋_GB2312" w:cs="Times New Roman"/>
          <w:kern w:val="2"/>
          <w:sz w:val="32"/>
          <w:szCs w:val="32"/>
          <w:lang w:val="en-US" w:eastAsia="zh-CN" w:bidi="ar"/>
        </w:rPr>
        <w:t>〕7号）、《湖南省政府债务项目绩效管理暂行办法》（湘财绩〔2020〕12号）以及《中共株洲市渌口区委办公室 株洲市渌口区人民政府办公室关于印发〈渌口区全面实施预算绩效管理工作方案〉的通知</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（渌办发〔2020〕4号）精神</w:t>
      </w:r>
      <w:r>
        <w:rPr>
          <w:rFonts w:hint="eastAsia" w:ascii="Times New Roman" w:hAnsi="Times New Roman" w:eastAsia="仿宋_GB2312" w:cs="仿宋_GB2312"/>
          <w:kern w:val="2"/>
          <w:sz w:val="32"/>
          <w:szCs w:val="32"/>
          <w:lang w:val="en-US" w:eastAsia="zh-CN" w:bidi="ar"/>
        </w:rPr>
        <w:t>要求，依照规定的文本格式和要求完成《</w:t>
      </w:r>
      <w:r>
        <w:rPr>
          <w:rFonts w:hint="eastAsia" w:ascii="仿宋_GB2312" w:eastAsia="仿宋_GB2312"/>
          <w:sz w:val="32"/>
          <w:szCs w:val="32"/>
        </w:rPr>
        <w:t>2024年度部门整体支出绩效评价基础数据表</w:t>
      </w:r>
      <w:r>
        <w:rPr>
          <w:rFonts w:hint="eastAsia" w:ascii="Times New Roman" w:hAnsi="Times New Roman" w:eastAsia="仿宋_GB2312" w:cs="仿宋_GB2312"/>
          <w:kern w:val="2"/>
          <w:sz w:val="32"/>
          <w:szCs w:val="32"/>
          <w:lang w:val="en-US" w:eastAsia="zh-CN" w:bidi="ar"/>
        </w:rPr>
        <w:t>》《</w:t>
      </w:r>
      <w:r>
        <w:rPr>
          <w:rFonts w:hint="eastAsia" w:ascii="仿宋_GB2312" w:eastAsia="仿宋_GB2312"/>
          <w:sz w:val="32"/>
          <w:szCs w:val="32"/>
        </w:rPr>
        <w:t>2024年度部门整体支出绩效自评表</w:t>
      </w:r>
      <w:r>
        <w:rPr>
          <w:rFonts w:hint="eastAsia" w:ascii="Times New Roman" w:hAnsi="Times New Roman" w:eastAsia="仿宋_GB2312" w:cs="仿宋_GB2312"/>
          <w:kern w:val="2"/>
          <w:sz w:val="32"/>
          <w:szCs w:val="32"/>
          <w:lang w:val="en-US" w:eastAsia="zh-CN" w:bidi="ar"/>
        </w:rPr>
        <w:t>》、《</w:t>
      </w:r>
      <w:r>
        <w:rPr>
          <w:rFonts w:hint="eastAsia" w:ascii="仿宋_GB2312" w:eastAsia="仿宋_GB2312"/>
          <w:sz w:val="32"/>
          <w:szCs w:val="32"/>
        </w:rPr>
        <w:t>2024年度项目支出绩效自评表</w:t>
      </w:r>
      <w:r>
        <w:rPr>
          <w:rFonts w:hint="eastAsia" w:ascii="Times New Roman" w:hAnsi="Times New Roman" w:eastAsia="仿宋_GB2312" w:cs="仿宋_GB2312"/>
          <w:kern w:val="2"/>
          <w:sz w:val="32"/>
          <w:szCs w:val="32"/>
          <w:lang w:val="en-US" w:eastAsia="zh-CN" w:bidi="ar"/>
        </w:rPr>
        <w:t>》，将本单位绩效自评情况在</w:t>
      </w:r>
      <w:r>
        <w:rPr>
          <w:rFonts w:hint="default" w:ascii="Times New Roman" w:hAnsi="Times New Roman" w:eastAsia="仿宋_GB2312" w:cs="仿宋_GB2312"/>
          <w:kern w:val="2"/>
          <w:sz w:val="32"/>
          <w:szCs w:val="32"/>
          <w:lang w:val="en-US" w:eastAsia="zh-CN" w:bidi="ar"/>
        </w:rPr>
        <w:t>株洲市渌口区人民政府门户网</w:t>
      </w:r>
      <w:r>
        <w:rPr>
          <w:rFonts w:hint="eastAsia" w:ascii="Times New Roman" w:hAnsi="Times New Roman" w:eastAsia="仿宋_GB2312" w:cs="仿宋_GB2312"/>
          <w:kern w:val="2"/>
          <w:sz w:val="32"/>
          <w:szCs w:val="32"/>
          <w:lang w:val="en-US" w:eastAsia="zh-CN" w:bidi="ar"/>
        </w:rPr>
        <w:t>站上全文公开，公开内容全面、真实、完整，接受社会公众监督。</w:t>
      </w:r>
      <w:r>
        <w:rPr>
          <w:rFonts w:hint="eastAsia" w:ascii="Times New Roman" w:hAnsi="Times New Roman" w:eastAsia="仿宋_GB2312" w:cs="Times New Roman"/>
          <w:sz w:val="32"/>
          <w:szCs w:val="32"/>
          <w:lang w:eastAsia="zh-CN"/>
        </w:rPr>
        <w:t>同时将本次评价中发现的问题及时反馈各业务股室，评价结果作为本部门改进预算管理和安排下年度项目资金预算的重要依据。</w:t>
      </w:r>
    </w:p>
    <w:p w14:paraId="7C91E889">
      <w:pPr>
        <w:pStyle w:val="28"/>
        <w:keepNext w:val="0"/>
        <w:keepLines w:val="0"/>
        <w:pageBreakBefore w:val="0"/>
        <w:kinsoku/>
        <w:wordWrap/>
        <w:overflowPunct/>
        <w:topLinePunct w:val="0"/>
        <w:autoSpaceDE/>
        <w:autoSpaceDN/>
        <w:bidi w:val="0"/>
        <w:adjustRightInd/>
        <w:snapToGrid/>
        <w:spacing w:line="560" w:lineRule="exact"/>
        <w:ind w:firstLine="420" w:firstLineChars="200"/>
        <w:rPr>
          <w:rFonts w:hint="default"/>
          <w:lang w:val="en-US"/>
        </w:rPr>
      </w:pPr>
    </w:p>
    <w:p w14:paraId="508655CC">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 2024年度部门整体支出绩效评价基础数据表</w:t>
      </w:r>
    </w:p>
    <w:p w14:paraId="250D8004">
      <w:pPr>
        <w:tabs>
          <w:tab w:val="left" w:pos="7560"/>
        </w:tabs>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2. 2024年度部门整体支出绩效自评表</w:t>
      </w:r>
    </w:p>
    <w:p w14:paraId="3146A00B">
      <w:pPr>
        <w:tabs>
          <w:tab w:val="left" w:pos="7560"/>
        </w:tabs>
        <w:adjustRightInd w:val="0"/>
        <w:snapToGrid w:val="0"/>
        <w:spacing w:line="560" w:lineRule="exact"/>
        <w:ind w:firstLine="1600" w:firstLineChars="500"/>
        <w:rPr>
          <w:rFonts w:hint="eastAsia" w:ascii="仿宋_GB2312" w:eastAsia="仿宋_GB2312"/>
          <w:sz w:val="32"/>
          <w:szCs w:val="32"/>
        </w:rPr>
      </w:pPr>
      <w:r>
        <w:rPr>
          <w:rFonts w:hint="eastAsia" w:ascii="仿宋_GB2312" w:eastAsia="仿宋_GB2312"/>
          <w:sz w:val="32"/>
          <w:szCs w:val="32"/>
        </w:rPr>
        <w:t>3. 2024年度项目支出绩效自评表</w:t>
      </w:r>
    </w:p>
    <w:p w14:paraId="38BBB12A">
      <w:pPr>
        <w:pStyle w:val="2"/>
        <w:rPr>
          <w:rFonts w:hint="eastAsia" w:ascii="仿宋_GB2312" w:eastAsia="仿宋_GB2312"/>
          <w:sz w:val="32"/>
          <w:szCs w:val="32"/>
        </w:rPr>
      </w:pPr>
    </w:p>
    <w:p w14:paraId="29BE63A8">
      <w:pPr>
        <w:pStyle w:val="2"/>
        <w:rPr>
          <w:rFonts w:hint="eastAsia" w:ascii="仿宋_GB2312" w:eastAsia="仿宋_GB2312"/>
          <w:sz w:val="32"/>
          <w:szCs w:val="32"/>
        </w:rPr>
      </w:pPr>
    </w:p>
    <w:p w14:paraId="5BCEC2EA">
      <w:pPr>
        <w:pStyle w:val="2"/>
        <w:rPr>
          <w:rFonts w:hint="eastAsia" w:ascii="仿宋_GB2312" w:eastAsia="仿宋_GB2312"/>
          <w:sz w:val="32"/>
          <w:szCs w:val="32"/>
        </w:rPr>
      </w:pPr>
    </w:p>
    <w:p w14:paraId="56440DD1">
      <w:pPr>
        <w:pStyle w:val="2"/>
        <w:rPr>
          <w:rFonts w:hint="eastAsia" w:ascii="仿宋_GB2312" w:eastAsia="仿宋_GB2312"/>
          <w:sz w:val="32"/>
          <w:szCs w:val="32"/>
        </w:rPr>
      </w:pPr>
    </w:p>
    <w:p w14:paraId="7FF5E017">
      <w:pPr>
        <w:pStyle w:val="2"/>
        <w:rPr>
          <w:rFonts w:hint="eastAsia" w:ascii="仿宋_GB2312" w:eastAsia="仿宋_GB2312"/>
          <w:sz w:val="32"/>
          <w:szCs w:val="32"/>
        </w:rPr>
      </w:pPr>
    </w:p>
    <w:p w14:paraId="0EBC8283">
      <w:pPr>
        <w:pStyle w:val="2"/>
        <w:rPr>
          <w:rFonts w:hint="eastAsia" w:ascii="仿宋_GB2312" w:eastAsia="仿宋_GB2312"/>
          <w:sz w:val="32"/>
          <w:szCs w:val="32"/>
        </w:rPr>
      </w:pPr>
    </w:p>
    <w:p w14:paraId="18BA7839">
      <w:pPr>
        <w:pStyle w:val="2"/>
        <w:rPr>
          <w:rFonts w:hint="eastAsia" w:ascii="仿宋_GB2312" w:eastAsia="仿宋_GB2312"/>
          <w:sz w:val="32"/>
          <w:szCs w:val="32"/>
        </w:rPr>
      </w:pPr>
    </w:p>
    <w:p w14:paraId="2022BCC7">
      <w:pPr>
        <w:pStyle w:val="2"/>
        <w:rPr>
          <w:rFonts w:hint="eastAsia" w:ascii="仿宋_GB2312" w:eastAsia="仿宋_GB2312"/>
          <w:sz w:val="32"/>
          <w:szCs w:val="32"/>
        </w:rPr>
      </w:pPr>
    </w:p>
    <w:p w14:paraId="69AC613F">
      <w:pPr>
        <w:pStyle w:val="2"/>
        <w:rPr>
          <w:rFonts w:hint="eastAsia" w:ascii="仿宋_GB2312" w:eastAsia="仿宋_GB2312"/>
          <w:sz w:val="32"/>
          <w:szCs w:val="32"/>
        </w:rPr>
      </w:pPr>
    </w:p>
    <w:p w14:paraId="283FAD7C">
      <w:pPr>
        <w:pStyle w:val="2"/>
        <w:rPr>
          <w:rFonts w:hint="eastAsia" w:ascii="仿宋_GB2312" w:eastAsia="仿宋_GB2312"/>
          <w:sz w:val="32"/>
          <w:szCs w:val="32"/>
        </w:rPr>
      </w:pPr>
    </w:p>
    <w:p w14:paraId="23D96E11">
      <w:pPr>
        <w:tabs>
          <w:tab w:val="left" w:pos="7560"/>
        </w:tabs>
        <w:adjustRightInd w:val="0"/>
        <w:snapToGrid w:val="0"/>
        <w:spacing w:line="560" w:lineRule="exact"/>
        <w:rPr>
          <w:rFonts w:ascii="黑体" w:hAnsi="黑体" w:eastAsia="黑体"/>
          <w:sz w:val="32"/>
          <w:szCs w:val="32"/>
        </w:rPr>
      </w:pPr>
    </w:p>
    <w:p w14:paraId="72B7C9DF">
      <w:pPr>
        <w:pStyle w:val="5"/>
        <w:widowControl/>
        <w:autoSpaceDE w:val="0"/>
        <w:autoSpaceDN w:val="0"/>
        <w:spacing w:line="660" w:lineRule="exact"/>
        <w:jc w:val="center"/>
        <w:rPr>
          <w:rFonts w:hint="default" w:ascii="方正小标宋_GBK" w:hAnsi="方正小标宋_GBK" w:eastAsia="方正小标宋_GBK" w:cs="方正小标宋_GBK"/>
          <w:bCs/>
          <w:w w:val="95"/>
          <w:sz w:val="44"/>
          <w:szCs w:val="44"/>
        </w:rPr>
      </w:pPr>
      <w:r>
        <w:rPr>
          <w:rFonts w:ascii="方正小标宋_GBK" w:hAnsi="方正小标宋_GBK" w:eastAsia="方正小标宋_GBK" w:cs="方正小标宋_GBK"/>
          <w:bCs/>
          <w:w w:val="95"/>
          <w:sz w:val="44"/>
          <w:szCs w:val="44"/>
        </w:rPr>
        <w:t>2024年</w:t>
      </w:r>
      <w:r>
        <w:rPr>
          <w:rFonts w:hint="eastAsia" w:ascii="方正小标宋_GBK" w:hAnsi="方正小标宋_GBK" w:eastAsia="方正小标宋_GBK" w:cs="方正小标宋_GBK"/>
          <w:bCs/>
          <w:w w:val="95"/>
          <w:sz w:val="44"/>
          <w:szCs w:val="44"/>
          <w:lang w:eastAsia="zh-CN"/>
        </w:rPr>
        <w:t>株洲市渌口区行政审批服务局电子政务外网链路租赁经费</w:t>
      </w:r>
      <w:r>
        <w:rPr>
          <w:rFonts w:ascii="方正小标宋_GBK" w:hAnsi="方正小标宋_GBK" w:eastAsia="方正小标宋_GBK" w:cs="方正小标宋_GBK"/>
          <w:bCs/>
          <w:w w:val="95"/>
          <w:sz w:val="44"/>
          <w:szCs w:val="44"/>
        </w:rPr>
        <w:t>支出</w:t>
      </w:r>
    </w:p>
    <w:p w14:paraId="5C44E6A8">
      <w:pPr>
        <w:pStyle w:val="5"/>
        <w:widowControl/>
        <w:autoSpaceDE w:val="0"/>
        <w:autoSpaceDN w:val="0"/>
        <w:spacing w:line="660" w:lineRule="exact"/>
        <w:jc w:val="center"/>
        <w:rPr>
          <w:rFonts w:hint="default" w:ascii="方正小标宋_GBK" w:hAnsi="方正小标宋_GBK" w:eastAsia="方正小标宋_GBK" w:cs="方正小标宋_GBK"/>
          <w:bCs/>
          <w:sz w:val="44"/>
          <w:szCs w:val="44"/>
        </w:rPr>
      </w:pPr>
      <w:r>
        <w:rPr>
          <w:rFonts w:ascii="方正小标宋_GBK" w:hAnsi="方正小标宋_GBK" w:eastAsia="方正小标宋_GBK" w:cs="方正小标宋_GBK"/>
          <w:bCs/>
          <w:w w:val="95"/>
          <w:sz w:val="44"/>
          <w:szCs w:val="44"/>
        </w:rPr>
        <w:t>绩效自评报告</w:t>
      </w:r>
    </w:p>
    <w:p w14:paraId="0D81DF66">
      <w:pPr>
        <w:pStyle w:val="26"/>
        <w:widowControl/>
        <w:spacing w:line="600" w:lineRule="exact"/>
        <w:ind w:left="0" w:firstLine="640" w:firstLineChars="200"/>
        <w:rPr>
          <w:rFonts w:hint="default" w:ascii="Times New Roman" w:hAnsi="Times New Roman" w:eastAsia="方正黑体_GBK"/>
          <w:sz w:val="32"/>
          <w:szCs w:val="32"/>
        </w:rPr>
      </w:pPr>
    </w:p>
    <w:p w14:paraId="71BF9C1E">
      <w:pPr>
        <w:pStyle w:val="26"/>
        <w:widowControl/>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一、绩效自评工作开展情况</w:t>
      </w:r>
    </w:p>
    <w:p w14:paraId="3A4101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576" w:firstLineChars="200"/>
        <w:jc w:val="left"/>
        <w:textAlignment w:val="auto"/>
        <w:rPr>
          <w:rFonts w:hint="default"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根据渌财通〔2025〕4号《株洲市渌口区财政局关于开展2024年度绩效自评工作的通知》要求，我单位领导高度重视，召开了专题会议，要求分管领导具体负责，按照通知要求，积极开展自评工作，认真填报整体支出、项目支出绩效自评表，单位主要领导对绩效自评结果进行审核。项目支出绩效自评时间及范围为2024年度电子政务外网链路租赁经费支出情况开展自我评价。</w:t>
      </w:r>
    </w:p>
    <w:p w14:paraId="658E8A04">
      <w:pPr>
        <w:pStyle w:val="26"/>
        <w:widowControl/>
        <w:spacing w:line="600" w:lineRule="exact"/>
        <w:ind w:left="0" w:firstLine="640" w:firstLineChars="200"/>
        <w:rPr>
          <w:rFonts w:hint="default" w:ascii="Times New Roman" w:hAnsi="Times New Roman" w:eastAsia="黑体"/>
          <w:sz w:val="32"/>
          <w:szCs w:val="32"/>
        </w:rPr>
      </w:pPr>
      <w:r>
        <w:rPr>
          <w:rFonts w:hint="default" w:ascii="Times New Roman" w:hAnsi="Times New Roman" w:eastAsia="方正黑体_GBK"/>
          <w:sz w:val="32"/>
          <w:szCs w:val="32"/>
        </w:rPr>
        <w:t>二、绩效目标自评完成情况分析</w:t>
      </w:r>
    </w:p>
    <w:p w14:paraId="2820C4ED">
      <w:pPr>
        <w:pStyle w:val="26"/>
        <w:widowControl/>
        <w:spacing w:line="600" w:lineRule="exact"/>
        <w:ind w:left="0" w:firstLine="640" w:firstLineChars="200"/>
        <w:rPr>
          <w:rFonts w:hint="default" w:ascii="Times New Roman" w:hAnsi="Times New Roman" w:eastAsia="黑体"/>
          <w:sz w:val="32"/>
          <w:szCs w:val="32"/>
        </w:rPr>
      </w:pPr>
      <w:r>
        <w:rPr>
          <w:rFonts w:hint="default" w:ascii="Times New Roman" w:hAnsi="Times New Roman" w:eastAsia="方正楷体_GBK"/>
          <w:sz w:val="32"/>
          <w:szCs w:val="32"/>
        </w:rPr>
        <w:t>（一）资金投入情况分析。</w:t>
      </w:r>
    </w:p>
    <w:p w14:paraId="0CA78EC4">
      <w:pPr>
        <w:pStyle w:val="26"/>
        <w:widowControl/>
        <w:numPr>
          <w:ilvl w:val="0"/>
          <w:numId w:val="6"/>
        </w:numPr>
        <w:tabs>
          <w:tab w:val="left" w:pos="1080"/>
        </w:tabs>
        <w:spacing w:line="600" w:lineRule="exact"/>
        <w:jc w:val="left"/>
        <w:rPr>
          <w:rFonts w:hint="default" w:ascii="Times New Roman" w:hAnsi="Times New Roman" w:eastAsia="仿宋_GB2312"/>
          <w:sz w:val="32"/>
          <w:szCs w:val="32"/>
        </w:rPr>
      </w:pPr>
      <w:r>
        <w:rPr>
          <w:rFonts w:hint="default" w:ascii="Times New Roman" w:hAnsi="Times New Roman" w:eastAsia="仿宋_GB2312"/>
          <w:sz w:val="32"/>
          <w:szCs w:val="32"/>
        </w:rPr>
        <w:t>项目资金到位情况分析。</w:t>
      </w:r>
    </w:p>
    <w:p w14:paraId="3478517C">
      <w:pPr>
        <w:pStyle w:val="26"/>
        <w:widowControl/>
        <w:spacing w:line="600" w:lineRule="exact"/>
        <w:ind w:left="0" w:firstLine="576" w:firstLineChars="200"/>
        <w:rPr>
          <w:rFonts w:hint="default" w:ascii="Times New Roman" w:hAnsi="Times New Roman" w:eastAsia="仿宋_GB2312"/>
          <w:sz w:val="32"/>
          <w:szCs w:val="32"/>
        </w:rPr>
      </w:pPr>
      <w:r>
        <w:rPr>
          <w:rFonts w:hint="eastAsia" w:ascii="Times New Roman" w:hAnsi="Times New Roman" w:eastAsia="仿宋_GB2312" w:cs="Times New Roman"/>
          <w:w w:val="90"/>
          <w:sz w:val="32"/>
          <w:szCs w:val="32"/>
          <w:lang w:val="en-US" w:eastAsia="zh-CN"/>
        </w:rPr>
        <w:t>2024年2月6日</w:t>
      </w:r>
      <w:r>
        <w:rPr>
          <w:rFonts w:hint="eastAsia" w:ascii="Times New Roman" w:hAnsi="Times New Roman" w:eastAsia="仿宋_GB2312" w:cs="Times New Roman"/>
          <w:w w:val="90"/>
          <w:sz w:val="32"/>
          <w:szCs w:val="32"/>
          <w:lang w:eastAsia="zh-CN"/>
        </w:rPr>
        <w:t>年渌财行指﹝</w:t>
      </w:r>
      <w:r>
        <w:rPr>
          <w:rFonts w:hint="default" w:ascii="Times New Roman" w:hAnsi="Times New Roman" w:eastAsia="仿宋_GB2312" w:cs="Times New Roman"/>
          <w:w w:val="90"/>
          <w:sz w:val="32"/>
          <w:szCs w:val="32"/>
          <w:lang w:eastAsia="zh-CN"/>
        </w:rPr>
        <w:t>20</w:t>
      </w:r>
      <w:r>
        <w:rPr>
          <w:rFonts w:hint="eastAsia" w:ascii="Times New Roman" w:hAnsi="Times New Roman" w:eastAsia="仿宋_GB2312" w:cs="Times New Roman"/>
          <w:w w:val="90"/>
          <w:sz w:val="32"/>
          <w:szCs w:val="32"/>
          <w:lang w:val="en-US" w:eastAsia="zh-CN"/>
        </w:rPr>
        <w:t>24</w:t>
      </w:r>
      <w:r>
        <w:rPr>
          <w:rFonts w:hint="eastAsia" w:ascii="Times New Roman" w:hAnsi="Times New Roman" w:eastAsia="仿宋_GB2312" w:cs="Times New Roman"/>
          <w:w w:val="90"/>
          <w:sz w:val="32"/>
          <w:szCs w:val="32"/>
          <w:lang w:eastAsia="zh-CN"/>
        </w:rPr>
        <w:t>﹞</w:t>
      </w:r>
      <w:r>
        <w:rPr>
          <w:rFonts w:hint="eastAsia" w:ascii="Times New Roman" w:hAnsi="Times New Roman" w:eastAsia="仿宋_GB2312" w:cs="Times New Roman"/>
          <w:w w:val="90"/>
          <w:sz w:val="32"/>
          <w:szCs w:val="32"/>
          <w:lang w:val="en-US" w:eastAsia="zh-CN"/>
        </w:rPr>
        <w:t>0124</w:t>
      </w:r>
      <w:r>
        <w:rPr>
          <w:rFonts w:hint="eastAsia" w:ascii="Times New Roman" w:hAnsi="Times New Roman" w:eastAsia="仿宋_GB2312" w:cs="Times New Roman"/>
          <w:w w:val="90"/>
          <w:sz w:val="32"/>
          <w:szCs w:val="32"/>
          <w:lang w:eastAsia="zh-CN"/>
        </w:rPr>
        <w:t>号，</w:t>
      </w:r>
      <w:r>
        <w:rPr>
          <w:rFonts w:hint="eastAsia" w:ascii="Times New Roman" w:hAnsi="Times New Roman" w:eastAsia="仿宋_GB2312" w:cs="Times New Roman"/>
          <w:w w:val="90"/>
          <w:kern w:val="2"/>
          <w:sz w:val="32"/>
          <w:szCs w:val="32"/>
          <w:lang w:val="en-US" w:eastAsia="zh-CN" w:bidi="ar"/>
        </w:rPr>
        <w:t>电子政务外网链路租赁经费</w:t>
      </w:r>
      <w:r>
        <w:rPr>
          <w:rFonts w:hint="eastAsia" w:ascii="Times New Roman" w:hAnsi="Times New Roman" w:eastAsia="仿宋_GB2312" w:cs="Times New Roman"/>
          <w:w w:val="90"/>
          <w:sz w:val="32"/>
          <w:szCs w:val="32"/>
          <w:lang w:eastAsia="zh-CN"/>
        </w:rPr>
        <w:t>一般公共预算资金</w:t>
      </w:r>
      <w:r>
        <w:rPr>
          <w:rFonts w:hint="eastAsia" w:ascii="Times New Roman" w:hAnsi="Times New Roman" w:eastAsia="仿宋_GB2312" w:cs="Times New Roman"/>
          <w:w w:val="90"/>
          <w:sz w:val="32"/>
          <w:szCs w:val="32"/>
          <w:lang w:val="en-US" w:eastAsia="zh-CN"/>
        </w:rPr>
        <w:t>30</w:t>
      </w:r>
      <w:r>
        <w:rPr>
          <w:rFonts w:hint="default" w:ascii="Times New Roman" w:hAnsi="Times New Roman" w:eastAsia="仿宋_GB2312" w:cs="Times New Roman"/>
          <w:w w:val="90"/>
          <w:sz w:val="32"/>
          <w:szCs w:val="32"/>
          <w:lang w:eastAsia="zh-CN"/>
        </w:rPr>
        <w:t>万元</w:t>
      </w:r>
      <w:r>
        <w:rPr>
          <w:rFonts w:hint="eastAsia" w:ascii="Times New Roman" w:hAnsi="Times New Roman" w:eastAsia="仿宋_GB2312" w:cs="Times New Roman"/>
          <w:w w:val="90"/>
          <w:sz w:val="32"/>
          <w:szCs w:val="32"/>
          <w:lang w:eastAsia="zh-CN"/>
        </w:rPr>
        <w:t>。</w:t>
      </w:r>
      <w:r>
        <w:rPr>
          <w:rFonts w:hint="eastAsia" w:ascii="Times New Roman" w:hAnsi="Times New Roman" w:eastAsia="仿宋_GB2312" w:cs="Times New Roman"/>
          <w:w w:val="90"/>
          <w:sz w:val="32"/>
          <w:szCs w:val="32"/>
          <w:lang w:val="en-US" w:eastAsia="zh-CN"/>
        </w:rPr>
        <w:t>2024年3月26日</w:t>
      </w:r>
      <w:r>
        <w:rPr>
          <w:rFonts w:hint="eastAsia" w:ascii="Times New Roman" w:hAnsi="Times New Roman" w:eastAsia="仿宋_GB2312" w:cs="Times New Roman"/>
          <w:w w:val="90"/>
          <w:sz w:val="32"/>
          <w:szCs w:val="32"/>
          <w:lang w:eastAsia="zh-CN"/>
        </w:rPr>
        <w:t>年渌财行指﹝</w:t>
      </w:r>
      <w:r>
        <w:rPr>
          <w:rFonts w:hint="default" w:ascii="Times New Roman" w:hAnsi="Times New Roman" w:eastAsia="仿宋_GB2312" w:cs="Times New Roman"/>
          <w:w w:val="90"/>
          <w:sz w:val="32"/>
          <w:szCs w:val="32"/>
          <w:lang w:eastAsia="zh-CN"/>
        </w:rPr>
        <w:t>20</w:t>
      </w:r>
      <w:r>
        <w:rPr>
          <w:rFonts w:hint="eastAsia" w:ascii="Times New Roman" w:hAnsi="Times New Roman" w:eastAsia="仿宋_GB2312" w:cs="Times New Roman"/>
          <w:w w:val="90"/>
          <w:sz w:val="32"/>
          <w:szCs w:val="32"/>
          <w:lang w:val="en-US" w:eastAsia="zh-CN"/>
        </w:rPr>
        <w:t>24</w:t>
      </w:r>
      <w:r>
        <w:rPr>
          <w:rFonts w:hint="eastAsia" w:ascii="Times New Roman" w:hAnsi="Times New Roman" w:eastAsia="仿宋_GB2312" w:cs="Times New Roman"/>
          <w:w w:val="90"/>
          <w:sz w:val="32"/>
          <w:szCs w:val="32"/>
          <w:lang w:eastAsia="zh-CN"/>
        </w:rPr>
        <w:t>﹞</w:t>
      </w:r>
      <w:r>
        <w:rPr>
          <w:rFonts w:hint="eastAsia" w:ascii="Times New Roman" w:hAnsi="Times New Roman" w:eastAsia="仿宋_GB2312" w:cs="Times New Roman"/>
          <w:w w:val="90"/>
          <w:sz w:val="32"/>
          <w:szCs w:val="32"/>
          <w:lang w:val="en-US" w:eastAsia="zh-CN"/>
        </w:rPr>
        <w:t>0176</w:t>
      </w:r>
      <w:r>
        <w:rPr>
          <w:rFonts w:hint="eastAsia" w:ascii="Times New Roman" w:hAnsi="Times New Roman" w:eastAsia="仿宋_GB2312" w:cs="Times New Roman"/>
          <w:w w:val="90"/>
          <w:sz w:val="32"/>
          <w:szCs w:val="32"/>
          <w:lang w:eastAsia="zh-CN"/>
        </w:rPr>
        <w:t>号，</w:t>
      </w:r>
      <w:r>
        <w:rPr>
          <w:rFonts w:hint="eastAsia" w:ascii="Times New Roman" w:hAnsi="Times New Roman" w:eastAsia="仿宋_GB2312" w:cs="Times New Roman"/>
          <w:w w:val="90"/>
          <w:kern w:val="2"/>
          <w:sz w:val="32"/>
          <w:szCs w:val="32"/>
          <w:lang w:val="en-US" w:eastAsia="zh-CN" w:bidi="ar"/>
        </w:rPr>
        <w:t>电子政务外网链路租赁经费</w:t>
      </w:r>
      <w:r>
        <w:rPr>
          <w:rFonts w:hint="eastAsia" w:ascii="Times New Roman" w:hAnsi="Times New Roman" w:eastAsia="仿宋_GB2312" w:cs="Times New Roman"/>
          <w:w w:val="90"/>
          <w:sz w:val="32"/>
          <w:szCs w:val="32"/>
          <w:lang w:eastAsia="zh-CN"/>
        </w:rPr>
        <w:t>一般公共预算资金</w:t>
      </w:r>
      <w:r>
        <w:rPr>
          <w:rFonts w:hint="eastAsia" w:ascii="Times New Roman" w:hAnsi="Times New Roman" w:eastAsia="仿宋_GB2312" w:cs="Times New Roman"/>
          <w:w w:val="90"/>
          <w:sz w:val="32"/>
          <w:szCs w:val="32"/>
          <w:lang w:val="en-US" w:eastAsia="zh-CN"/>
        </w:rPr>
        <w:t>67.75</w:t>
      </w:r>
      <w:r>
        <w:rPr>
          <w:rFonts w:hint="default" w:ascii="Times New Roman" w:hAnsi="Times New Roman" w:eastAsia="仿宋_GB2312" w:cs="Times New Roman"/>
          <w:w w:val="90"/>
          <w:sz w:val="32"/>
          <w:szCs w:val="32"/>
          <w:lang w:eastAsia="zh-CN"/>
        </w:rPr>
        <w:t>万元</w:t>
      </w:r>
      <w:r>
        <w:rPr>
          <w:rFonts w:hint="eastAsia" w:ascii="Times New Roman" w:hAnsi="Times New Roman" w:eastAsia="仿宋_GB2312" w:cs="Times New Roman"/>
          <w:w w:val="90"/>
          <w:sz w:val="32"/>
          <w:szCs w:val="32"/>
          <w:lang w:eastAsia="zh-CN"/>
        </w:rPr>
        <w:t>。</w:t>
      </w:r>
    </w:p>
    <w:p w14:paraId="486ADF40">
      <w:pPr>
        <w:pStyle w:val="26"/>
        <w:widowControl/>
        <w:numPr>
          <w:ilvl w:val="0"/>
          <w:numId w:val="6"/>
        </w:numPr>
        <w:tabs>
          <w:tab w:val="left" w:pos="1080"/>
        </w:tabs>
        <w:spacing w:line="600" w:lineRule="exact"/>
        <w:ind w:hanging="306"/>
        <w:jc w:val="left"/>
        <w:rPr>
          <w:rFonts w:hint="default" w:ascii="Times New Roman" w:hAnsi="Times New Roman" w:eastAsia="仿宋_GB2312"/>
          <w:sz w:val="32"/>
          <w:szCs w:val="32"/>
        </w:rPr>
      </w:pPr>
      <w:r>
        <w:rPr>
          <w:rFonts w:hint="default" w:ascii="Times New Roman" w:hAnsi="Times New Roman" w:eastAsia="仿宋_GB2312"/>
          <w:sz w:val="32"/>
          <w:szCs w:val="32"/>
        </w:rPr>
        <w:t>项目资金执行情况分析。</w:t>
      </w:r>
    </w:p>
    <w:p w14:paraId="3959F85B">
      <w:pPr>
        <w:widowControl/>
        <w:spacing w:line="600" w:lineRule="exact"/>
        <w:ind w:firstLine="576" w:firstLineChars="200"/>
        <w:rPr>
          <w:rFonts w:hint="default" w:ascii="Times New Roman" w:hAnsi="Times New Roman" w:eastAsia="仿宋_GB2312"/>
          <w:sz w:val="32"/>
          <w:szCs w:val="32"/>
        </w:rPr>
      </w:pPr>
      <w:r>
        <w:rPr>
          <w:rFonts w:hint="eastAsia" w:ascii="Times New Roman" w:hAnsi="Times New Roman" w:eastAsia="仿宋_GB2312" w:cs="Times New Roman"/>
          <w:w w:val="90"/>
          <w:kern w:val="2"/>
          <w:sz w:val="32"/>
          <w:szCs w:val="32"/>
          <w:lang w:val="en-US" w:eastAsia="zh-CN" w:bidi="ar"/>
        </w:rPr>
        <w:t>电子政务外网链路租赁经费执行数97.75万元，</w:t>
      </w:r>
      <w:r>
        <w:rPr>
          <w:rFonts w:hint="default" w:ascii="Times New Roman" w:hAnsi="Times New Roman" w:eastAsia="仿宋_GB2312" w:cs="Times New Roman"/>
          <w:w w:val="90"/>
          <w:kern w:val="2"/>
          <w:sz w:val="32"/>
          <w:szCs w:val="32"/>
          <w:lang w:val="en-US" w:eastAsia="zh-CN" w:bidi="ar"/>
        </w:rPr>
        <w:t>主要用于</w:t>
      </w:r>
      <w:r>
        <w:rPr>
          <w:rFonts w:hint="eastAsia" w:ascii="仿宋_GB2312" w:eastAsia="仿宋_GB2312"/>
          <w:sz w:val="32"/>
          <w:szCs w:val="32"/>
          <w:lang w:val="en-US" w:eastAsia="zh-CN"/>
        </w:rPr>
        <w:t>满足渌口区区直政务外网申请单位和乡镇政务网络接入，</w:t>
      </w:r>
      <w:r>
        <w:rPr>
          <w:rFonts w:hint="eastAsia" w:ascii="仿宋_GB2312" w:eastAsia="仿宋_GB2312"/>
          <w:sz w:val="32"/>
          <w:szCs w:val="32"/>
          <w:lang w:eastAsia="zh-CN"/>
        </w:rPr>
        <w:t>保障了各部门单位和乡镇政务外网网络通畅，政务系统平稳运行，为渌口区信息化建设和“数字渌口”整体建设提供了基础网络服务和网络资源。</w:t>
      </w:r>
    </w:p>
    <w:p w14:paraId="33776D5A">
      <w:pPr>
        <w:pStyle w:val="26"/>
        <w:widowControl/>
        <w:numPr>
          <w:ilvl w:val="0"/>
          <w:numId w:val="6"/>
        </w:numPr>
        <w:tabs>
          <w:tab w:val="left" w:pos="1080"/>
        </w:tabs>
        <w:spacing w:line="600" w:lineRule="exact"/>
        <w:ind w:hanging="298"/>
        <w:jc w:val="left"/>
        <w:rPr>
          <w:rFonts w:hint="default" w:ascii="Times New Roman" w:hAnsi="Times New Roman" w:eastAsia="仿宋_GB2312"/>
          <w:sz w:val="32"/>
          <w:szCs w:val="32"/>
        </w:rPr>
      </w:pPr>
      <w:r>
        <w:rPr>
          <w:rFonts w:hint="default" w:ascii="Times New Roman" w:hAnsi="Times New Roman" w:eastAsia="仿宋_GB2312"/>
          <w:sz w:val="32"/>
          <w:szCs w:val="32"/>
        </w:rPr>
        <w:t>项目资金管理情况分析。</w:t>
      </w:r>
    </w:p>
    <w:p w14:paraId="1FA79473">
      <w:pPr>
        <w:pStyle w:val="10"/>
        <w:spacing w:before="0" w:beforeAutospacing="0" w:after="0" w:afterAutospacing="0" w:line="560" w:lineRule="exact"/>
        <w:ind w:firstLine="576" w:firstLineChars="200"/>
        <w:textAlignment w:val="baseline"/>
        <w:rPr>
          <w:rFonts w:hint="default" w:ascii="Times New Roman" w:hAnsi="Times New Roman" w:eastAsia="仿宋_GB2312"/>
          <w:sz w:val="32"/>
          <w:szCs w:val="32"/>
        </w:rPr>
      </w:pPr>
      <w:r>
        <w:rPr>
          <w:rFonts w:hint="eastAsia" w:ascii="Times New Roman" w:hAnsi="Times New Roman" w:eastAsia="仿宋_GB2312" w:cs="Times New Roman"/>
          <w:w w:val="90"/>
          <w:kern w:val="2"/>
          <w:sz w:val="32"/>
          <w:szCs w:val="32"/>
          <w:lang w:val="en-US" w:eastAsia="zh-CN" w:bidi="ar"/>
        </w:rPr>
        <w:t>本单位财务管理严格按政府会计制度以及相关的法律法规执行。对本单位的项目资金实行绩效管理。项目资金是用于电子政务外网链路租赁工作，据实支付。</w:t>
      </w:r>
    </w:p>
    <w:p w14:paraId="73D98CAE">
      <w:pPr>
        <w:pStyle w:val="5"/>
        <w:widowControl/>
        <w:spacing w:line="600" w:lineRule="exact"/>
        <w:ind w:firstLine="640" w:firstLineChars="200"/>
        <w:rPr>
          <w:rFonts w:hint="default" w:ascii="Times New Roman" w:hAnsi="Times New Roman" w:eastAsia="楷体"/>
          <w:sz w:val="32"/>
          <w:szCs w:val="32"/>
        </w:rPr>
      </w:pPr>
      <w:r>
        <w:rPr>
          <w:rFonts w:hint="default" w:ascii="Times New Roman" w:hAnsi="Times New Roman" w:eastAsia="方正楷体_GBK"/>
          <w:sz w:val="32"/>
          <w:szCs w:val="32"/>
        </w:rPr>
        <w:t>（二）绩效目标完成情况分析。</w:t>
      </w:r>
    </w:p>
    <w:p w14:paraId="55E0C35C">
      <w:pPr>
        <w:pStyle w:val="26"/>
        <w:widowControl/>
        <w:numPr>
          <w:ilvl w:val="0"/>
          <w:numId w:val="7"/>
        </w:numPr>
        <w:tabs>
          <w:tab w:val="left" w:pos="1085"/>
        </w:tabs>
        <w:spacing w:line="600" w:lineRule="exact"/>
        <w:jc w:val="left"/>
        <w:rPr>
          <w:rFonts w:hint="default" w:ascii="Times New Roman" w:hAnsi="Times New Roman" w:eastAsia="仿宋_GB2312"/>
          <w:sz w:val="32"/>
          <w:szCs w:val="32"/>
        </w:rPr>
      </w:pPr>
      <w:r>
        <w:rPr>
          <w:rFonts w:hint="default" w:ascii="Times New Roman" w:hAnsi="Times New Roman" w:eastAsia="仿宋_GB2312"/>
          <w:sz w:val="32"/>
          <w:szCs w:val="32"/>
        </w:rPr>
        <w:t>产出指标完成情况分析。</w:t>
      </w:r>
    </w:p>
    <w:p w14:paraId="7A4CAC34">
      <w:pPr>
        <w:widowControl/>
        <w:spacing w:line="600" w:lineRule="exact"/>
        <w:ind w:firstLine="608" w:firstLineChars="200"/>
        <w:rPr>
          <w:rFonts w:hint="default" w:ascii="Times New Roman" w:hAnsi="Times New Roman" w:eastAsia="仿宋_GB2312"/>
          <w:sz w:val="32"/>
          <w:szCs w:val="32"/>
        </w:rPr>
      </w:pPr>
      <w:r>
        <w:rPr>
          <w:rFonts w:hint="eastAsia" w:ascii="Times New Roman" w:hAnsi="Times New Roman" w:eastAsia="仿宋_GB2312" w:cs="Times New Roman"/>
          <w:w w:val="95"/>
          <w:kern w:val="2"/>
          <w:sz w:val="32"/>
          <w:szCs w:val="32"/>
          <w:lang w:val="en-US" w:eastAsia="zh-CN" w:bidi="ar"/>
        </w:rPr>
        <w:t>数量指标：电子政务外网线路数量238条，安全接入网关购置26台，质量指标：政务外网安全稳定，时效指标：政务外网租用和维护期限1年。</w:t>
      </w:r>
    </w:p>
    <w:p w14:paraId="31B3FD61">
      <w:pPr>
        <w:pStyle w:val="26"/>
        <w:widowControl/>
        <w:numPr>
          <w:ilvl w:val="0"/>
          <w:numId w:val="7"/>
        </w:numPr>
        <w:tabs>
          <w:tab w:val="left" w:pos="1077"/>
        </w:tabs>
        <w:spacing w:line="600" w:lineRule="exact"/>
        <w:ind w:left="1076" w:hanging="296"/>
        <w:jc w:val="left"/>
        <w:rPr>
          <w:rFonts w:hint="default" w:ascii="Times New Roman" w:hAnsi="Times New Roman" w:eastAsia="仿宋_GB2312"/>
          <w:sz w:val="32"/>
          <w:szCs w:val="32"/>
        </w:rPr>
      </w:pPr>
      <w:r>
        <w:rPr>
          <w:rFonts w:hint="default" w:ascii="Times New Roman" w:hAnsi="Times New Roman" w:eastAsia="仿宋_GB2312"/>
          <w:sz w:val="32"/>
          <w:szCs w:val="32"/>
        </w:rPr>
        <w:t>效益指标完成情况分析。</w:t>
      </w:r>
    </w:p>
    <w:p w14:paraId="1C678B0C">
      <w:pPr>
        <w:pStyle w:val="5"/>
        <w:widowControl/>
        <w:spacing w:line="600" w:lineRule="exact"/>
        <w:ind w:right="129" w:firstLine="640" w:firstLineChars="200"/>
        <w:rPr>
          <w:rFonts w:hint="default" w:ascii="Times New Roman" w:hAnsi="Times New Roman" w:eastAsia="仿宋_GB2312"/>
          <w:sz w:val="32"/>
          <w:szCs w:val="32"/>
        </w:rPr>
      </w:pPr>
      <w:r>
        <w:rPr>
          <w:rFonts w:hint="eastAsia" w:ascii="Times New Roman" w:hAnsi="Times New Roman" w:eastAsia="仿宋_GB2312" w:cs="Times New Roman"/>
          <w:kern w:val="2"/>
          <w:sz w:val="32"/>
          <w:szCs w:val="32"/>
          <w:lang w:val="en-US" w:eastAsia="zh-CN" w:bidi="ar"/>
        </w:rPr>
        <w:t>经济效益指标：无，社会效益指标</w:t>
      </w:r>
      <w:r>
        <w:rPr>
          <w:rFonts w:hint="eastAsia" w:ascii="Times New Roman" w:hAnsi="Times New Roman" w:eastAsia="仿宋_GB2312" w:cs="Times New Roman"/>
          <w:w w:val="90"/>
          <w:kern w:val="2"/>
          <w:sz w:val="32"/>
          <w:szCs w:val="32"/>
          <w:lang w:val="en-US" w:eastAsia="zh-CN" w:bidi="ar"/>
        </w:rPr>
        <w:t>：政务系统平稳运行</w:t>
      </w:r>
      <w:r>
        <w:rPr>
          <w:rFonts w:hint="eastAsia" w:ascii="Times New Roman" w:hAnsi="Times New Roman" w:eastAsia="仿宋_GB2312" w:cs="Times New Roman"/>
          <w:kern w:val="2"/>
          <w:sz w:val="32"/>
          <w:szCs w:val="32"/>
          <w:lang w:val="en-US" w:eastAsia="zh-CN" w:bidi="ar"/>
        </w:rPr>
        <w:t>，生态效益指标：无，可持续影响指标：</w:t>
      </w:r>
      <w:r>
        <w:rPr>
          <w:rFonts w:hint="eastAsia" w:ascii="Times New Roman" w:hAnsi="Times New Roman" w:eastAsia="仿宋_GB2312" w:cs="Times New Roman"/>
          <w:w w:val="90"/>
          <w:kern w:val="2"/>
          <w:sz w:val="32"/>
          <w:szCs w:val="32"/>
          <w:lang w:val="en-US" w:eastAsia="zh-CN" w:bidi="ar"/>
        </w:rPr>
        <w:t>政务外网网络通畅</w:t>
      </w:r>
      <w:r>
        <w:rPr>
          <w:rFonts w:hint="eastAsia" w:ascii="Times New Roman" w:hAnsi="Times New Roman" w:eastAsia="仿宋_GB2312" w:cs="Times New Roman"/>
          <w:kern w:val="2"/>
          <w:sz w:val="32"/>
          <w:szCs w:val="32"/>
          <w:lang w:val="en-US" w:eastAsia="zh-CN" w:bidi="ar"/>
        </w:rPr>
        <w:t>。</w:t>
      </w:r>
    </w:p>
    <w:p w14:paraId="5CDB9C42">
      <w:pPr>
        <w:pStyle w:val="26"/>
        <w:widowControl/>
        <w:numPr>
          <w:ilvl w:val="0"/>
          <w:numId w:val="7"/>
        </w:numPr>
        <w:tabs>
          <w:tab w:val="left" w:pos="1164"/>
        </w:tabs>
        <w:spacing w:line="600" w:lineRule="exact"/>
        <w:ind w:left="1163" w:hanging="303"/>
        <w:jc w:val="left"/>
        <w:rPr>
          <w:rFonts w:hint="default" w:ascii="Times New Roman" w:hAnsi="Times New Roman" w:eastAsia="仿宋_GB2312"/>
          <w:sz w:val="32"/>
          <w:szCs w:val="32"/>
        </w:rPr>
      </w:pPr>
      <w:r>
        <w:rPr>
          <w:rFonts w:hint="default" w:ascii="Times New Roman" w:hAnsi="Times New Roman" w:eastAsia="仿宋_GB2312"/>
          <w:sz w:val="32"/>
          <w:szCs w:val="32"/>
        </w:rPr>
        <w:t>满意度指标完成情况分析。</w:t>
      </w:r>
    </w:p>
    <w:p w14:paraId="0902C96D">
      <w:pPr>
        <w:widowControl/>
        <w:spacing w:line="60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cs="Times New Roman"/>
          <w:sz w:val="32"/>
          <w:szCs w:val="32"/>
          <w:lang w:eastAsia="zh-CN"/>
        </w:rPr>
        <w:t>服务对象满意度指标：各部门单位</w:t>
      </w:r>
      <w:r>
        <w:rPr>
          <w:rFonts w:hint="eastAsia" w:ascii="Times New Roman" w:hAnsi="Times New Roman" w:eastAsia="仿宋_GB2312" w:cs="Times New Roman"/>
          <w:sz w:val="32"/>
          <w:szCs w:val="32"/>
          <w:lang w:val="en-US" w:eastAsia="zh-CN"/>
        </w:rPr>
        <w:t>使用满意度大于95%。</w:t>
      </w:r>
      <w:r>
        <w:rPr>
          <w:rFonts w:hint="eastAsia" w:ascii="仿宋_GB2312" w:eastAsia="仿宋_GB2312"/>
          <w:sz w:val="32"/>
          <w:szCs w:val="32"/>
          <w:lang w:eastAsia="zh-CN"/>
        </w:rPr>
        <w:t>保障了各部门单位和乡镇政务外网网络通畅，政务系统平稳运行，为渌口区信息化建设和“数字渌口”整体建设提供了基础网络服务和网络资源。</w:t>
      </w:r>
    </w:p>
    <w:p w14:paraId="144A1B65">
      <w:pPr>
        <w:pStyle w:val="26"/>
        <w:widowControl/>
        <w:numPr>
          <w:ilvl w:val="0"/>
          <w:numId w:val="8"/>
        </w:numPr>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偏离绩效目标的原因和下一步改进措施。</w:t>
      </w:r>
    </w:p>
    <w:p w14:paraId="60AF638C">
      <w:pPr>
        <w:pStyle w:val="26"/>
        <w:widowControl/>
        <w:numPr>
          <w:ilvl w:val="0"/>
          <w:numId w:val="0"/>
        </w:numPr>
        <w:spacing w:line="600" w:lineRule="exact"/>
        <w:ind w:firstLine="576" w:firstLineChars="200"/>
        <w:rPr>
          <w:rFonts w:hint="eastAsia"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1.偏离绩效目标的原因： 政务外网网络通畅性、稳定性有待进一步加</w:t>
      </w:r>
    </w:p>
    <w:p w14:paraId="00857A1B">
      <w:pPr>
        <w:pStyle w:val="26"/>
        <w:widowControl/>
        <w:numPr>
          <w:ilvl w:val="0"/>
          <w:numId w:val="0"/>
        </w:numPr>
        <w:spacing w:line="600" w:lineRule="exact"/>
        <w:rPr>
          <w:rFonts w:hint="eastAsia"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强。发生故障时，响应时效滞后，影响政务服务办理效率。</w:t>
      </w:r>
    </w:p>
    <w:p w14:paraId="332935CE">
      <w:pPr>
        <w:pStyle w:val="26"/>
        <w:widowControl/>
        <w:numPr>
          <w:ilvl w:val="0"/>
          <w:numId w:val="0"/>
        </w:numPr>
        <w:spacing w:line="600" w:lineRule="exact"/>
        <w:ind w:firstLine="576" w:firstLineChars="200"/>
        <w:rPr>
          <w:rFonts w:hint="eastAsia"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2.下一步改进措施：加强政务外网运维，季度评估服务商响应速度、故障修复率等，考核结果与后续付款挂钩。保障政务外网网络通畅、平稳运行，提升部门单位使用满意度。</w:t>
      </w:r>
    </w:p>
    <w:p w14:paraId="16EAB2F2">
      <w:pPr>
        <w:pStyle w:val="26"/>
        <w:widowControl/>
        <w:numPr>
          <w:ilvl w:val="0"/>
          <w:numId w:val="0"/>
        </w:numPr>
        <w:spacing w:line="600" w:lineRule="exact"/>
        <w:ind w:firstLine="576" w:firstLineChars="200"/>
        <w:rPr>
          <w:rFonts w:hint="eastAsia"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本次绩效偏离反映当前电子政务外网链路租赁管理中的精细化不足问题，后续将以“精准预算、动态监管、协同增效”为核心，推动链路租赁经费的高效合规使用，为全区政务服务数字化转型提供稳定网络支撑。</w:t>
      </w:r>
    </w:p>
    <w:p w14:paraId="39A528AB">
      <w:pPr>
        <w:pStyle w:val="26"/>
        <w:widowControl/>
        <w:numPr>
          <w:ilvl w:val="0"/>
          <w:numId w:val="0"/>
        </w:numPr>
        <w:spacing w:line="600" w:lineRule="exact"/>
        <w:ind w:firstLine="640" w:firstLineChars="200"/>
        <w:rPr>
          <w:rFonts w:hint="default" w:ascii="Times New Roman" w:hAnsi="Times New Roman" w:eastAsia="方正黑体_GBK"/>
          <w:sz w:val="32"/>
          <w:szCs w:val="32"/>
        </w:rPr>
      </w:pPr>
      <w:r>
        <w:rPr>
          <w:rFonts w:hint="eastAsia" w:ascii="Times New Roman" w:hAnsi="Times New Roman" w:eastAsia="方正黑体_GBK"/>
          <w:sz w:val="32"/>
          <w:szCs w:val="32"/>
          <w:lang w:eastAsia="zh-CN"/>
        </w:rPr>
        <w:t>四、</w:t>
      </w:r>
      <w:r>
        <w:rPr>
          <w:rFonts w:hint="default" w:ascii="Times New Roman" w:hAnsi="Times New Roman" w:eastAsia="方正黑体_GBK"/>
          <w:sz w:val="32"/>
          <w:szCs w:val="32"/>
        </w:rPr>
        <w:t>绩效自评结果拟应用和公开情况</w:t>
      </w:r>
    </w:p>
    <w:p w14:paraId="1E3BD662">
      <w:pPr>
        <w:pStyle w:val="26"/>
        <w:keepNext w:val="0"/>
        <w:keepLines w:val="0"/>
        <w:pageBreakBefore w:val="0"/>
        <w:widowControl w:val="0"/>
        <w:numPr>
          <w:ilvl w:val="0"/>
          <w:numId w:val="0"/>
        </w:numPr>
        <w:tabs>
          <w:tab w:val="left" w:pos="1085"/>
        </w:tabs>
        <w:kinsoku/>
        <w:wordWrap/>
        <w:overflowPunct/>
        <w:topLinePunct w:val="0"/>
        <w:autoSpaceDE/>
        <w:autoSpaceDN/>
        <w:bidi w:val="0"/>
        <w:adjustRightInd/>
        <w:snapToGrid/>
        <w:spacing w:line="560" w:lineRule="exact"/>
        <w:ind w:right="0" w:rightChars="0" w:firstLine="576" w:firstLineChars="200"/>
        <w:jc w:val="left"/>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仿宋_GB2312" w:cs="Times New Roman"/>
          <w:w w:val="90"/>
          <w:kern w:val="2"/>
          <w:sz w:val="32"/>
          <w:szCs w:val="32"/>
          <w:lang w:val="en-US" w:eastAsia="zh-CN" w:bidi="ar"/>
        </w:rPr>
        <w:t>电子政务外网链路租赁经费</w:t>
      </w:r>
      <w:r>
        <w:rPr>
          <w:rFonts w:hint="eastAsia" w:ascii="Times New Roman" w:hAnsi="Times New Roman" w:eastAsia="仿宋_GB2312" w:cs="仿宋_GB2312"/>
          <w:kern w:val="2"/>
          <w:sz w:val="32"/>
          <w:szCs w:val="32"/>
          <w:lang w:val="en-US" w:eastAsia="zh-CN" w:bidi="ar"/>
        </w:rPr>
        <w:t>支出绩效自评从产出指标、效益指标、满意度指标等方面对项目支出逐项自评得分为</w:t>
      </w:r>
      <w:r>
        <w:rPr>
          <w:rFonts w:hint="eastAsia" w:ascii="Times New Roman" w:hAnsi="Times New Roman" w:eastAsia="仿宋_GB2312" w:cs="仿宋_GB2312"/>
          <w:color w:val="auto"/>
          <w:kern w:val="2"/>
          <w:sz w:val="32"/>
          <w:szCs w:val="32"/>
          <w:lang w:val="en-US" w:eastAsia="zh-CN" w:bidi="ar"/>
        </w:rPr>
        <w:t>98</w:t>
      </w:r>
      <w:r>
        <w:rPr>
          <w:rFonts w:hint="eastAsia" w:ascii="Times New Roman" w:hAnsi="Times New Roman" w:eastAsia="仿宋_GB2312" w:cs="仿宋_GB2312"/>
          <w:kern w:val="2"/>
          <w:sz w:val="32"/>
          <w:szCs w:val="32"/>
          <w:lang w:val="en-US" w:eastAsia="zh-CN" w:bidi="ar"/>
        </w:rPr>
        <w:t>分。</w:t>
      </w:r>
    </w:p>
    <w:p w14:paraId="06C242C1">
      <w:pPr>
        <w:pStyle w:val="28"/>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
        </w:rPr>
        <w:t>按照《湖南省预算支出绩效评价管理办法》(</w:t>
      </w:r>
      <w:r>
        <w:rPr>
          <w:rFonts w:hint="default" w:ascii="Times New Roman" w:hAnsi="Times New Roman" w:eastAsia="仿宋_GB2312" w:cs="Times New Roman"/>
          <w:kern w:val="2"/>
          <w:sz w:val="32"/>
          <w:szCs w:val="32"/>
          <w:lang w:val="en-US" w:eastAsia="zh-CN" w:bidi="ar"/>
        </w:rPr>
        <w:t>湘财绩〔</w:t>
      </w:r>
      <w:r>
        <w:rPr>
          <w:rFonts w:hint="eastAsia" w:ascii="Times New Roman" w:hAnsi="Times New Roman" w:eastAsia="仿宋_GB2312" w:cs="Times New Roman"/>
          <w:kern w:val="2"/>
          <w:sz w:val="32"/>
          <w:szCs w:val="32"/>
          <w:lang w:val="en-US" w:eastAsia="zh-CN" w:bidi="ar"/>
        </w:rPr>
        <w:t>2020</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7</w:t>
      </w:r>
      <w:r>
        <w:rPr>
          <w:rFonts w:hint="default" w:ascii="Times New Roman" w:hAnsi="Times New Roman" w:eastAsia="仿宋_GB2312" w:cs="Times New Roman"/>
          <w:kern w:val="2"/>
          <w:sz w:val="32"/>
          <w:szCs w:val="32"/>
          <w:lang w:val="en-US" w:eastAsia="zh-CN" w:bidi="ar"/>
        </w:rPr>
        <w:t>号</w:t>
      </w:r>
      <w:r>
        <w:rPr>
          <w:rFonts w:hint="eastAsia" w:ascii="Times New Roman" w:hAnsi="Times New Roman" w:eastAsia="仿宋_GB2312" w:cs="Times New Roman"/>
          <w:kern w:val="2"/>
          <w:sz w:val="32"/>
          <w:szCs w:val="32"/>
          <w:lang w:val="en-US" w:eastAsia="zh-CN" w:bidi="ar"/>
        </w:rPr>
        <w:t>)要求，认真开展绩效自评工作，2024年项目绩效自评情况会在规定的时间内，在株洲市渌口区人民政府门户网公开，接受社会公众监督。</w:t>
      </w:r>
    </w:p>
    <w:p w14:paraId="3F49595B">
      <w:pPr>
        <w:widowControl/>
        <w:spacing w:line="600" w:lineRule="exact"/>
        <w:rPr>
          <w:rFonts w:ascii="Times New Roman" w:hAnsi="Times New Roman" w:eastAsia="方正楷体_GBK" w:cs="Times New Roman"/>
          <w:sz w:val="32"/>
          <w:szCs w:val="32"/>
        </w:rPr>
      </w:pPr>
    </w:p>
    <w:p w14:paraId="0209A6C2">
      <w:pPr>
        <w:pStyle w:val="16"/>
        <w:jc w:val="center"/>
        <w:rPr>
          <w:rFonts w:hint="eastAsia" w:ascii="仿宋" w:hAnsi="仿宋" w:eastAsia="仿宋" w:cs="Times New Roman"/>
          <w:sz w:val="72"/>
          <w:szCs w:val="72"/>
        </w:rPr>
      </w:pPr>
    </w:p>
    <w:p w14:paraId="70A612BD">
      <w:pPr>
        <w:pStyle w:val="16"/>
        <w:jc w:val="center"/>
        <w:rPr>
          <w:rFonts w:hint="eastAsia" w:ascii="仿宋" w:hAnsi="仿宋" w:eastAsia="仿宋" w:cs="Times New Roman"/>
          <w:sz w:val="72"/>
          <w:szCs w:val="72"/>
        </w:rPr>
      </w:pPr>
    </w:p>
    <w:p w14:paraId="158E25D8">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4B33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2CC92">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D899">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69E4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BE662"/>
    <w:multiLevelType w:val="singleLevel"/>
    <w:tmpl w:val="9ABBE662"/>
    <w:lvl w:ilvl="0" w:tentative="0">
      <w:start w:val="7"/>
      <w:numFmt w:val="decimal"/>
      <w:suff w:val="nothing"/>
      <w:lvlText w:val="%1、"/>
      <w:lvlJc w:val="left"/>
    </w:lvl>
  </w:abstractNum>
  <w:abstractNum w:abstractNumId="1">
    <w:nsid w:val="BA7E0C18"/>
    <w:multiLevelType w:val="singleLevel"/>
    <w:tmpl w:val="BA7E0C18"/>
    <w:lvl w:ilvl="0" w:tentative="0">
      <w:start w:val="3"/>
      <w:numFmt w:val="chineseCounting"/>
      <w:suff w:val="nothing"/>
      <w:lvlText w:val="%1、"/>
      <w:lvlJc w:val="left"/>
      <w:rPr>
        <w:rFonts w:hint="eastAsia"/>
      </w:rPr>
    </w:lvl>
  </w:abstractNum>
  <w:abstractNum w:abstractNumId="2">
    <w:nsid w:val="C02A916F"/>
    <w:multiLevelType w:val="singleLevel"/>
    <w:tmpl w:val="C02A916F"/>
    <w:lvl w:ilvl="0" w:tentative="0">
      <w:start w:val="1"/>
      <w:numFmt w:val="chineseCounting"/>
      <w:suff w:val="nothing"/>
      <w:lvlText w:val="（%1）"/>
      <w:lvlJc w:val="left"/>
      <w:rPr>
        <w:rFonts w:hint="eastAsia"/>
      </w:rPr>
    </w:lvl>
  </w:abstractNum>
  <w:abstractNum w:abstractNumId="3">
    <w:nsid w:val="E5343506"/>
    <w:multiLevelType w:val="singleLevel"/>
    <w:tmpl w:val="E5343506"/>
    <w:lvl w:ilvl="0" w:tentative="0">
      <w:start w:val="1"/>
      <w:numFmt w:val="chineseCounting"/>
      <w:suff w:val="nothing"/>
      <w:lvlText w:val="（%1）"/>
      <w:lvlJc w:val="left"/>
      <w:rPr>
        <w:rFonts w:hint="eastAsia"/>
      </w:rPr>
    </w:lvl>
  </w:abstractNum>
  <w:abstractNum w:abstractNumId="4">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5">
    <w:nsid w:val="428A3282"/>
    <w:multiLevelType w:val="singleLevel"/>
    <w:tmpl w:val="428A3282"/>
    <w:lvl w:ilvl="0" w:tentative="0">
      <w:start w:val="8"/>
      <w:numFmt w:val="chineseCounting"/>
      <w:suff w:val="nothing"/>
      <w:lvlText w:val="%1、"/>
      <w:lvlJc w:val="left"/>
      <w:rPr>
        <w:rFonts w:hint="eastAsia"/>
      </w:rPr>
    </w:lvl>
  </w:abstractNum>
  <w:abstractNum w:abstractNumId="6">
    <w:nsid w:val="52529635"/>
    <w:multiLevelType w:val="singleLevel"/>
    <w:tmpl w:val="52529635"/>
    <w:lvl w:ilvl="0" w:tentative="0">
      <w:start w:val="3"/>
      <w:numFmt w:val="chineseCounting"/>
      <w:suff w:val="nothing"/>
      <w:lvlText w:val="%1、"/>
      <w:lvlJc w:val="left"/>
      <w:rPr>
        <w:rFonts w:hint="eastAsia"/>
      </w:rPr>
    </w:lvl>
  </w:abstractNum>
  <w:abstractNum w:abstractNumId="7">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0"/>
  </w:num>
  <w:num w:numId="2">
    <w:abstractNumId w:val="3"/>
  </w:num>
  <w:num w:numId="3">
    <w:abstractNumId w:val="6"/>
  </w:num>
  <w:num w:numId="4">
    <w:abstractNumId w:val="2"/>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A6DC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571769E"/>
    <w:rsid w:val="094C108C"/>
    <w:rsid w:val="09671B31"/>
    <w:rsid w:val="0B5736CE"/>
    <w:rsid w:val="0C121E79"/>
    <w:rsid w:val="0F1467D4"/>
    <w:rsid w:val="111171EE"/>
    <w:rsid w:val="1D97DEFF"/>
    <w:rsid w:val="1DFF72E5"/>
    <w:rsid w:val="1EFC6F07"/>
    <w:rsid w:val="1FFA66E7"/>
    <w:rsid w:val="2FDF85B8"/>
    <w:rsid w:val="2FFFEE04"/>
    <w:rsid w:val="34DF85B0"/>
    <w:rsid w:val="39E41C02"/>
    <w:rsid w:val="3B8F36BC"/>
    <w:rsid w:val="3C2531F5"/>
    <w:rsid w:val="3CE71D53"/>
    <w:rsid w:val="41A92D77"/>
    <w:rsid w:val="43F4684C"/>
    <w:rsid w:val="47702D8B"/>
    <w:rsid w:val="491FF225"/>
    <w:rsid w:val="4EA604F0"/>
    <w:rsid w:val="4F460AC1"/>
    <w:rsid w:val="4FFD214C"/>
    <w:rsid w:val="51ED3718"/>
    <w:rsid w:val="5777D4F5"/>
    <w:rsid w:val="59DD8326"/>
    <w:rsid w:val="5B0E7B48"/>
    <w:rsid w:val="5B4B713A"/>
    <w:rsid w:val="5DEF592A"/>
    <w:rsid w:val="5F75046E"/>
    <w:rsid w:val="5FC6BB1E"/>
    <w:rsid w:val="5FF720F1"/>
    <w:rsid w:val="60CF7816"/>
    <w:rsid w:val="66FE1FDC"/>
    <w:rsid w:val="67FF5C0B"/>
    <w:rsid w:val="6A2D7BAC"/>
    <w:rsid w:val="6AC45F78"/>
    <w:rsid w:val="6B3A6D1D"/>
    <w:rsid w:val="6C3C36B8"/>
    <w:rsid w:val="6EFC0924"/>
    <w:rsid w:val="6FB74722"/>
    <w:rsid w:val="6FEF8B7E"/>
    <w:rsid w:val="71A6591B"/>
    <w:rsid w:val="72610B9F"/>
    <w:rsid w:val="737D59BA"/>
    <w:rsid w:val="77C37683"/>
    <w:rsid w:val="79D19834"/>
    <w:rsid w:val="79FF515B"/>
    <w:rsid w:val="7B246774"/>
    <w:rsid w:val="7B4E7FF6"/>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Normal Indent"/>
    <w:basedOn w:val="1"/>
    <w:qFormat/>
    <w:uiPriority w:val="0"/>
    <w:pPr>
      <w:ind w:firstLine="420"/>
    </w:pPr>
    <w:rPr>
      <w:rFonts w:ascii="Calibri" w:hAnsi="Calibri" w:eastAsia="宋体" w:cs="Times New Roman"/>
      <w:szCs w:val="20"/>
    </w:rPr>
  </w:style>
  <w:style w:type="paragraph" w:styleId="5">
    <w:name w:val="Body Text"/>
    <w:basedOn w:val="1"/>
    <w:link w:val="22"/>
    <w:qFormat/>
    <w:uiPriority w:val="1"/>
    <w:rPr>
      <w:rFonts w:ascii="Calibri" w:hAnsi="Calibri" w:eastAsia="宋体" w:cs="Times New Roman"/>
      <w:sz w:val="32"/>
      <w:szCs w:val="32"/>
    </w:r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2"/>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字符"/>
    <w:basedOn w:val="12"/>
    <w:link w:val="6"/>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正文文本 字符"/>
    <w:basedOn w:val="12"/>
    <w:link w:val="5"/>
    <w:qFormat/>
    <w:uiPriority w:val="1"/>
    <w:rPr>
      <w:rFonts w:ascii="Calibri" w:hAnsi="Calibri"/>
      <w:kern w:val="2"/>
      <w:sz w:val="32"/>
      <w:szCs w:val="32"/>
    </w:rPr>
  </w:style>
  <w:style w:type="paragraph" w:customStyle="1" w:styleId="23">
    <w:name w:val="正文-公1"/>
    <w:basedOn w:val="24"/>
    <w:next w:val="1"/>
    <w:qFormat/>
    <w:uiPriority w:val="0"/>
    <w:pPr>
      <w:ind w:firstLine="200" w:firstLineChars="200"/>
    </w:p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customStyle="1" w:styleId="26">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paragraph" w:customStyle="1" w:styleId="27">
    <w:name w:val="p0"/>
    <w:basedOn w:val="1"/>
    <w:autoRedefine/>
    <w:qFormat/>
    <w:uiPriority w:val="0"/>
    <w:pPr>
      <w:widowControl/>
    </w:pPr>
    <w:rPr>
      <w:kern w:val="0"/>
      <w:szCs w:val="21"/>
    </w:rPr>
  </w:style>
  <w:style w:type="paragraph" w:customStyle="1" w:styleId="28">
    <w:name w:val="正文文字"/>
    <w:basedOn w:val="1"/>
    <w:next w:val="1"/>
    <w:autoRedefine/>
    <w:qFormat/>
    <w:uiPriority w:val="0"/>
    <w:pPr>
      <w:spacing w:after="120"/>
    </w:pPr>
    <w:rPr>
      <w:rFonts w:ascii="Calibri" w:hAnsi="Calibri"/>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2035</Words>
  <Characters>2589</Characters>
  <Lines>96</Lines>
  <Paragraphs>27</Paragraphs>
  <TotalTime>7</TotalTime>
  <ScaleCrop>false</ScaleCrop>
  <LinksUpToDate>false</LinksUpToDate>
  <CharactersWithSpaces>2750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2025-10-11T13:49:00Z</dcterms:created>
  <dc:creator>11797</dc:creator>
  <cp:lastModifiedBy>谁明浪子心</cp:lastModifiedBy>
  <cp:lastPrinted>2024-08-08T18:20:00Z</cp:lastPrinted>
  <dcterms:modified xsi:type="dcterms:W3CDTF">2025-10-30T01:23:35Z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