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0"/>
          <w:szCs w:val="32"/>
        </w:rPr>
      </w:pPr>
      <w:r>
        <w:rPr>
          <w:rFonts w:hint="eastAsia" w:ascii="方正小标宋简体" w:eastAsia="方正小标宋简体"/>
          <w:sz w:val="40"/>
          <w:szCs w:val="32"/>
        </w:rPr>
        <w:t>2024年度</w:t>
      </w:r>
      <w:r>
        <w:rPr>
          <w:rFonts w:hint="eastAsia" w:ascii="方正小标宋简体" w:eastAsia="方正小标宋简体"/>
          <w:sz w:val="40"/>
          <w:szCs w:val="32"/>
          <w:lang w:eastAsia="zh-CN"/>
        </w:rPr>
        <w:t>渌口区财政局</w:t>
      </w:r>
      <w:r>
        <w:rPr>
          <w:rFonts w:hint="eastAsia" w:ascii="方正小标宋简体" w:eastAsia="方正小标宋简体"/>
          <w:sz w:val="40"/>
          <w:szCs w:val="32"/>
        </w:rPr>
        <w:t>整体支出</w:t>
      </w:r>
    </w:p>
    <w:p>
      <w:pPr>
        <w:jc w:val="center"/>
        <w:rPr>
          <w:rFonts w:ascii="仿宋_GB2312" w:eastAsia="仿宋_GB2312"/>
          <w:sz w:val="32"/>
          <w:szCs w:val="32"/>
        </w:rPr>
      </w:pPr>
      <w:r>
        <w:rPr>
          <w:rFonts w:hint="eastAsia" w:ascii="方正小标宋简体" w:eastAsia="方正小标宋简体"/>
          <w:sz w:val="40"/>
          <w:szCs w:val="32"/>
        </w:rPr>
        <w:t>绩效自评报告</w:t>
      </w:r>
    </w:p>
    <w:p>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 xml:space="preserve"> （一）主要职能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1、贯彻执行国家财政、预算、税收、财务会计、国有资产管理方面的法律、条例和制度；</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2、拟订全区财政发展规划、中长期财源建设计划，编制、组织执行年度预决算，综合平衡社会财力。拟订本区国有资产监督管理的有关制度及具体办法并组织实施。拟订和执行全区农业综合开发的方针、政策及项目管理、资金管理、财务管理等规章制度与细则；编制全区农业综合开发年度计划；拟订区农业综合开发财政投入的中长期规划，编制年度预算和决算；</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3、参与基建投资、劳动工资、物价、经贸、科技教育、住房、社会保障、国有企业、国有土地等方面的管理、调控和监督，管理财政经济发展支出，负责财政性资金投资项目工程预决算审查；</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4、负责组织全区财政收入，征收管理全区非税收入；</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5、管理世行等国际金融组织和外国政府贷款，实行政府采购管理；</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6、监督乡镇预算执行和区直各部门的财务活动，检查财政税收政策、法令、财务会计制度执行情况，对违纪行为进行查处；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7、指导全区会计工作，保障会计人员依法行使职权，查处会计人员违纪案件，组织执行会计法规，培训财务会计人员；</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8、拟订财政系统教育计划，组织财政干部培训，负责财政宣传、财政信息和财政普法教育工作；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9、负责履行出资人职责，保障出资人权益，加强所监管企业和行政事业单位及破产改制企业国有资产监督管理工作。负责资产调剂、划拨、处置等工作；负责查处国有资产经营管理中违纪违法行为；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10、建立和完善国有资产管理信息系统，负责国有资产对外投资、出租、出借和担保等事项的审批；负责组织产权登记、资产清查等工作；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11、建立和完善国有资产保值增值考核和责任追究制度，拟订考核标准，通过统计、稽核、审计等方法对所监管企业国有资产的保值增值情况进行监管；</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12、负责组织所监管企业上交国有资本收益；参与拟订国有资本经营预算有关管理制度和办法；负责国有资本经营预、决算编制和执行等工作；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13、承担地方政府债务核查、监督等相关职责；</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14、承办区人民政府交办的其他事项。</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（二）机构情况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株洲市渌口区财政局内设机构16个包括：办公室、人事教育股、综合规划股、税政政法股、预算股、行政政法股、教科文股、经济建设股、农业农村股、社会保障股、企业股（挂对外经济贸易股牌子）、金融债务股、会计管理股、监督绩效股、信息管理股、国有资产管理股。领导和管理4个副科级直属单位，分别为：株洲市渌口区乡镇财政服务中心、株洲市渌口区国库集中支付核算中心、株洲市渌口区区财政事务管理中心、株洲市渌口区财政投资评审中心。</w:t>
      </w: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人员情况</w:t>
      </w:r>
    </w:p>
    <w:p>
      <w:pPr>
        <w:keepNext w:val="0"/>
        <w:keepLines w:val="0"/>
        <w:widowControl w:val="0"/>
        <w:numPr>
          <w:ilvl w:val="0"/>
          <w:numId w:val="0"/>
        </w:numPr>
        <w:suppressLineNumbers w:val="0"/>
        <w:spacing w:before="0" w:beforeAutospacing="0" w:after="0" w:afterAutospacing="0" w:line="600" w:lineRule="exact"/>
        <w:ind w:right="0" w:rightChars="0"/>
        <w:jc w:val="both"/>
        <w:rPr>
          <w:rFonts w:hint="eastAsia" w:ascii="FangSong_GB2312" w:hAnsi="FangSong_GB2312" w:eastAsia="FangSong_GB2312" w:cs="FangSong_GB2312"/>
          <w:color w:val="000000"/>
          <w:kern w:val="2"/>
          <w:sz w:val="32"/>
          <w:szCs w:val="32"/>
          <w:lang w:val="en-US" w:eastAsia="zh-CN" w:bidi="ar"/>
        </w:rPr>
      </w:pPr>
      <w:r>
        <w:rPr>
          <w:rFonts w:hint="eastAsia" w:ascii="FangSong_GB2312" w:hAnsi="FangSong_GB2312" w:eastAsia="FangSong_GB2312" w:cs="FangSong_GB2312"/>
          <w:color w:val="000000"/>
          <w:kern w:val="2"/>
          <w:sz w:val="32"/>
          <w:szCs w:val="32"/>
          <w:lang w:val="en-US" w:eastAsia="zh-CN" w:bidi="ar"/>
        </w:rPr>
        <w:t xml:space="preserve">    本年度行政人员21人，参照公务员法管理事业人员26人，非参公事业人员20人，机关和事业工人1人，年末在职在编人员共计68人。</w:t>
      </w:r>
    </w:p>
    <w:p>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pPr>
        <w:tabs>
          <w:tab w:val="left" w:pos="7560"/>
        </w:tabs>
        <w:adjustRightInd w:val="0"/>
        <w:snapToGrid w:val="0"/>
        <w:spacing w:line="560" w:lineRule="exact"/>
        <w:ind w:firstLine="640" w:firstLineChars="200"/>
        <w:rPr>
          <w:rFonts w:hint="default" w:ascii="FangSong_GB2312" w:hAnsi="FangSong_GB2312" w:eastAsia="FangSong_GB2312" w:cs="FangSong_GB2312"/>
          <w:color w:val="000000"/>
          <w:kern w:val="2"/>
          <w:sz w:val="32"/>
          <w:szCs w:val="32"/>
          <w:lang w:val="en-US" w:eastAsia="zh-CN" w:bidi="ar"/>
        </w:rPr>
      </w:pPr>
      <w:r>
        <w:rPr>
          <w:rFonts w:hint="eastAsia" w:ascii="仿宋_GB2312" w:eastAsia="仿宋_GB2312"/>
          <w:sz w:val="32"/>
          <w:szCs w:val="32"/>
        </w:rPr>
        <w:t>（一）基本支出情况</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FangSong_GB2312" w:hAnsi="FangSong_GB2312" w:eastAsia="FangSong_GB2312" w:cs="FangSong_GB2312"/>
          <w:color w:val="000000"/>
          <w:kern w:val="2"/>
          <w:sz w:val="32"/>
          <w:szCs w:val="32"/>
          <w:lang w:val="en-US" w:eastAsia="zh-CN" w:bidi="ar"/>
        </w:rPr>
        <w:t>本年度</w:t>
      </w:r>
      <w:r>
        <w:rPr>
          <w:rFonts w:hint="default" w:ascii="FangSong_GB2312" w:hAnsi="FangSong_GB2312" w:eastAsia="FangSong_GB2312" w:cs="FangSong_GB2312"/>
          <w:color w:val="000000"/>
          <w:kern w:val="2"/>
          <w:sz w:val="32"/>
          <w:szCs w:val="32"/>
          <w:lang w:val="en-US" w:eastAsia="zh-CN" w:bidi="ar"/>
        </w:rPr>
        <w:t>一般公共预算财政拨款</w:t>
      </w:r>
      <w:r>
        <w:rPr>
          <w:rFonts w:hint="eastAsia" w:ascii="FangSong_GB2312" w:hAnsi="FangSong_GB2312" w:eastAsia="FangSong_GB2312" w:cs="FangSong_GB2312"/>
          <w:color w:val="000000"/>
          <w:kern w:val="2"/>
          <w:sz w:val="32"/>
          <w:szCs w:val="32"/>
          <w:lang w:val="en-US" w:eastAsia="zh-CN" w:bidi="ar"/>
        </w:rPr>
        <w:t>基本支出1430.15</w:t>
      </w:r>
      <w:r>
        <w:rPr>
          <w:rFonts w:hint="default" w:ascii="FangSong_GB2312" w:hAnsi="FangSong_GB2312" w:eastAsia="FangSong_GB2312" w:cs="FangSong_GB2312"/>
          <w:color w:val="000000"/>
          <w:kern w:val="2"/>
          <w:sz w:val="32"/>
          <w:szCs w:val="32"/>
          <w:lang w:val="en-US" w:eastAsia="zh-CN" w:bidi="ar"/>
        </w:rPr>
        <w:t>万元，其中工资福利支出</w:t>
      </w:r>
      <w:r>
        <w:rPr>
          <w:rFonts w:hint="eastAsia" w:ascii="FangSong_GB2312" w:hAnsi="FangSong_GB2312" w:eastAsia="FangSong_GB2312" w:cs="FangSong_GB2312"/>
          <w:color w:val="000000"/>
          <w:kern w:val="2"/>
          <w:sz w:val="32"/>
          <w:szCs w:val="32"/>
          <w:lang w:val="en-US" w:eastAsia="zh-CN" w:bidi="ar"/>
        </w:rPr>
        <w:t>943.66</w:t>
      </w:r>
      <w:r>
        <w:rPr>
          <w:rFonts w:hint="default" w:ascii="FangSong_GB2312" w:hAnsi="FangSong_GB2312" w:eastAsia="FangSong_GB2312" w:cs="FangSong_GB2312"/>
          <w:color w:val="000000"/>
          <w:kern w:val="2"/>
          <w:sz w:val="32"/>
          <w:szCs w:val="32"/>
          <w:lang w:val="en-US" w:eastAsia="zh-CN" w:bidi="ar"/>
        </w:rPr>
        <w:t>万元，商品和服务支出</w:t>
      </w:r>
      <w:r>
        <w:rPr>
          <w:rFonts w:hint="eastAsia" w:ascii="FangSong_GB2312" w:hAnsi="FangSong_GB2312" w:eastAsia="FangSong_GB2312" w:cs="FangSong_GB2312"/>
          <w:color w:val="000000"/>
          <w:kern w:val="2"/>
          <w:sz w:val="32"/>
          <w:szCs w:val="32"/>
          <w:lang w:val="en-US" w:eastAsia="zh-CN" w:bidi="ar"/>
        </w:rPr>
        <w:t>440.64</w:t>
      </w:r>
      <w:r>
        <w:rPr>
          <w:rFonts w:hint="default" w:ascii="FangSong_GB2312" w:hAnsi="FangSong_GB2312" w:eastAsia="FangSong_GB2312" w:cs="FangSong_GB2312"/>
          <w:color w:val="000000"/>
          <w:kern w:val="2"/>
          <w:sz w:val="32"/>
          <w:szCs w:val="32"/>
          <w:lang w:val="en-US" w:eastAsia="zh-CN" w:bidi="ar"/>
        </w:rPr>
        <w:t>万元，对个人和家庭补助支出</w:t>
      </w:r>
      <w:r>
        <w:rPr>
          <w:rFonts w:hint="eastAsia" w:ascii="FangSong_GB2312" w:hAnsi="FangSong_GB2312" w:eastAsia="FangSong_GB2312" w:cs="FangSong_GB2312"/>
          <w:color w:val="000000"/>
          <w:kern w:val="2"/>
          <w:sz w:val="32"/>
          <w:szCs w:val="32"/>
          <w:lang w:val="en-US" w:eastAsia="zh-CN" w:bidi="ar"/>
        </w:rPr>
        <w:t>38.36</w:t>
      </w:r>
      <w:r>
        <w:rPr>
          <w:rFonts w:hint="default" w:ascii="FangSong_GB2312" w:hAnsi="FangSong_GB2312" w:eastAsia="FangSong_GB2312" w:cs="FangSong_GB2312"/>
          <w:color w:val="000000"/>
          <w:kern w:val="2"/>
          <w:sz w:val="32"/>
          <w:szCs w:val="32"/>
          <w:lang w:val="en-US" w:eastAsia="zh-CN" w:bidi="ar"/>
        </w:rPr>
        <w:t>万元</w:t>
      </w:r>
      <w:r>
        <w:rPr>
          <w:rFonts w:hint="eastAsia" w:ascii="FangSong_GB2312" w:hAnsi="FangSong_GB2312" w:eastAsia="FangSong_GB2312" w:cs="FangSong_GB2312"/>
          <w:color w:val="000000"/>
          <w:kern w:val="2"/>
          <w:sz w:val="32"/>
          <w:szCs w:val="32"/>
          <w:lang w:val="en-US" w:eastAsia="zh-CN" w:bidi="ar"/>
        </w:rPr>
        <w:t>，资本性支出7.5万元</w:t>
      </w:r>
      <w:r>
        <w:rPr>
          <w:rFonts w:hint="default" w:ascii="FangSong_GB2312" w:hAnsi="FangSong_GB2312" w:eastAsia="FangSong_GB2312" w:cs="FangSong_GB2312"/>
          <w:color w:val="000000"/>
          <w:kern w:val="2"/>
          <w:sz w:val="32"/>
          <w:szCs w:val="32"/>
          <w:lang w:val="en-US" w:eastAsia="zh-CN" w:bidi="ar"/>
        </w:rPr>
        <w:t>。</w:t>
      </w:r>
    </w:p>
    <w:p>
      <w:pPr>
        <w:numPr>
          <w:ilvl w:val="0"/>
          <w:numId w:val="2"/>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pPr>
        <w:numPr>
          <w:ilvl w:val="0"/>
          <w:numId w:val="0"/>
        </w:numPr>
        <w:tabs>
          <w:tab w:val="left" w:pos="7560"/>
        </w:tabs>
        <w:adjustRightInd w:val="0"/>
        <w:snapToGrid w:val="0"/>
        <w:spacing w:line="560" w:lineRule="exact"/>
        <w:rPr>
          <w:rFonts w:ascii="黑体" w:hAnsi="黑体" w:eastAsia="黑体"/>
          <w:sz w:val="32"/>
          <w:szCs w:val="32"/>
        </w:rPr>
      </w:pPr>
      <w:r>
        <w:rPr>
          <w:rFonts w:hint="eastAsia" w:ascii="FangSong_GB2312" w:hAnsi="FangSong_GB2312" w:eastAsia="FangSong_GB2312" w:cs="FangSong_GB2312"/>
          <w:color w:val="000000"/>
          <w:kern w:val="2"/>
          <w:sz w:val="32"/>
          <w:szCs w:val="32"/>
          <w:lang w:val="en-US" w:eastAsia="zh-CN" w:bidi="ar"/>
        </w:rPr>
        <w:t xml:space="preserve">    本年度</w:t>
      </w:r>
      <w:r>
        <w:rPr>
          <w:rFonts w:hint="default" w:ascii="FangSong_GB2312" w:hAnsi="FangSong_GB2312" w:eastAsia="FangSong_GB2312" w:cs="FangSong_GB2312"/>
          <w:color w:val="000000"/>
          <w:kern w:val="2"/>
          <w:sz w:val="32"/>
          <w:szCs w:val="32"/>
          <w:lang w:val="en-US" w:eastAsia="zh-CN" w:bidi="ar"/>
        </w:rPr>
        <w:t>一般公共预算财政拨款</w:t>
      </w:r>
      <w:r>
        <w:rPr>
          <w:rFonts w:hint="eastAsia" w:ascii="FangSong_GB2312" w:hAnsi="FangSong_GB2312" w:eastAsia="FangSong_GB2312" w:cs="FangSong_GB2312"/>
          <w:color w:val="000000"/>
          <w:kern w:val="2"/>
          <w:sz w:val="32"/>
          <w:szCs w:val="32"/>
          <w:lang w:val="en-US" w:eastAsia="zh-CN" w:bidi="ar"/>
        </w:rPr>
        <w:t>项目支出1030.02</w:t>
      </w:r>
      <w:r>
        <w:rPr>
          <w:rFonts w:hint="default" w:ascii="FangSong_GB2312" w:hAnsi="FangSong_GB2312" w:eastAsia="FangSong_GB2312" w:cs="FangSong_GB2312"/>
          <w:color w:val="000000"/>
          <w:kern w:val="2"/>
          <w:sz w:val="32"/>
          <w:szCs w:val="32"/>
          <w:lang w:val="en-US" w:eastAsia="zh-CN" w:bidi="ar"/>
        </w:rPr>
        <w:t>万元，</w:t>
      </w:r>
      <w:r>
        <w:rPr>
          <w:rFonts w:hint="eastAsia" w:ascii="FangSong_GB2312" w:hAnsi="FangSong_GB2312" w:eastAsia="FangSong_GB2312" w:cs="FangSong_GB2312"/>
          <w:color w:val="000000"/>
          <w:kern w:val="2"/>
          <w:sz w:val="32"/>
          <w:szCs w:val="32"/>
          <w:lang w:val="en-US" w:eastAsia="zh-CN" w:bidi="ar"/>
        </w:rPr>
        <w:t>主要包括财政投资项目评审费、财政事务专项经费、国有资产管理工作经费支出、化债工作经费、预算一体化工作经费、财政业务补助经费、非税收入专项资金等。</w:t>
      </w:r>
    </w:p>
    <w:p>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、国有资本经营预算支出情况</w:t>
      </w:r>
    </w:p>
    <w:p>
      <w:pPr>
        <w:numPr>
          <w:ilvl w:val="0"/>
          <w:numId w:val="0"/>
        </w:numPr>
        <w:tabs>
          <w:tab w:val="left" w:pos="7560"/>
        </w:tabs>
        <w:adjustRightInd w:val="0"/>
        <w:snapToGrid w:val="0"/>
        <w:spacing w:line="560" w:lineRule="exact"/>
        <w:rPr>
          <w:rFonts w:hint="eastAsia" w:ascii="黑体" w:hAnsi="黑体" w:eastAsia="黑体"/>
          <w:sz w:val="32"/>
          <w:szCs w:val="32"/>
        </w:rPr>
      </w:pPr>
      <w:r>
        <w:rPr>
          <w:rFonts w:hint="eastAsia" w:ascii="FangSong_GB2312" w:hAnsi="FangSong_GB2312" w:eastAsia="FangSong_GB2312" w:cs="FangSong_GB2312"/>
          <w:color w:val="000000"/>
          <w:kern w:val="2"/>
          <w:sz w:val="32"/>
          <w:szCs w:val="32"/>
          <w:lang w:val="en-US" w:eastAsia="zh-CN" w:bidi="ar"/>
        </w:rPr>
        <w:t xml:space="preserve">    本年度</w:t>
      </w:r>
      <w:r>
        <w:rPr>
          <w:rFonts w:hint="default" w:ascii="FangSong_GB2312" w:hAnsi="FangSong_GB2312" w:eastAsia="FangSong_GB2312" w:cs="FangSong_GB2312"/>
          <w:color w:val="000000"/>
          <w:kern w:val="2"/>
          <w:sz w:val="32"/>
          <w:szCs w:val="32"/>
          <w:lang w:val="en-US" w:eastAsia="zh-CN" w:bidi="ar"/>
        </w:rPr>
        <w:t>一般公共预算财政拨款</w:t>
      </w:r>
      <w:r>
        <w:rPr>
          <w:rFonts w:hint="eastAsia" w:ascii="FangSong_GB2312" w:hAnsi="FangSong_GB2312" w:eastAsia="FangSong_GB2312" w:cs="FangSong_GB2312"/>
          <w:color w:val="000000"/>
          <w:kern w:val="2"/>
          <w:sz w:val="32"/>
          <w:szCs w:val="32"/>
          <w:lang w:val="en-US" w:eastAsia="zh-CN" w:bidi="ar"/>
        </w:rPr>
        <w:t>项目支出491.26</w:t>
      </w:r>
      <w:r>
        <w:rPr>
          <w:rFonts w:hint="default" w:ascii="FangSong_GB2312" w:hAnsi="FangSong_GB2312" w:eastAsia="FangSong_GB2312" w:cs="FangSong_GB2312"/>
          <w:color w:val="000000"/>
          <w:kern w:val="2"/>
          <w:sz w:val="32"/>
          <w:szCs w:val="32"/>
          <w:lang w:val="en-US" w:eastAsia="zh-CN" w:bidi="ar"/>
        </w:rPr>
        <w:t>万元，</w:t>
      </w:r>
      <w:r>
        <w:rPr>
          <w:rFonts w:hint="eastAsia" w:ascii="FangSong_GB2312" w:hAnsi="FangSong_GB2312" w:eastAsia="FangSong_GB2312" w:cs="FangSong_GB2312"/>
          <w:color w:val="000000"/>
          <w:kern w:val="2"/>
          <w:sz w:val="32"/>
          <w:szCs w:val="32"/>
          <w:lang w:val="en-US" w:eastAsia="zh-CN" w:bidi="ar"/>
        </w:rPr>
        <w:t>主要包括株洲市第三水泥厂职工缴纳社保单位部分经费和缴纳印花税经费。</w:t>
      </w:r>
    </w:p>
    <w:p>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、资金使用及绩效情况</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pPr>
        <w:keepNext w:val="0"/>
        <w:keepLines w:val="0"/>
        <w:widowControl w:val="0"/>
        <w:suppressLineNumbers w:val="0"/>
        <w:spacing w:before="0" w:beforeAutospacing="0" w:after="0" w:afterAutospacing="0" w:line="600" w:lineRule="exact"/>
        <w:ind w:left="0" w:right="0" w:firstLine="640" w:firstLineChars="200"/>
        <w:jc w:val="both"/>
        <w:rPr>
          <w:rFonts w:ascii="仿宋_GB2312" w:eastAsia="仿宋_GB2312"/>
          <w:sz w:val="32"/>
          <w:szCs w:val="32"/>
        </w:rPr>
      </w:pPr>
      <w:r>
        <w:rPr>
          <w:rFonts w:hint="eastAsia" w:ascii="FangSong_GB2312" w:hAnsi="FangSong_GB2312" w:eastAsia="FangSong_GB2312" w:cs="FangSong_GB2312"/>
          <w:color w:val="000000"/>
          <w:kern w:val="2"/>
          <w:sz w:val="32"/>
          <w:szCs w:val="32"/>
          <w:lang w:val="en-US" w:eastAsia="zh-CN" w:bidi="ar"/>
        </w:rPr>
        <w:t>渌口区财政局2024年度较好地完成了年度绩效目标制定的各项工作任务，根据部门整体支出绩效自评指标表细则，部门整体支出绩效自评得分为96分。在区委、区政府的正确领导下，渌口区财政奋发向上，主动作为，取得较大成绩，稳定了收入基本盘，防范化解债务风险，支出保障张弛有度，财政改革推陈出新。部门整体支出绩效情况如下：预算配置控制较好，预算执行比较到位，预算管理较理想，制度执行总体较为有效，三公经费总体控制较好，资金使用合规，支出符合国家财经法规和财务管理制度规定以及有关专项资金管理办法的规定；资金拨付有完整的审批程序和手续；项目支出按规定经过评估论证；支出符合部门预算批复的用途；资金使用无截留、挤占、挪用、虚列支出等情况；对公共财产物资实行统一管理、统一调配。渌口区财政通过立足规范高效，财政管理推陈出新不断拓展财政管理的深度和广度，立规矩、建机制、明底线、提绩效，推动构建规范化法治化的财政格局。</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1.年初预算项目“财政投资项目评审费</w:t>
      </w:r>
      <w:r>
        <w:rPr>
          <w:rFonts w:hint="eastAsia" w:ascii="仿宋_GB2312" w:eastAsia="仿宋_GB2312"/>
          <w:sz w:val="32"/>
          <w:szCs w:val="32"/>
          <w:lang w:eastAsia="zh-CN"/>
        </w:rPr>
        <w:t>”</w:t>
      </w:r>
      <w:r>
        <w:rPr>
          <w:rFonts w:hint="eastAsia" w:ascii="仿宋_GB2312" w:eastAsia="仿宋_GB2312"/>
          <w:sz w:val="32"/>
          <w:szCs w:val="32"/>
        </w:rPr>
        <w:t>，年中执行调减</w:t>
      </w:r>
      <w:r>
        <w:rPr>
          <w:rFonts w:hint="eastAsia" w:ascii="仿宋_GB2312" w:eastAsia="仿宋_GB2312"/>
          <w:sz w:val="32"/>
          <w:szCs w:val="32"/>
          <w:lang w:val="en-US" w:eastAsia="zh-CN"/>
        </w:rPr>
        <w:t>50</w:t>
      </w:r>
      <w:r>
        <w:rPr>
          <w:rFonts w:hint="eastAsia" w:ascii="仿宋_GB2312" w:eastAsia="仿宋_GB2312"/>
          <w:sz w:val="32"/>
          <w:szCs w:val="32"/>
        </w:rPr>
        <w:t>万元，实际支出</w:t>
      </w:r>
      <w:r>
        <w:rPr>
          <w:rFonts w:hint="eastAsia" w:ascii="仿宋_GB2312" w:eastAsia="仿宋_GB2312"/>
          <w:sz w:val="32"/>
          <w:szCs w:val="32"/>
          <w:lang w:val="en-US" w:eastAsia="zh-CN"/>
        </w:rPr>
        <w:t>446.38</w:t>
      </w:r>
      <w:r>
        <w:rPr>
          <w:rFonts w:hint="eastAsia" w:ascii="仿宋_GB2312" w:eastAsia="仿宋_GB2312"/>
          <w:sz w:val="32"/>
          <w:szCs w:val="32"/>
        </w:rPr>
        <w:t>万元。年初预算项目“财政事务专项经费</w:t>
      </w:r>
      <w:r>
        <w:rPr>
          <w:rFonts w:hint="eastAsia" w:ascii="仿宋_GB2312" w:eastAsia="仿宋_GB2312"/>
          <w:sz w:val="32"/>
          <w:szCs w:val="32"/>
          <w:lang w:eastAsia="zh-CN"/>
        </w:rPr>
        <w:t>”</w:t>
      </w:r>
      <w:r>
        <w:rPr>
          <w:rFonts w:hint="eastAsia" w:ascii="仿宋_GB2312" w:eastAsia="仿宋_GB2312"/>
          <w:sz w:val="32"/>
          <w:szCs w:val="32"/>
        </w:rPr>
        <w:t>，实际支出</w:t>
      </w:r>
      <w:r>
        <w:rPr>
          <w:rFonts w:hint="eastAsia" w:ascii="仿宋_GB2312" w:eastAsia="仿宋_GB2312"/>
          <w:sz w:val="32"/>
          <w:szCs w:val="32"/>
          <w:lang w:val="en-US" w:eastAsia="zh-CN"/>
        </w:rPr>
        <w:t>120</w:t>
      </w:r>
      <w:r>
        <w:rPr>
          <w:rFonts w:hint="eastAsia" w:ascii="仿宋_GB2312" w:eastAsia="仿宋_GB2312"/>
          <w:sz w:val="32"/>
          <w:szCs w:val="32"/>
        </w:rPr>
        <w:t>万元。项目实施及绩效情况如下：</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（1）财政投资项目评审费项目</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446.38</w:t>
      </w:r>
      <w:r>
        <w:rPr>
          <w:rFonts w:hint="eastAsia" w:ascii="仿宋_GB2312" w:eastAsia="仿宋_GB2312"/>
          <w:sz w:val="32"/>
          <w:szCs w:val="32"/>
        </w:rPr>
        <w:t>万元，主要用于保障年度财政投资评审工作正常运转，保障预算单位送达的项目评审材料能够及时评审，保障评审程序公开公平公正、评审活动依法依规依政策、评审结论经得起核查。</w:t>
      </w:r>
      <w:r>
        <w:rPr>
          <w:rFonts w:hint="eastAsia" w:ascii="仿宋_GB2312" w:eastAsia="仿宋_GB2312"/>
          <w:sz w:val="32"/>
          <w:szCs w:val="32"/>
          <w:lang w:eastAsia="zh-CN"/>
        </w:rPr>
        <w:t>该项目完成</w:t>
      </w:r>
      <w:r>
        <w:rPr>
          <w:rFonts w:hint="eastAsia" w:ascii="仿宋_GB2312" w:eastAsia="仿宋_GB2312"/>
          <w:sz w:val="32"/>
          <w:szCs w:val="32"/>
        </w:rPr>
        <w:t>审核项目</w:t>
      </w:r>
      <w:bookmarkStart w:id="0" w:name="_GoBack"/>
      <w:bookmarkEnd w:id="0"/>
      <w:r>
        <w:rPr>
          <w:rFonts w:hint="eastAsia" w:ascii="仿宋_GB2312" w:eastAsia="仿宋_GB2312"/>
          <w:sz w:val="32"/>
          <w:szCs w:val="32"/>
        </w:rPr>
        <w:t>数量287个，项目定案金额复核差错率﹤3%，财政评审专项工作完成及时率100%，节约财政资金25092万元，有效营造了公开公平公正评审环境，较好地完成了年度绩效目标制定的各项工作任务。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（2）财政事务专项经费项目</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120</w:t>
      </w:r>
      <w:r>
        <w:rPr>
          <w:rFonts w:hint="eastAsia" w:ascii="仿宋_GB2312" w:eastAsia="仿宋_GB2312"/>
          <w:sz w:val="32"/>
          <w:szCs w:val="32"/>
        </w:rPr>
        <w:t>万元，主要用于保证预算一体化等财政系统及软件稳定、安全、高效的运行，加强政府采购信息化建设，做好政府采购电子卖场推广实施。</w:t>
      </w:r>
      <w:r>
        <w:rPr>
          <w:rFonts w:hint="eastAsia" w:ascii="仿宋_GB2312" w:eastAsia="仿宋_GB2312"/>
          <w:sz w:val="32"/>
          <w:szCs w:val="32"/>
          <w:lang w:eastAsia="zh-CN"/>
        </w:rPr>
        <w:t>该项目完成电子卖场采购单位入驻率</w:t>
      </w:r>
      <w:r>
        <w:rPr>
          <w:rFonts w:hint="eastAsia" w:ascii="仿宋_GB2312" w:eastAsia="仿宋_GB2312"/>
          <w:sz w:val="32"/>
          <w:szCs w:val="32"/>
          <w:lang w:val="en-US" w:eastAsia="zh-CN"/>
        </w:rPr>
        <w:t>100%</w:t>
      </w:r>
      <w:r>
        <w:rPr>
          <w:rFonts w:hint="eastAsia" w:ascii="仿宋_GB2312" w:eastAsia="仿宋_GB2312"/>
          <w:sz w:val="32"/>
          <w:szCs w:val="32"/>
        </w:rPr>
        <w:t>，财政系统安全保障率</w:t>
      </w:r>
      <w:r>
        <w:rPr>
          <w:rFonts w:hint="eastAsia" w:ascii="仿宋_GB2312" w:eastAsia="仿宋_GB2312"/>
          <w:sz w:val="32"/>
          <w:szCs w:val="32"/>
          <w:lang w:val="en-US" w:eastAsia="zh-CN"/>
        </w:rPr>
        <w:t>100%，财政专网维修效率100%，提高了政府采购工作效率，保障了财政系统稳定、安全、高效运行，</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2.年中追加项目</w:t>
      </w:r>
      <w:r>
        <w:rPr>
          <w:rFonts w:hint="eastAsia" w:ascii="仿宋_GB2312" w:eastAsia="仿宋_GB2312"/>
          <w:sz w:val="32"/>
          <w:szCs w:val="32"/>
          <w:lang w:val="en-US" w:eastAsia="zh-CN"/>
        </w:rPr>
        <w:t>13</w:t>
      </w:r>
      <w:r>
        <w:rPr>
          <w:rFonts w:hint="eastAsia" w:ascii="仿宋_GB2312" w:eastAsia="仿宋_GB2312"/>
          <w:sz w:val="32"/>
          <w:szCs w:val="32"/>
          <w:lang w:eastAsia="zh-CN"/>
        </w:rPr>
        <w:t>个</w:t>
      </w:r>
      <w:r>
        <w:rPr>
          <w:rFonts w:hint="eastAsia" w:ascii="仿宋_GB2312" w:eastAsia="仿宋_GB2312"/>
          <w:sz w:val="32"/>
          <w:szCs w:val="32"/>
        </w:rPr>
        <w:t>，实际支出</w:t>
      </w:r>
      <w:r>
        <w:rPr>
          <w:rFonts w:hint="eastAsia" w:ascii="仿宋_GB2312" w:eastAsia="仿宋_GB2312"/>
          <w:sz w:val="32"/>
          <w:szCs w:val="32"/>
          <w:lang w:val="en-US" w:eastAsia="zh-CN"/>
        </w:rPr>
        <w:t>954.9</w:t>
      </w:r>
      <w:r>
        <w:rPr>
          <w:rFonts w:hint="eastAsia" w:ascii="仿宋_GB2312" w:eastAsia="仿宋_GB2312"/>
          <w:sz w:val="32"/>
          <w:szCs w:val="32"/>
        </w:rPr>
        <w:t>万元。项目实施及绩效情况如下：</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（1）财政专网运维经费、政府采购第三方服务费、绩效管理项目</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0.78万元，主要用于保证财政系统及软件稳定、安全、高效的运行，加强政府采购信息化建设，做好政府采购电子卖场推广实施，全面实施预算绩效管理各项工作，服务预算管理大局，推动预算绩效管理提质增效。</w:t>
      </w:r>
      <w:r>
        <w:rPr>
          <w:rFonts w:hint="eastAsia" w:ascii="仿宋_GB2312" w:eastAsia="仿宋_GB2312"/>
          <w:sz w:val="32"/>
          <w:szCs w:val="32"/>
          <w:lang w:eastAsia="zh-CN"/>
        </w:rPr>
        <w:t>该项目完成财政设备及线路及时维修率</w:t>
      </w:r>
      <w:r>
        <w:rPr>
          <w:rFonts w:hint="eastAsia" w:ascii="仿宋_GB2312" w:eastAsia="仿宋_GB2312"/>
          <w:sz w:val="32"/>
          <w:szCs w:val="32"/>
          <w:lang w:val="en-US" w:eastAsia="zh-CN"/>
        </w:rPr>
        <w:t>100%，绩效评价完成数量16个，信息安全事故零起</w:t>
      </w:r>
      <w:r>
        <w:rPr>
          <w:rFonts w:hint="eastAsia" w:ascii="仿宋_GB2312" w:eastAsia="仿宋_GB2312"/>
          <w:sz w:val="32"/>
          <w:szCs w:val="32"/>
          <w:lang w:eastAsia="zh-CN"/>
        </w:rPr>
        <w:t>，资金拨付及时率</w:t>
      </w:r>
      <w:r>
        <w:rPr>
          <w:rFonts w:hint="eastAsia" w:ascii="仿宋_GB2312" w:eastAsia="仿宋_GB2312"/>
          <w:sz w:val="32"/>
          <w:szCs w:val="32"/>
          <w:lang w:val="en-US" w:eastAsia="zh-CN"/>
        </w:rPr>
        <w:t>100%，保障了业务系统运行稳定，问题能及时解决，财政专网运行顺畅，故障能按时排除，数据保护安全，</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（2）2022年省级财政业务补助经费项目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w:t>
      </w:r>
      <w:r>
        <w:rPr>
          <w:rFonts w:hint="eastAsia" w:ascii="仿宋_GB2312" w:eastAsia="仿宋_GB2312"/>
          <w:sz w:val="32"/>
          <w:szCs w:val="32"/>
        </w:rPr>
        <w:t>万元，主要用于组织干部培训，确保财政各项措施精准落地，强化干部业务实操能力，优化财政管理效能，强化干部风险防控与合规意识。</w:t>
      </w:r>
      <w:r>
        <w:rPr>
          <w:rFonts w:hint="eastAsia" w:ascii="仿宋_GB2312" w:eastAsia="仿宋_GB2312"/>
          <w:sz w:val="32"/>
          <w:szCs w:val="32"/>
          <w:lang w:eastAsia="zh-CN"/>
        </w:rPr>
        <w:t>该项目完成培训次数</w:t>
      </w:r>
      <w:r>
        <w:rPr>
          <w:rFonts w:hint="eastAsia" w:ascii="仿宋_GB2312" w:eastAsia="仿宋_GB2312"/>
          <w:sz w:val="32"/>
          <w:szCs w:val="32"/>
          <w:lang w:val="en-US" w:eastAsia="zh-CN"/>
        </w:rPr>
        <w:t>3次，培训覆盖率100%</w:t>
      </w:r>
      <w:r>
        <w:rPr>
          <w:rFonts w:hint="eastAsia" w:ascii="仿宋_GB2312" w:eastAsia="仿宋_GB2312"/>
          <w:sz w:val="32"/>
          <w:szCs w:val="32"/>
          <w:lang w:eastAsia="zh-CN"/>
        </w:rPr>
        <w:t>，培训出勤率98%，培训计划按期完成率100%，有效提高了财务人员业务水平，</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）2023年财政业务补助经费项目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w:t>
      </w:r>
      <w:r>
        <w:rPr>
          <w:rFonts w:hint="eastAsia" w:ascii="仿宋_GB2312" w:eastAsia="仿宋_GB2312"/>
          <w:sz w:val="32"/>
          <w:szCs w:val="32"/>
        </w:rPr>
        <w:t>万元，主要用于组织干部培训，确保财政各项措施精准落地，强化干部业务实操能力，优化财政管理效能，强化干部风险防控与合规意识。</w:t>
      </w:r>
      <w:r>
        <w:rPr>
          <w:rFonts w:hint="eastAsia" w:ascii="仿宋_GB2312" w:eastAsia="仿宋_GB2312"/>
          <w:sz w:val="32"/>
          <w:szCs w:val="32"/>
          <w:lang w:eastAsia="zh-CN"/>
        </w:rPr>
        <w:t>该项目完成培训次数</w:t>
      </w:r>
      <w:r>
        <w:rPr>
          <w:rFonts w:hint="eastAsia" w:ascii="仿宋_GB2312" w:eastAsia="仿宋_GB2312"/>
          <w:sz w:val="32"/>
          <w:szCs w:val="32"/>
          <w:lang w:val="en-US" w:eastAsia="zh-CN"/>
        </w:rPr>
        <w:t>3次，培训人次550人</w:t>
      </w:r>
      <w:r>
        <w:rPr>
          <w:rFonts w:hint="eastAsia" w:ascii="仿宋_GB2312" w:eastAsia="仿宋_GB2312"/>
          <w:sz w:val="32"/>
          <w:szCs w:val="32"/>
          <w:lang w:eastAsia="zh-CN"/>
        </w:rPr>
        <w:t>，培训出勤率98%，培训计划按期完成率100%，有效提高了干部综合素质，</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）财政业务补助经费项目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18.14</w:t>
      </w:r>
      <w:r>
        <w:rPr>
          <w:rFonts w:hint="eastAsia" w:ascii="仿宋_GB2312" w:eastAsia="仿宋_GB2312"/>
          <w:sz w:val="32"/>
          <w:szCs w:val="32"/>
        </w:rPr>
        <w:t>万元，主要用于做好政府采购工作，保障财政非税系统稳定、安全、高效运行，完成2024年度我区隐性债务化解任务9.25亿元，确保隐债不新增、资金不断链、债务不逾期，有效防范化解了债务风险等。</w:t>
      </w:r>
      <w:r>
        <w:rPr>
          <w:rFonts w:hint="eastAsia" w:ascii="仿宋_GB2312" w:eastAsia="仿宋_GB2312"/>
          <w:sz w:val="32"/>
          <w:szCs w:val="32"/>
          <w:lang w:eastAsia="zh-CN"/>
        </w:rPr>
        <w:t>该项目完成预算单位电子卖场采购覆盖率</w:t>
      </w:r>
      <w:r>
        <w:rPr>
          <w:rFonts w:hint="eastAsia" w:ascii="仿宋_GB2312" w:eastAsia="仿宋_GB2312"/>
          <w:sz w:val="32"/>
          <w:szCs w:val="32"/>
          <w:lang w:val="en-US" w:eastAsia="zh-CN"/>
        </w:rPr>
        <w:t>100%</w:t>
      </w:r>
      <w:r>
        <w:rPr>
          <w:rFonts w:hint="eastAsia" w:ascii="仿宋_GB2312" w:eastAsia="仿宋_GB2312"/>
          <w:sz w:val="32"/>
          <w:szCs w:val="32"/>
          <w:lang w:eastAsia="zh-CN"/>
        </w:rPr>
        <w:t>，保障了财政系统安全高效运转，项目验收合格率</w:t>
      </w:r>
      <w:r>
        <w:rPr>
          <w:rFonts w:hint="eastAsia" w:ascii="仿宋_GB2312" w:eastAsia="仿宋_GB2312"/>
          <w:sz w:val="32"/>
          <w:szCs w:val="32"/>
          <w:lang w:val="en-US" w:eastAsia="zh-CN"/>
        </w:rPr>
        <w:t>100%，各项工作任务完成及时率100%，2024年度隐性债务化解13.28亿元，保障了全区各单位非税收入票据申领需求</w:t>
      </w:r>
      <w:r>
        <w:rPr>
          <w:rFonts w:hint="eastAsia" w:ascii="仿宋_GB2312" w:eastAsia="仿宋_GB2312"/>
          <w:sz w:val="32"/>
          <w:szCs w:val="32"/>
          <w:lang w:eastAsia="zh-CN"/>
        </w:rPr>
        <w:t>，</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）国有资产管理工作经费支出项目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7.77</w:t>
      </w:r>
      <w:r>
        <w:rPr>
          <w:rFonts w:hint="eastAsia" w:ascii="仿宋_GB2312" w:eastAsia="仿宋_GB2312"/>
          <w:sz w:val="32"/>
          <w:szCs w:val="32"/>
        </w:rPr>
        <w:t>万元，主要用于保障国资门面日常维修；保障年度资产报表准确、及时上报；保障国有企业年度考核科学、及时进行；保障临时性、紧急性国有资产评估、审计及时完成。</w:t>
      </w:r>
      <w:r>
        <w:rPr>
          <w:rFonts w:hint="eastAsia" w:ascii="仿宋_GB2312" w:eastAsia="仿宋_GB2312"/>
          <w:sz w:val="32"/>
          <w:szCs w:val="32"/>
          <w:lang w:eastAsia="zh-CN"/>
        </w:rPr>
        <w:t>该项目完成国资门面数</w:t>
      </w:r>
      <w:r>
        <w:rPr>
          <w:rFonts w:hint="eastAsia" w:ascii="仿宋_GB2312" w:eastAsia="仿宋_GB2312"/>
          <w:sz w:val="32"/>
          <w:szCs w:val="32"/>
          <w:lang w:val="en-US" w:eastAsia="zh-CN"/>
        </w:rPr>
        <w:t>164个</w:t>
      </w:r>
      <w:r>
        <w:rPr>
          <w:rFonts w:hint="eastAsia" w:ascii="仿宋_GB2312" w:eastAsia="仿宋_GB2312"/>
          <w:sz w:val="32"/>
          <w:szCs w:val="32"/>
          <w:lang w:eastAsia="zh-CN"/>
        </w:rPr>
        <w:t>，年度资产报表上报准确，工作完成及时率</w:t>
      </w:r>
      <w:r>
        <w:rPr>
          <w:rFonts w:hint="eastAsia" w:ascii="仿宋_GB2312" w:eastAsia="仿宋_GB2312"/>
          <w:sz w:val="32"/>
          <w:szCs w:val="32"/>
          <w:lang w:val="en-US" w:eastAsia="zh-CN"/>
        </w:rPr>
        <w:t>100%，保障国资门面日常维修，完成租金任务基数173.04万元，有效保障国有企业年度考核进行</w:t>
      </w:r>
      <w:r>
        <w:rPr>
          <w:rFonts w:hint="eastAsia" w:ascii="仿宋_GB2312" w:eastAsia="仿宋_GB2312"/>
          <w:sz w:val="32"/>
          <w:szCs w:val="32"/>
          <w:lang w:eastAsia="zh-CN"/>
        </w:rPr>
        <w:t>，</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）非税收入专项资金项目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246</w:t>
      </w:r>
      <w:r>
        <w:rPr>
          <w:rFonts w:hint="eastAsia" w:ascii="仿宋_GB2312" w:eastAsia="仿宋_GB2312"/>
          <w:sz w:val="32"/>
          <w:szCs w:val="32"/>
        </w:rPr>
        <w:t>万元，主要用于继续严格执行非税收入收缴月报制度，认真分析非税收入规模及增长变化情况。完善部门协作，加强与税务及相关执收部门的沟通协调，积极挖掘非税收入潜力，推进非税收入提质增量。严格管理已缴入的非税收入，按规定办理缴库手续，提高财政资金的使用效益。</w:t>
      </w:r>
      <w:r>
        <w:rPr>
          <w:rFonts w:hint="eastAsia" w:ascii="仿宋_GB2312" w:eastAsia="仿宋_GB2312"/>
          <w:sz w:val="32"/>
          <w:szCs w:val="32"/>
          <w:lang w:eastAsia="zh-CN"/>
        </w:rPr>
        <w:t>该项目完成组织非税系统稳定性测试</w:t>
      </w:r>
      <w:r>
        <w:rPr>
          <w:rFonts w:hint="eastAsia" w:ascii="仿宋_GB2312" w:eastAsia="仿宋_GB2312"/>
          <w:sz w:val="32"/>
          <w:szCs w:val="32"/>
          <w:lang w:val="en-US" w:eastAsia="zh-CN"/>
        </w:rPr>
        <w:t>2次，积极有效挖掘了非税收入潜力</w:t>
      </w:r>
      <w:r>
        <w:rPr>
          <w:rFonts w:hint="eastAsia" w:ascii="仿宋_GB2312" w:eastAsia="仿宋_GB2312"/>
          <w:sz w:val="32"/>
          <w:szCs w:val="32"/>
          <w:lang w:eastAsia="zh-CN"/>
        </w:rPr>
        <w:t>，各项工作完成及时率</w:t>
      </w:r>
      <w:r>
        <w:rPr>
          <w:rFonts w:hint="eastAsia" w:ascii="仿宋_GB2312" w:eastAsia="仿宋_GB2312"/>
          <w:sz w:val="32"/>
          <w:szCs w:val="32"/>
          <w:lang w:val="en-US" w:eastAsia="zh-CN"/>
        </w:rPr>
        <w:t>100%，保障了全区各单位非税收入票据申领需求，提高了财政资金的使用效益</w:t>
      </w:r>
      <w:r>
        <w:rPr>
          <w:rFonts w:hint="eastAsia" w:ascii="仿宋_GB2312" w:eastAsia="仿宋_GB2312"/>
          <w:sz w:val="32"/>
          <w:szCs w:val="32"/>
          <w:lang w:eastAsia="zh-CN"/>
        </w:rPr>
        <w:t>，</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）预算一体化项目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35</w:t>
      </w:r>
      <w:r>
        <w:rPr>
          <w:rFonts w:hint="eastAsia" w:ascii="仿宋_GB2312" w:eastAsia="仿宋_GB2312"/>
          <w:sz w:val="32"/>
          <w:szCs w:val="32"/>
        </w:rPr>
        <w:t>万元，主要用于强化预算约束，规范预算执行，掌握预算调整变更，实时监控预算执行，提升各级预算管理规范化、标准化和自动化水平。</w:t>
      </w:r>
      <w:r>
        <w:rPr>
          <w:rFonts w:hint="eastAsia" w:ascii="仿宋_GB2312" w:eastAsia="仿宋_GB2312"/>
          <w:sz w:val="32"/>
          <w:szCs w:val="32"/>
          <w:lang w:eastAsia="zh-CN"/>
        </w:rPr>
        <w:t>该项目完成电子支付覆盖率</w:t>
      </w:r>
      <w:r>
        <w:rPr>
          <w:rFonts w:hint="eastAsia" w:ascii="仿宋_GB2312" w:eastAsia="仿宋_GB2312"/>
          <w:sz w:val="32"/>
          <w:szCs w:val="32"/>
          <w:lang w:val="en-US" w:eastAsia="zh-CN"/>
        </w:rPr>
        <w:t>100%，系统安全保障率100%</w:t>
      </w:r>
      <w:r>
        <w:rPr>
          <w:rFonts w:hint="eastAsia" w:ascii="仿宋_GB2312" w:eastAsia="仿宋_GB2312"/>
          <w:sz w:val="32"/>
          <w:szCs w:val="32"/>
          <w:lang w:eastAsia="zh-CN"/>
        </w:rPr>
        <w:t>，资金拨付及时率</w:t>
      </w:r>
      <w:r>
        <w:rPr>
          <w:rFonts w:hint="eastAsia" w:ascii="仿宋_GB2312" w:eastAsia="仿宋_GB2312"/>
          <w:sz w:val="32"/>
          <w:szCs w:val="32"/>
          <w:lang w:val="en-US" w:eastAsia="zh-CN"/>
        </w:rPr>
        <w:t>100%，提升了财政资金审批效率，促进了无纸化办公，</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）国有企业财务信息管理费用项目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3.8</w:t>
      </w:r>
      <w:r>
        <w:rPr>
          <w:rFonts w:hint="eastAsia" w:ascii="仿宋_GB2312" w:eastAsia="仿宋_GB2312"/>
          <w:sz w:val="32"/>
          <w:szCs w:val="32"/>
        </w:rPr>
        <w:t>万元，2024年国有企业财务信息统计共有11家企业参与月报以及决算报表的填报。主要用于保障填报数据真实、准确、有效、及时的上报。</w:t>
      </w:r>
      <w:r>
        <w:rPr>
          <w:rFonts w:hint="eastAsia" w:ascii="仿宋_GB2312" w:eastAsia="仿宋_GB2312"/>
          <w:sz w:val="32"/>
          <w:szCs w:val="32"/>
          <w:lang w:eastAsia="zh-CN"/>
        </w:rPr>
        <w:t>该项目完成国有企业财务信息统计月度、决算报表填报单位数</w:t>
      </w:r>
      <w:r>
        <w:rPr>
          <w:rFonts w:hint="eastAsia" w:ascii="仿宋_GB2312" w:eastAsia="仿宋_GB2312"/>
          <w:sz w:val="32"/>
          <w:szCs w:val="32"/>
          <w:lang w:val="en-US" w:eastAsia="zh-CN"/>
        </w:rPr>
        <w:t>11家，国有企业财务信息统计填报准确</w:t>
      </w:r>
      <w:r>
        <w:rPr>
          <w:rFonts w:hint="eastAsia" w:ascii="仿宋_GB2312" w:eastAsia="仿宋_GB2312"/>
          <w:sz w:val="32"/>
          <w:szCs w:val="32"/>
          <w:lang w:eastAsia="zh-CN"/>
        </w:rPr>
        <w:t>，国有企业财务信息统计填报及时率</w:t>
      </w:r>
      <w:r>
        <w:rPr>
          <w:rFonts w:hint="eastAsia" w:ascii="仿宋_GB2312" w:eastAsia="仿宋_GB2312"/>
          <w:sz w:val="32"/>
          <w:szCs w:val="32"/>
          <w:lang w:val="en-US" w:eastAsia="zh-CN"/>
        </w:rPr>
        <w:t>100%，保障了国有企业年度考核进行，推动国有企业高质量发展</w:t>
      </w:r>
      <w:r>
        <w:rPr>
          <w:rFonts w:hint="eastAsia" w:ascii="仿宋_GB2312" w:eastAsia="仿宋_GB2312"/>
          <w:sz w:val="32"/>
          <w:szCs w:val="32"/>
          <w:lang w:eastAsia="zh-CN"/>
        </w:rPr>
        <w:t>，</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）债权核算申报工作经费项目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15.02</w:t>
      </w:r>
      <w:r>
        <w:rPr>
          <w:rFonts w:hint="eastAsia" w:ascii="仿宋_GB2312" w:eastAsia="仿宋_GB2312"/>
          <w:sz w:val="32"/>
          <w:szCs w:val="32"/>
        </w:rPr>
        <w:t>万元，主要用于按照合同约定及时支付惠天然城市公园项目债权申报报告工作经费。</w:t>
      </w:r>
      <w:r>
        <w:rPr>
          <w:rFonts w:hint="eastAsia" w:ascii="仿宋_GB2312" w:eastAsia="仿宋_GB2312"/>
          <w:sz w:val="32"/>
          <w:szCs w:val="32"/>
          <w:lang w:eastAsia="zh-CN"/>
        </w:rPr>
        <w:t>该项目完成报告数</w:t>
      </w:r>
      <w:r>
        <w:rPr>
          <w:rFonts w:hint="eastAsia" w:ascii="仿宋_GB2312" w:eastAsia="仿宋_GB2312"/>
          <w:sz w:val="32"/>
          <w:szCs w:val="32"/>
          <w:lang w:val="en-US" w:eastAsia="zh-CN"/>
        </w:rPr>
        <w:t>1个</w:t>
      </w:r>
      <w:r>
        <w:rPr>
          <w:rFonts w:hint="eastAsia" w:ascii="仿宋_GB2312" w:eastAsia="仿宋_GB2312"/>
          <w:sz w:val="32"/>
          <w:szCs w:val="32"/>
          <w:lang w:eastAsia="zh-CN"/>
        </w:rPr>
        <w:t>，保障了资金安全，确保了资金及时到位，促进了债权申报工作及时完成，</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）化债工作经费项目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7.34</w:t>
      </w:r>
      <w:r>
        <w:rPr>
          <w:rFonts w:hint="eastAsia" w:ascii="仿宋_GB2312" w:eastAsia="仿宋_GB2312"/>
          <w:sz w:val="32"/>
          <w:szCs w:val="32"/>
        </w:rPr>
        <w:t>万元，主要用于完成2024年度我区隐性债务化解任务9.25亿元，确保隐债不新增、资金不断链、债务不逾期，有效防范化解了债务风险。</w:t>
      </w:r>
      <w:r>
        <w:rPr>
          <w:rFonts w:hint="eastAsia" w:ascii="仿宋_GB2312" w:eastAsia="仿宋_GB2312"/>
          <w:sz w:val="32"/>
          <w:szCs w:val="32"/>
          <w:lang w:eastAsia="zh-CN"/>
        </w:rPr>
        <w:t>该项目完成资金到位率</w:t>
      </w:r>
      <w:r>
        <w:rPr>
          <w:rFonts w:hint="eastAsia" w:ascii="仿宋_GB2312" w:eastAsia="仿宋_GB2312"/>
          <w:sz w:val="32"/>
          <w:szCs w:val="32"/>
          <w:lang w:val="en-US" w:eastAsia="zh-CN"/>
        </w:rPr>
        <w:t>100%，不新增隐债</w:t>
      </w:r>
      <w:r>
        <w:rPr>
          <w:rFonts w:hint="eastAsia" w:ascii="仿宋_GB2312" w:eastAsia="仿宋_GB2312"/>
          <w:sz w:val="32"/>
          <w:szCs w:val="32"/>
          <w:lang w:eastAsia="zh-CN"/>
        </w:rPr>
        <w:t>，2024年度隐性债务化解任务13.28亿元，年度内未发生重大系统性风险，</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）2023年财税贡献奖项目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123.79</w:t>
      </w:r>
      <w:r>
        <w:rPr>
          <w:rFonts w:hint="eastAsia" w:ascii="仿宋_GB2312" w:eastAsia="仿宋_GB2312"/>
          <w:sz w:val="32"/>
          <w:szCs w:val="32"/>
        </w:rPr>
        <w:t>万元，主要用于培育制造名城，打造“三个高地”，促进地方经济可持续发展。</w:t>
      </w:r>
      <w:r>
        <w:rPr>
          <w:rFonts w:hint="eastAsia" w:ascii="仿宋_GB2312" w:eastAsia="仿宋_GB2312"/>
          <w:sz w:val="32"/>
          <w:szCs w:val="32"/>
          <w:lang w:eastAsia="zh-CN"/>
        </w:rPr>
        <w:t>该项目完成奖励企业数量</w:t>
      </w:r>
      <w:r>
        <w:rPr>
          <w:rFonts w:hint="eastAsia" w:ascii="仿宋_GB2312" w:eastAsia="仿宋_GB2312"/>
          <w:sz w:val="32"/>
          <w:szCs w:val="32"/>
          <w:lang w:val="en-US" w:eastAsia="zh-CN"/>
        </w:rPr>
        <w:t>11个</w:t>
      </w:r>
      <w:r>
        <w:rPr>
          <w:rFonts w:hint="eastAsia" w:ascii="仿宋_GB2312" w:eastAsia="仿宋_GB2312"/>
          <w:sz w:val="32"/>
          <w:szCs w:val="32"/>
          <w:lang w:eastAsia="zh-CN"/>
        </w:rPr>
        <w:t>，资金拨付到位率</w:t>
      </w:r>
      <w:r>
        <w:rPr>
          <w:rFonts w:hint="eastAsia" w:ascii="仿宋_GB2312" w:eastAsia="仿宋_GB2312"/>
          <w:sz w:val="32"/>
          <w:szCs w:val="32"/>
          <w:lang w:val="en-US" w:eastAsia="zh-CN"/>
        </w:rPr>
        <w:t>100%，资金拨付及时率100%，优化了税收结构，增加地方财政实力，优化了区域营商环境，</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2）株洲市第三水泥厂职工缴纳社保单位部分经费项目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364.63</w:t>
      </w:r>
      <w:r>
        <w:rPr>
          <w:rFonts w:hint="eastAsia" w:ascii="仿宋_GB2312" w:eastAsia="仿宋_GB2312"/>
          <w:sz w:val="32"/>
          <w:szCs w:val="32"/>
        </w:rPr>
        <w:t>万元，主要用于及时将社保单位部分经费支付至株洲市第三水泥厂，确保第三水泥厂能及时缴纳欠缴的养老保险费用及到龄退休人员医保费用。</w:t>
      </w:r>
      <w:r>
        <w:rPr>
          <w:rFonts w:hint="eastAsia" w:ascii="仿宋_GB2312" w:eastAsia="仿宋_GB2312"/>
          <w:sz w:val="32"/>
          <w:szCs w:val="32"/>
          <w:lang w:eastAsia="zh-CN"/>
        </w:rPr>
        <w:t>该项目完成合理测算相关费用，确保资金及时到位，维护了企业稳定，有效解决民生问题，</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eastAsia="仿宋_GB2312"/>
          <w:sz w:val="32"/>
          <w:szCs w:val="32"/>
        </w:rPr>
        <w:t>）缴纳印花税项目</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126.63</w:t>
      </w:r>
      <w:r>
        <w:rPr>
          <w:rFonts w:hint="eastAsia" w:ascii="仿宋_GB2312" w:eastAsia="仿宋_GB2312"/>
          <w:sz w:val="32"/>
          <w:szCs w:val="32"/>
        </w:rPr>
        <w:t>万元，主要用于根据股权转让合同缴纳印花税。</w:t>
      </w:r>
      <w:r>
        <w:rPr>
          <w:rFonts w:hint="eastAsia" w:ascii="仿宋_GB2312" w:eastAsia="仿宋_GB2312"/>
          <w:sz w:val="32"/>
          <w:szCs w:val="32"/>
          <w:lang w:eastAsia="zh-CN"/>
        </w:rPr>
        <w:t>该项目完成缴纳税额</w:t>
      </w:r>
      <w:r>
        <w:rPr>
          <w:rFonts w:hint="eastAsia" w:ascii="仿宋_GB2312" w:eastAsia="仿宋_GB2312"/>
          <w:sz w:val="32"/>
          <w:szCs w:val="32"/>
          <w:lang w:val="en-US" w:eastAsia="zh-CN"/>
        </w:rPr>
        <w:t>126.63</w:t>
      </w:r>
      <w:r>
        <w:rPr>
          <w:rFonts w:hint="eastAsia" w:ascii="仿宋_GB2312" w:eastAsia="仿宋_GB2312"/>
          <w:sz w:val="32"/>
          <w:szCs w:val="32"/>
        </w:rPr>
        <w:t>万元</w:t>
      </w:r>
      <w:r>
        <w:rPr>
          <w:rFonts w:hint="eastAsia" w:ascii="仿宋_GB2312" w:eastAsia="仿宋_GB2312"/>
          <w:sz w:val="32"/>
          <w:szCs w:val="32"/>
          <w:lang w:eastAsia="zh-CN"/>
        </w:rPr>
        <w:t>，确保了交易行为纳入税务监管，及时缴纳了税款，维护了税收公平与透明，</w:t>
      </w:r>
      <w:r>
        <w:rPr>
          <w:rFonts w:hint="eastAsia" w:ascii="仿宋_GB2312" w:eastAsia="仿宋_GB2312"/>
          <w:sz w:val="32"/>
          <w:szCs w:val="32"/>
        </w:rPr>
        <w:t>较好地完成了年度绩效目标制定的各项工作任务。</w:t>
      </w:r>
    </w:p>
    <w:p>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、存在的问题及原因分析</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是单位预算编制不够精准，预算执行不到位。部分项目经费为年中上级或本级重大工作调整或追加预算，未纳入年初预算，导致年初部门预算与全年预算数有较大差距；二是预算绩效管理意识有待提升，部分项目绩效目标设置不够规范和合理。</w:t>
      </w:r>
    </w:p>
    <w:p>
      <w:pPr>
        <w:numPr>
          <w:ilvl w:val="0"/>
          <w:numId w:val="0"/>
        </w:numPr>
        <w:tabs>
          <w:tab w:val="left" w:pos="7560"/>
        </w:tabs>
        <w:adjustRightInd w:val="0"/>
        <w:snapToGrid w:val="0"/>
        <w:spacing w:line="560" w:lineRule="exact"/>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六、</w:t>
      </w:r>
      <w:r>
        <w:rPr>
          <w:rFonts w:hint="eastAsia" w:ascii="黑体" w:hAnsi="黑体" w:eastAsia="黑体"/>
          <w:sz w:val="32"/>
          <w:szCs w:val="32"/>
        </w:rPr>
        <w:t>下一步改进措施</w:t>
      </w:r>
    </w:p>
    <w:p>
      <w:pPr>
        <w:numPr>
          <w:ilvl w:val="0"/>
          <w:numId w:val="0"/>
        </w:numPr>
        <w:tabs>
          <w:tab w:val="left" w:pos="7560"/>
        </w:tabs>
        <w:adjustRightInd w:val="0"/>
        <w:snapToGrid w:val="0"/>
        <w:spacing w:line="560" w:lineRule="exact"/>
        <w:rPr>
          <w:rFonts w:hint="eastAsia" w:ascii="黑体" w:hAnsi="黑体" w:eastAsia="黑体"/>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是不断增强预算管理意识，主动加强预算绩效管理，努力提高财政资金的使用效率和使用效益。二是将绩效目标设置作为预算安排的前置条件，对于立项依据不充分、预算未明晰、绩效目标不完善的项目不予安排预算，结合本部门单位实际情况，全面设置部门和单位整体绩效目标、政策及项目绩效目标。</w:t>
      </w:r>
    </w:p>
    <w:p>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、部门整体支出绩效自评结果拟应用和公开情况</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FangSong_GB2312" w:hAnsi="FangSong_GB2312" w:eastAsia="FangSong_GB2312" w:cs="FangSong_GB2312"/>
          <w:color w:val="000000"/>
          <w:kern w:val="2"/>
          <w:sz w:val="32"/>
          <w:szCs w:val="32"/>
          <w:lang w:val="en-US" w:eastAsia="zh-CN" w:bidi="ar"/>
        </w:rPr>
        <w:t>通过绩效评价，我单位进一步掌握了预算执行情况和取得的效果，为下一年提高资金的使用效益，加强财政支出的规范管理等工作提供了重要的参考依据。绩效自评报告完成后按规定及时公开，接收社会监督。</w:t>
      </w:r>
    </w:p>
    <w:p>
      <w:pPr>
        <w:tabs>
          <w:tab w:val="left" w:pos="7560"/>
        </w:tabs>
        <w:adjustRightInd w:val="0"/>
        <w:snapToGrid w:val="0"/>
        <w:spacing w:line="560" w:lineRule="exact"/>
        <w:rPr>
          <w:rFonts w:ascii="黑体" w:hAns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宋体"/>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00"/>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auto"/>
    <w:pitch w:val="default"/>
    <w:sig w:usb0="00000287" w:usb1="00000000" w:usb2="00000000" w:usb3="00000000" w:csb0="2000009F" w:csb1="DFD70000"/>
  </w:font>
  <w:font w:name="新宋体">
    <w:panose1 w:val="02010609030101010101"/>
    <w:charset w:val="86"/>
    <w:family w:val="auto"/>
    <w:pitch w:val="default"/>
    <w:sig w:usb0="00000003" w:usb1="288F0000" w:usb2="00000006" w:usb3="00000000" w:csb0="00040001"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经典黑体简">
    <w:altName w:val="黑体"/>
    <w:panose1 w:val="02010609000101010101"/>
    <w:charset w:val="86"/>
    <w:family w:val="modern"/>
    <w:pitch w:val="default"/>
    <w:sig w:usb0="00000000" w:usb1="00000000" w:usb2="0000001E"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EFC1F"/>
    <w:multiLevelType w:val="singleLevel"/>
    <w:tmpl w:val="682EFC1F"/>
    <w:lvl w:ilvl="0" w:tentative="0">
      <w:start w:val="3"/>
      <w:numFmt w:val="chineseCounting"/>
      <w:suff w:val="nothing"/>
      <w:lvlText w:val="（%1）"/>
      <w:lvlJc w:val="left"/>
    </w:lvl>
  </w:abstractNum>
  <w:abstractNum w:abstractNumId="1">
    <w:nsid w:val="682EFCB7"/>
    <w:multiLevelType w:val="singleLevel"/>
    <w:tmpl w:val="682EFCB7"/>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03DFC"/>
    <w:rsid w:val="385D25D5"/>
    <w:rsid w:val="3B003D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2025-05-29T07:17:00Z</dcterms:created>
  <dc:creator>Administrator</dc:creator>
  <cp:lastModifiedBy>Administrator</cp:lastModifiedBy>
  <cp:lastPrinted>2025-08-21T02:17:56Z</cp:lastPrinted>
  <dcterms:modified xsi:type="dcterms:W3CDTF">2025-08-25T02:00:53Z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