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F7BB1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eastAsia="方正小标宋简体"/>
          <w:sz w:val="44"/>
          <w:szCs w:val="44"/>
          <w:lang w:val="en-US"/>
        </w:rPr>
      </w:pPr>
      <w:r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2024年度部门整体支出绩效自评报告</w:t>
      </w:r>
    </w:p>
    <w:p w14:paraId="60CA3EBC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 w14:paraId="248918C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一、预算单位基本情况</w:t>
      </w:r>
    </w:p>
    <w:p w14:paraId="4EB3D3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宋体" w:hAnsi="宋体" w:eastAsia="宋体" w:cs="宋体"/>
          <w:color w:val="000000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  <w:lang w:eastAsia="zh-CN"/>
        </w:rPr>
        <w:t>株洲市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渌口区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eastAsia="zh-CN"/>
        </w:rPr>
        <w:t>环境卫生服务中心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是区人民政府主管的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eastAsia="zh-CN"/>
        </w:rPr>
        <w:t>副科级差额事业单位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，现有股室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个，在职人员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43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人，离休人员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人，退休人员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58</w:t>
      </w:r>
      <w:r>
        <w:rPr>
          <w:rFonts w:hint="eastAsia" w:ascii="Times New Roman" w:hAnsi="仿宋" w:eastAsia="仿宋" w:cs="Times New Roman"/>
          <w:color w:val="000000"/>
          <w:sz w:val="32"/>
          <w:szCs w:val="32"/>
        </w:rPr>
        <w:t>人，属区一级预算单位。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根据渌编办〔2020〕33号文件规定，本部门主要职责是：</w:t>
      </w:r>
      <w:r>
        <w:rPr>
          <w:rFonts w:hint="default" w:ascii="仿宋_GB2312" w:eastAsia="仿宋_GB2312"/>
          <w:bCs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制定城区所有街道卫生清扫、保洁、垃圾清运工作方案并组织实施的工作；承担垃圾中转站、公共厕所等环境卫生设施的使用、维护及管理工作；承担城区市容环境卫生日常管理工作；承担环境卫生行业管理工作；承担维护管理垃圾处理场等环卫设施的工作；承担依法组织征收城市生活垃圾处理等费用的工作。</w:t>
      </w:r>
    </w:p>
    <w:p w14:paraId="4E304F6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 w14:paraId="3A4572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640" w:firstLineChars="200"/>
        <w:textAlignment w:val="baseline"/>
        <w:rPr>
          <w:rFonts w:hint="default" w:ascii="Times New Roman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2024年度一般公共预算支出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1727.25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。</w:t>
      </w:r>
    </w:p>
    <w:p w14:paraId="403C19F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 w14:paraId="017915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640" w:firstLineChars="200"/>
        <w:textAlignment w:val="baseline"/>
        <w:rPr>
          <w:rFonts w:hint="default" w:ascii="Times New Roman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color w:val="000000"/>
          <w:sz w:val="32"/>
          <w:szCs w:val="32"/>
          <w:lang w:val="en-US" w:eastAsia="zh-CN"/>
        </w:rPr>
        <w:t>2024年度基本支出994.38万元。</w:t>
      </w:r>
    </w:p>
    <w:p w14:paraId="7C3B5AD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  <w:bookmarkStart w:id="0" w:name="_GoBack"/>
      <w:bookmarkEnd w:id="0"/>
    </w:p>
    <w:p w14:paraId="4C1F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2024年度项目支出732.87万元。其中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餐厨垃圾处置费76.3万元；华新水泥垃圾处置费215.83万元；公厕水电19.22万元；生活垃圾收集、压缩及转运342万元；西山岭租赁费15.64万元；</w:t>
      </w:r>
      <w:r>
        <w:rPr>
          <w:rFonts w:hint="eastAsia" w:ascii="仿宋_GB2312" w:eastAsia="仿宋_GB2312"/>
          <w:sz w:val="32"/>
          <w:szCs w:val="32"/>
          <w:lang w:eastAsia="zh-CN"/>
        </w:rPr>
        <w:t>购吸粪车及城区垃圾果皮箱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37.88万元；环卫中心购5吨摆臂车26万元。</w:t>
      </w:r>
    </w:p>
    <w:p w14:paraId="0AF3A8F4">
      <w:pPr>
        <w:keepNext w:val="0"/>
        <w:keepLines w:val="0"/>
        <w:pageBreakBefore w:val="0"/>
        <w:numPr>
          <w:ilvl w:val="0"/>
          <w:numId w:val="1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政府性基金预算支出情况</w:t>
      </w:r>
    </w:p>
    <w:p w14:paraId="66C2614B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66948D1B">
      <w:pPr>
        <w:keepNext w:val="0"/>
        <w:keepLines w:val="0"/>
        <w:pageBreakBefore w:val="0"/>
        <w:numPr>
          <w:ilvl w:val="0"/>
          <w:numId w:val="1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国有资本经营预算支出情况</w:t>
      </w:r>
    </w:p>
    <w:p w14:paraId="603088E1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30D42B1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五、社会保险基金预算支出情况</w:t>
      </w:r>
    </w:p>
    <w:p w14:paraId="1562861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社保基金预算支出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123.77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万元，主要用于职工养老保险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和离退休人员保险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，足额保障率100%。</w:t>
      </w:r>
    </w:p>
    <w:p w14:paraId="714C1E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三、部门整体支出绩效情况</w:t>
      </w:r>
    </w:p>
    <w:p w14:paraId="01D9AC3E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（一）整体支出绩效情况</w:t>
      </w:r>
    </w:p>
    <w:p w14:paraId="1EE78220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项目资金统一管理，主管部门定期对项目进展情况进行调度、汇总，资金使用合规，项目支出基本与项目预算、合同等相符，财务监控较有效。</w:t>
      </w:r>
    </w:p>
    <w:p w14:paraId="01D0DCD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1. 绩效目标完成  </w:t>
      </w:r>
    </w:p>
    <w:p w14:paraId="63E9B17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包括产出数量、质量、时效、以及成本指标完成情况。</w:t>
      </w:r>
    </w:p>
    <w:p w14:paraId="2789780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数量指标：收集处理餐厨垃圾量：3000吨</w:t>
      </w:r>
    </w:p>
    <w:p w14:paraId="68454702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240" w:firstLineChars="7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收集处理垃圾率：100%</w:t>
      </w:r>
    </w:p>
    <w:p w14:paraId="2BE0BC70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240" w:firstLineChars="7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收集、转运垃圾量：49400吨</w:t>
      </w:r>
    </w:p>
    <w:p w14:paraId="4C9ECD24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240" w:firstLineChars="7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收集、转运垃圾率：100%</w:t>
      </w:r>
    </w:p>
    <w:p w14:paraId="53E0B6F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240" w:firstLineChars="7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收集渗漏液量：5400吨</w:t>
      </w:r>
    </w:p>
    <w:p w14:paraId="2E12DB87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240" w:firstLineChars="7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处理渗漏液率：100%</w:t>
      </w:r>
    </w:p>
    <w:p w14:paraId="21774860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240" w:firstLineChars="7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城区乡镇垃圾处理量：49400吨</w:t>
      </w:r>
    </w:p>
    <w:p w14:paraId="11E15F7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240" w:firstLineChars="7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城区乡镇垃圾处理率：100%</w:t>
      </w:r>
    </w:p>
    <w:p w14:paraId="59D8655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240" w:firstLineChars="7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西山岭面积：86.9亩</w:t>
      </w:r>
    </w:p>
    <w:p w14:paraId="1634EE32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质量指标：有效改善</w:t>
      </w:r>
    </w:p>
    <w:p w14:paraId="7108918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失效指标：及时支付</w:t>
      </w:r>
    </w:p>
    <w:p w14:paraId="2CCA71C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社会效益指标：有效改善人居环境，提供就业岗位12个</w:t>
      </w:r>
    </w:p>
    <w:p w14:paraId="1BC2F95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生态环境指标：有效改善人居环境</w:t>
      </w:r>
    </w:p>
    <w:p w14:paraId="04BDE0B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可持续影响指标：有效改善人居环境</w:t>
      </w:r>
    </w:p>
    <w:p w14:paraId="2925F72E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服务对象满意度指标：老百姓满意度100%</w:t>
      </w:r>
    </w:p>
    <w:p w14:paraId="612F734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经济成本指标：人员及项目经费1727.25万元</w:t>
      </w:r>
    </w:p>
    <w:p w14:paraId="2AB9BF6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（二）项目支出绩效情况</w:t>
      </w:r>
    </w:p>
    <w:p w14:paraId="1EECE2C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对应年初预算申报及年中预算调整的子项目分别描述绩效情况，填报项目支出绩效自评表（附件3）。表述格式参考如下：</w:t>
      </w:r>
    </w:p>
    <w:p w14:paraId="54154E78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1.年初预算项目，年中执行调增（减）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668.99</w:t>
      </w:r>
      <w:r>
        <w:rPr>
          <w:rFonts w:hint="eastAsia" w:ascii="仿宋_GB2312" w:eastAsia="仿宋_GB2312"/>
          <w:sz w:val="32"/>
          <w:szCs w:val="32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万元。项目实施及绩效情况如下：</w:t>
      </w:r>
    </w:p>
    <w:p w14:paraId="649CAA4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）华新水泥垃圾处置费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215.83</w:t>
      </w:r>
      <w:r>
        <w:rPr>
          <w:rFonts w:hint="eastAsia" w:ascii="仿宋_GB2312" w:eastAsia="仿宋_GB2312"/>
          <w:sz w:val="32"/>
          <w:szCs w:val="32"/>
        </w:rPr>
        <w:t>万元，主要</w:t>
      </w:r>
      <w:r>
        <w:rPr>
          <w:rFonts w:hint="eastAsia" w:ascii="仿宋_GB2312" w:eastAsia="仿宋_GB2312"/>
          <w:sz w:val="32"/>
          <w:szCs w:val="32"/>
          <w:lang w:eastAsia="zh-CN"/>
        </w:rPr>
        <w:t>是采用焚烧方式对生活垃圾进行处理，最大程度地实现垃圾无害化、减量化、资源化处理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因未安排资金，未能及时支付项目经费，导致项目执行率低。</w:t>
      </w:r>
    </w:p>
    <w:p w14:paraId="3F311EBE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（2）公厕水电费项目：项目支出19.22万元，对城区15座公厕及时缴纳水电费及清扫。</w:t>
      </w:r>
    </w:p>
    <w:p w14:paraId="77F0933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（3）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生活垃圾收集、压缩、转运费项目：项目支出342万元，主要完成渌口城区垃圾的收集、压缩和转运。</w:t>
      </w:r>
    </w:p>
    <w:p w14:paraId="16CF37AA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（4）西山岭租赁费项目：项目支付15.64万元，主要用于西山岭垃圾填埋场租赁费用。</w:t>
      </w:r>
    </w:p>
    <w:p w14:paraId="237DA8E7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（5）餐厨垃圾处理费项目：本年项目支出48.67万元，上年结转资金68.28万元，支出27.63万元，共计76.3万元，主要用于城区各饭店餐厨垃圾的收集转运及处理。</w:t>
      </w:r>
      <w:r>
        <w:rPr>
          <w:rFonts w:hint="eastAsia" w:ascii="仿宋_GB2312" w:eastAsia="仿宋_GB2312"/>
          <w:sz w:val="32"/>
          <w:szCs w:val="32"/>
          <w:lang w:eastAsia="zh-CN"/>
        </w:rPr>
        <w:t>因未安排资金，未能及时支付项目经费，导致项目执行率低。</w:t>
      </w:r>
    </w:p>
    <w:p w14:paraId="6365D87A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2.年中追加项目共63.88万元。</w:t>
      </w:r>
      <w:r>
        <w:rPr>
          <w:rFonts w:hint="eastAsia" w:ascii="仿宋_GB2312" w:eastAsia="仿宋_GB2312"/>
          <w:sz w:val="32"/>
          <w:szCs w:val="32"/>
        </w:rPr>
        <w:t>项目实施及绩效情况如下：</w:t>
      </w:r>
    </w:p>
    <w:p w14:paraId="5FAD832C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）购吸粪车及城区垃圾果皮箱项目：项目支出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37.88万元，主要用于购吸粪车及城区垃圾果皮箱。</w:t>
      </w:r>
    </w:p>
    <w:p w14:paraId="4270C281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（2）环卫中心购5吨摆臂车项目：项目支出26万元</w:t>
      </w:r>
    </w:p>
    <w:p w14:paraId="4D5DA62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四、</w:t>
      </w:r>
      <w:r>
        <w:rPr>
          <w:rFonts w:hint="eastAsia" w:ascii="黑体" w:hAnsi="黑体" w:eastAsia="黑体"/>
          <w:sz w:val="32"/>
          <w:szCs w:val="32"/>
        </w:rPr>
        <w:t>存在的问题及原因分析</w:t>
      </w:r>
    </w:p>
    <w:p w14:paraId="0F9E0DE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 预算执行偏差：部分项目因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未安排资金导致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执行率不足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60%，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餐厨垃处置费45%，华新水泥垃圾处置费53%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</w:t>
      </w:r>
    </w:p>
    <w:p w14:paraId="2E944A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 绩效指标量化不足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 w14:paraId="00A27A2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五、下一步改进措施</w:t>
      </w:r>
    </w:p>
    <w:p w14:paraId="68B81F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1、明确绩效目标，完善管理制度，健全内部控制体系，强化项目节点控制，做细做实项目管理工作，合理安排资金拔付进度；</w:t>
      </w:r>
    </w:p>
    <w:p w14:paraId="180442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2、结合本年度工作计划和要求合理编制单位预算，及时了解预算执行差异，合理调整、纠正预算执行偏差，切实提高预算收支管理水平；</w:t>
      </w:r>
    </w:p>
    <w:p w14:paraId="0B2DD8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3、严格根据规定使用项目资金，加强项目进度的跟踪，开展项目绩效评价，确保项目绩效目标的完成。</w:t>
      </w:r>
    </w:p>
    <w:p w14:paraId="518DF655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绩效自评结果拟应用和公开情况</w:t>
      </w:r>
    </w:p>
    <w:p w14:paraId="3A06380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5"/>
        <w:jc w:val="left"/>
        <w:textAlignment w:val="auto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绩效自评结果主要应用于资金使用安排和资金使用效率</w:t>
      </w: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我单位根据专项绩效评定指标对各项量化评价，自评指标得分97.83分。</w:t>
      </w:r>
    </w:p>
    <w:p w14:paraId="454303A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76" w:firstLineChars="200"/>
        <w:jc w:val="lef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予以公开 。</w:t>
      </w:r>
    </w:p>
    <w:p w14:paraId="7BA73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</w:pPr>
    </w:p>
    <w:p w14:paraId="7B363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</w:pPr>
    </w:p>
    <w:p w14:paraId="223719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株洲市渌口区环境卫生服务中心</w:t>
      </w:r>
    </w:p>
    <w:p w14:paraId="0918C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2025年5月30日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A70587"/>
    <w:multiLevelType w:val="singleLevel"/>
    <w:tmpl w:val="C7A7058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851440"/>
    <w:multiLevelType w:val="singleLevel"/>
    <w:tmpl w:val="3C85144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44A9B"/>
    <w:rsid w:val="1C760ACE"/>
    <w:rsid w:val="38D23356"/>
    <w:rsid w:val="40544A9B"/>
    <w:rsid w:val="4CE950BA"/>
    <w:rsid w:val="5EB9124F"/>
    <w:rsid w:val="6FAC1340"/>
    <w:rsid w:val="79CB24E1"/>
    <w:rsid w:val="7BF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msolistparagraph"/>
    <w:basedOn w:val="1"/>
    <w:qFormat/>
    <w:uiPriority w:val="0"/>
    <w:pPr>
      <w:ind w:left="1079" w:hanging="309"/>
    </w:pPr>
    <w:rPr>
      <w:rFonts w:hint="eastAsia" w:ascii="宋体" w:hAnsi="宋体" w:eastAsia="宋体" w:cs="Times New Roman"/>
      <w:szCs w:val="22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1674</Words>
  <Characters>1852</Characters>
  <Lines>0</Lines>
  <Paragraphs>0</Paragraphs>
  <TotalTime>14</TotalTime>
  <ScaleCrop>false</ScaleCrop>
  <LinksUpToDate>false</LinksUpToDate>
  <CharactersWithSpaces>1939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2025-06-03T01:57:00Z</dcterms:created>
  <dc:creator>Naan.</dc:creator>
  <cp:lastModifiedBy>Naan.</cp:lastModifiedBy>
  <cp:lastPrinted>2025-06-03T08:16:00Z</cp:lastPrinted>
  <dcterms:modified xsi:type="dcterms:W3CDTF">2025-09-19T07:25:20Z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EFEFE3D79E00469AA7A6BE2635918190_13</vt:lpwstr>
  </property>
  <property fmtid="{D5CDD505-2E9C-101B-9397-08002B2CF9AE}" pid="4" name="KSOTemplateDocerSaveRecord">
    <vt:lpwstr>eyJoZGlkIjoiMzNjZjMzYzUwNDQxZDBkZmFiOTYwNDcxNmMwNDg3MTYiLCJ1c2VySWQiOiIzNzkzNjY1MjkifQ==</vt:lpwstr>
  </property>
</Properties>
</file>