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E87F7">
      <w:pPr>
        <w:jc w:val="both"/>
        <w:rPr>
          <w:rFonts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eastAsia="zh-CN"/>
        </w:rPr>
        <w:t>株洲市渌口区住房和城乡建设局</w:t>
      </w:r>
      <w:r>
        <w:rPr>
          <w:rFonts w:hint="eastAsia" w:ascii="方正小标宋简体" w:eastAsia="方正小标宋简体"/>
          <w:sz w:val="40"/>
          <w:szCs w:val="32"/>
        </w:rPr>
        <w:t>整体支出</w:t>
      </w:r>
    </w:p>
    <w:p w14:paraId="23EDFC95">
      <w:pPr>
        <w:jc w:val="center"/>
        <w:rPr>
          <w:rFonts w:ascii="仿宋_GB2312" w:eastAsia="仿宋_GB2312"/>
          <w:sz w:val="32"/>
          <w:szCs w:val="32"/>
        </w:rPr>
      </w:pPr>
      <w:r>
        <w:rPr>
          <w:rFonts w:hint="eastAsia" w:ascii="方正小标宋简体" w:eastAsia="方正小标宋简体"/>
          <w:sz w:val="40"/>
          <w:szCs w:val="32"/>
        </w:rPr>
        <w:t>绩效自评报告</w:t>
      </w:r>
    </w:p>
    <w:p w14:paraId="0B1A6005">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41E9922E">
      <w:pPr>
        <w:pStyle w:val="2"/>
        <w:numPr>
          <w:ilvl w:val="0"/>
          <w:numId w:val="0"/>
        </w:numPr>
        <w:ind w:firstLine="640" w:firstLineChars="200"/>
        <w:rPr>
          <w:rFonts w:ascii="仿宋" w:hAnsi="仿宋" w:eastAsia="仿宋"/>
          <w:sz w:val="32"/>
          <w:szCs w:val="32"/>
        </w:rPr>
      </w:pPr>
      <w:r>
        <w:rPr>
          <w:rFonts w:hint="eastAsia" w:ascii="仿宋" w:hAnsi="仿宋" w:eastAsia="仿宋"/>
          <w:sz w:val="32"/>
          <w:szCs w:val="32"/>
        </w:rPr>
        <w:t>根据渌办（2019）34号文件规定，本部门主要职责是：</w:t>
      </w:r>
    </w:p>
    <w:p w14:paraId="2675F236">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（一）贯彻执行国家、省、市有关住房和城乡建设工作的法律法规和方针政策。牵头推进新型城镇化工作；负责组织开展住房建设和住房制度改革；负责住房和城乡建设领域行政执法。</w:t>
      </w:r>
    </w:p>
    <w:p w14:paraId="35428825">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（二）牵头组织制定区公共租赁住房保障发展规划、年度计划和相关政策，</w:t>
      </w:r>
      <w:r>
        <w:rPr>
          <w:rFonts w:hint="eastAsia" w:ascii="仿宋" w:hAnsi="仿宋" w:eastAsia="仿宋"/>
          <w:sz w:val="32"/>
          <w:szCs w:val="32"/>
        </w:rPr>
        <w:t>承担全区住房保障工作的监督、指导</w:t>
      </w:r>
      <w:r>
        <w:rPr>
          <w:rFonts w:ascii="仿宋" w:hAnsi="仿宋" w:eastAsia="仿宋"/>
          <w:sz w:val="32"/>
          <w:szCs w:val="32"/>
        </w:rPr>
        <w:t>。指导城市棚户区改造工作；</w:t>
      </w:r>
      <w:r>
        <w:rPr>
          <w:rFonts w:hint="eastAsia" w:ascii="仿宋" w:hAnsi="仿宋" w:eastAsia="仿宋"/>
          <w:sz w:val="32"/>
          <w:szCs w:val="32"/>
        </w:rPr>
        <w:t>指导</w:t>
      </w:r>
      <w:r>
        <w:rPr>
          <w:rFonts w:ascii="仿宋" w:hAnsi="仿宋" w:eastAsia="仿宋"/>
          <w:sz w:val="32"/>
          <w:szCs w:val="32"/>
        </w:rPr>
        <w:t>全区房改工作，指导企业房改和处理房改售房遗留问题； 负责直管公房及租金的</w:t>
      </w:r>
      <w:r>
        <w:rPr>
          <w:rFonts w:hint="eastAsia" w:ascii="仿宋" w:hAnsi="仿宋" w:eastAsia="仿宋"/>
          <w:sz w:val="32"/>
          <w:szCs w:val="32"/>
        </w:rPr>
        <w:t>监督</w:t>
      </w:r>
      <w:r>
        <w:rPr>
          <w:rFonts w:ascii="仿宋" w:hAnsi="仿宋" w:eastAsia="仿宋"/>
          <w:sz w:val="32"/>
          <w:szCs w:val="32"/>
        </w:rPr>
        <w:t>管理工作。</w:t>
      </w:r>
    </w:p>
    <w:p w14:paraId="3D4FCC74">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（三）指导和管理全区建筑活动。承担全区建筑市场监督管理职责；负责施工许可、竣工验收。指导和监督建筑市场准入；负责全区建筑业企业的资质初审、报批和管理；负责建筑市场劳务管理；负责指导</w:t>
      </w:r>
      <w:r>
        <w:rPr>
          <w:rFonts w:hint="eastAsia" w:ascii="仿宋" w:hAnsi="仿宋" w:eastAsia="仿宋"/>
          <w:sz w:val="32"/>
          <w:szCs w:val="32"/>
        </w:rPr>
        <w:t>和</w:t>
      </w:r>
      <w:r>
        <w:rPr>
          <w:rFonts w:ascii="仿宋" w:hAnsi="仿宋" w:eastAsia="仿宋"/>
          <w:sz w:val="32"/>
          <w:szCs w:val="32"/>
        </w:rPr>
        <w:t>实施建筑、房地产行业诚信体系建设。负责建设工程招标投标监督管理及招标代理机构审核。</w:t>
      </w:r>
    </w:p>
    <w:p w14:paraId="2AD9BCF9">
      <w:pPr>
        <w:tabs>
          <w:tab w:val="left" w:pos="7560"/>
        </w:tabs>
        <w:adjustRightInd w:val="0"/>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负责监督管理全区</w:t>
      </w:r>
      <w:r>
        <w:rPr>
          <w:rFonts w:hint="eastAsia" w:ascii="仿宋" w:hAnsi="仿宋" w:eastAsia="仿宋"/>
          <w:sz w:val="32"/>
          <w:szCs w:val="32"/>
        </w:rPr>
        <w:t>建筑领域</w:t>
      </w:r>
      <w:r>
        <w:rPr>
          <w:rFonts w:ascii="仿宋" w:hAnsi="仿宋" w:eastAsia="仿宋"/>
          <w:sz w:val="32"/>
          <w:szCs w:val="32"/>
        </w:rPr>
        <w:t>勘察、设计活动。负责审核全区勘察设计和咨询单位的资质；负责全区建设工程项目初步设计合并审查、概算审查和施工图审查；参与城乡规划的编制工作。负责建设工程消防设计审查、消防验收、备案和抽查工作。</w:t>
      </w:r>
    </w:p>
    <w:p w14:paraId="06507B1C">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）承担规范房地产市场秩序、监督管理房地产市场职责。牵头编制全区住房发展规划；负责规范全区各类房产交易行为；负责全区房地产开发经营管理；</w:t>
      </w:r>
      <w:r>
        <w:rPr>
          <w:rFonts w:hint="eastAsia" w:ascii="仿宋" w:hAnsi="仿宋" w:eastAsia="仿宋"/>
          <w:sz w:val="32"/>
          <w:szCs w:val="32"/>
        </w:rPr>
        <w:t>负责全区房地产开发企业资质管理；</w:t>
      </w:r>
      <w:r>
        <w:rPr>
          <w:rFonts w:ascii="仿宋" w:hAnsi="仿宋" w:eastAsia="仿宋"/>
          <w:sz w:val="32"/>
          <w:szCs w:val="32"/>
        </w:rPr>
        <w:t>负责全区房产测绘成果审查备案</w:t>
      </w:r>
      <w:r>
        <w:rPr>
          <w:rFonts w:hint="eastAsia" w:ascii="仿宋" w:hAnsi="仿宋" w:eastAsia="仿宋"/>
          <w:sz w:val="32"/>
          <w:szCs w:val="32"/>
        </w:rPr>
        <w:t>；负责住宅产业化相关工作；</w:t>
      </w:r>
      <w:r>
        <w:rPr>
          <w:rFonts w:ascii="仿宋" w:hAnsi="仿宋" w:eastAsia="仿宋"/>
          <w:sz w:val="32"/>
          <w:szCs w:val="32"/>
        </w:rPr>
        <w:t>拟订全区国有土地上房屋征收与补偿政策性文件并监督实施。</w:t>
      </w:r>
    </w:p>
    <w:p w14:paraId="3424A6C5">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）负责全区房屋建筑、装饰装修和市政基础设施工程质量安全监督管理工作。</w:t>
      </w:r>
      <w:r>
        <w:rPr>
          <w:rFonts w:hint="eastAsia" w:ascii="仿宋" w:hAnsi="仿宋" w:eastAsia="仿宋"/>
          <w:sz w:val="32"/>
          <w:szCs w:val="32"/>
        </w:rPr>
        <w:t>负责城区建筑施工工地扬尘监管；</w:t>
      </w:r>
      <w:r>
        <w:rPr>
          <w:rFonts w:ascii="仿宋" w:hAnsi="仿宋" w:eastAsia="仿宋"/>
          <w:sz w:val="32"/>
          <w:szCs w:val="32"/>
        </w:rPr>
        <w:t>组织或参与建设工程重大质量、安全事故的调查处理；负责组织房屋建筑和市政基础设施的合并验收；负责房屋建筑和市政基础设施竣工验收备案；负责建筑施工企业安全生产许可证的监督管理工作；负责全区房屋安全管理</w:t>
      </w:r>
      <w:r>
        <w:rPr>
          <w:rFonts w:hint="eastAsia" w:ascii="仿宋" w:hAnsi="仿宋" w:eastAsia="仿宋"/>
          <w:sz w:val="32"/>
          <w:szCs w:val="32"/>
        </w:rPr>
        <w:t>；指导和监督</w:t>
      </w:r>
      <w:r>
        <w:rPr>
          <w:rFonts w:ascii="仿宋" w:hAnsi="仿宋" w:eastAsia="仿宋"/>
          <w:sz w:val="32"/>
          <w:szCs w:val="32"/>
        </w:rPr>
        <w:t>白蚁防治工作；负责全区住宅性能认定与建设管理工作。</w:t>
      </w:r>
    </w:p>
    <w:p w14:paraId="032FB3EE">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）组织贯彻执行工程建设实施阶段的国家标准、全国统一定额、行业标准和湖南省计价标准及其相关的管理制度，指导监督各类工程建设标准定额的实施和工程造价、计价。</w:t>
      </w:r>
    </w:p>
    <w:p w14:paraId="45446C36">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负责编制全区市政基础设施建设中长期规划和年度项目建设计划并监督执行；指导全区海绵城市建设工作；负责城市供水、排水和燃气等市政公用事业监督管理及行政许可工作；负责城市供水、计划用水、节约用水、城市燃气、</w:t>
      </w:r>
      <w:r>
        <w:rPr>
          <w:rFonts w:hint="eastAsia" w:ascii="仿宋" w:hAnsi="仿宋" w:eastAsia="仿宋"/>
          <w:sz w:val="32"/>
          <w:szCs w:val="32"/>
        </w:rPr>
        <w:t>城镇</w:t>
      </w:r>
      <w:r>
        <w:rPr>
          <w:rFonts w:ascii="仿宋" w:hAnsi="仿宋" w:eastAsia="仿宋"/>
          <w:sz w:val="32"/>
          <w:szCs w:val="32"/>
        </w:rPr>
        <w:t>生活污水处理及其附属设施的发展规划并监督实施。</w:t>
      </w:r>
    </w:p>
    <w:p w14:paraId="4B4C8A8E">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）负责指导全区村镇建设工作。参与编制全区村镇建设总体规划和城镇体系规划；为农民自建低层住宅建设的勘察设计、现场施工和质量安全等提供咨询服务和技术指导；指导农村危房改造工作；</w:t>
      </w:r>
      <w:r>
        <w:rPr>
          <w:rFonts w:hint="eastAsia" w:ascii="仿宋" w:hAnsi="仿宋" w:eastAsia="仿宋"/>
          <w:sz w:val="32"/>
          <w:szCs w:val="32"/>
        </w:rPr>
        <w:t>参与</w:t>
      </w:r>
      <w:r>
        <w:rPr>
          <w:rFonts w:ascii="仿宋" w:hAnsi="仿宋" w:eastAsia="仿宋"/>
          <w:sz w:val="32"/>
          <w:szCs w:val="32"/>
        </w:rPr>
        <w:t>指导农村人居环境改善工作；指导全区重点镇的建设；指导传统村落（民居）保护发展。</w:t>
      </w:r>
    </w:p>
    <w:p w14:paraId="41A5657B">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十</w:t>
      </w:r>
      <w:r>
        <w:rPr>
          <w:rFonts w:ascii="仿宋" w:hAnsi="仿宋" w:eastAsia="仿宋"/>
          <w:sz w:val="32"/>
          <w:szCs w:val="32"/>
        </w:rPr>
        <w:t>）组织制定全区建筑节能、绿色建筑和装配式建筑政策</w:t>
      </w:r>
      <w:r>
        <w:rPr>
          <w:rFonts w:hint="eastAsia" w:ascii="仿宋" w:hAnsi="仿宋" w:eastAsia="仿宋"/>
          <w:sz w:val="32"/>
          <w:szCs w:val="32"/>
        </w:rPr>
        <w:t>及行业科技发展</w:t>
      </w:r>
      <w:r>
        <w:rPr>
          <w:rFonts w:ascii="仿宋" w:hAnsi="仿宋" w:eastAsia="仿宋"/>
          <w:sz w:val="32"/>
          <w:szCs w:val="32"/>
        </w:rPr>
        <w:t>规划并监督实施。负责组织重大行业科技成果的评审、推广应用；组织重大建筑节能项目的实施；负责全区散装水泥、新型墙体材料改革、预拌混凝土、预拌砂浆推广使用等有关工作；负责城建档案和城市建设地下管线工程档案的收集、保管和开发利用工作。负责全区智能建筑工程监督管理工作。</w:t>
      </w:r>
    </w:p>
    <w:p w14:paraId="6795DF58">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）负责全区物业管理活动的监督管理；</w:t>
      </w:r>
      <w:r>
        <w:rPr>
          <w:rFonts w:hint="eastAsia" w:ascii="仿宋" w:hAnsi="仿宋" w:eastAsia="仿宋"/>
          <w:sz w:val="32"/>
          <w:szCs w:val="32"/>
        </w:rPr>
        <w:t>指导建立全区物业管理体系；</w:t>
      </w:r>
      <w:r>
        <w:rPr>
          <w:rFonts w:ascii="仿宋" w:hAnsi="仿宋" w:eastAsia="仿宋"/>
          <w:sz w:val="32"/>
          <w:szCs w:val="32"/>
        </w:rPr>
        <w:t>指导和监督全区住宅专项维修资金、物业保修金缴存和使用</w:t>
      </w:r>
      <w:r>
        <w:rPr>
          <w:rFonts w:hint="eastAsia" w:ascii="仿宋" w:hAnsi="仿宋" w:eastAsia="仿宋"/>
          <w:sz w:val="32"/>
          <w:szCs w:val="32"/>
        </w:rPr>
        <w:t>。</w:t>
      </w:r>
    </w:p>
    <w:p w14:paraId="4043C8F0">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lang w:eastAsia="zh-CN"/>
        </w:rPr>
        <w:t>二</w:t>
      </w:r>
      <w:r>
        <w:rPr>
          <w:rFonts w:ascii="仿宋" w:hAnsi="仿宋" w:eastAsia="仿宋"/>
          <w:sz w:val="32"/>
          <w:szCs w:val="32"/>
        </w:rPr>
        <w:t>）拟订行业人才发展规划，指导住房和城乡建设；负责城乡建设、房地产领域信息、统计、市场研究和科学技术研究工作。</w:t>
      </w:r>
    </w:p>
    <w:p w14:paraId="1FC92BC5">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lang w:eastAsia="zh-CN"/>
        </w:rPr>
        <w:t>三</w:t>
      </w:r>
      <w:r>
        <w:rPr>
          <w:rFonts w:ascii="仿宋" w:hAnsi="仿宋" w:eastAsia="仿宋"/>
          <w:sz w:val="32"/>
          <w:szCs w:val="32"/>
        </w:rPr>
        <w:t>）负责与职责范围有关行政被复议和行政应诉工作，受理和调处职能管辖范围内的信访、投诉和纠纷。</w:t>
      </w:r>
    </w:p>
    <w:p w14:paraId="5848AFFD">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lang w:eastAsia="zh-CN"/>
        </w:rPr>
        <w:t>四</w:t>
      </w:r>
      <w:r>
        <w:rPr>
          <w:rFonts w:ascii="仿宋" w:hAnsi="仿宋" w:eastAsia="仿宋"/>
          <w:sz w:val="32"/>
          <w:szCs w:val="32"/>
        </w:rPr>
        <w:t>）完成区委</w:t>
      </w:r>
      <w:r>
        <w:rPr>
          <w:rFonts w:hint="eastAsia" w:ascii="仿宋" w:hAnsi="仿宋" w:eastAsia="仿宋"/>
          <w:sz w:val="32"/>
          <w:szCs w:val="32"/>
        </w:rPr>
        <w:t>、</w:t>
      </w:r>
      <w:r>
        <w:rPr>
          <w:rFonts w:ascii="仿宋" w:hAnsi="仿宋" w:eastAsia="仿宋"/>
          <w:sz w:val="32"/>
          <w:szCs w:val="32"/>
        </w:rPr>
        <w:t>区政府交办的其他任务。</w:t>
      </w:r>
    </w:p>
    <w:p w14:paraId="7BC6783E">
      <w:pPr>
        <w:pStyle w:val="2"/>
        <w:rPr>
          <w:rFonts w:hint="eastAsia"/>
        </w:rPr>
      </w:pPr>
      <w:bookmarkStart w:id="0" w:name="_GoBack"/>
      <w:bookmarkEnd w:id="0"/>
    </w:p>
    <w:p w14:paraId="0A16C814">
      <w:pPr>
        <w:tabs>
          <w:tab w:val="left" w:pos="7560"/>
        </w:tabs>
        <w:adjustRightInd w:val="0"/>
        <w:snapToGrid w:val="0"/>
        <w:spacing w:line="560" w:lineRule="exact"/>
        <w:ind w:firstLine="640" w:firstLineChars="200"/>
        <w:rPr>
          <w:rFonts w:ascii="黑体" w:hAnsi="黑体" w:eastAsia="黑体"/>
          <w:sz w:val="32"/>
          <w:szCs w:val="32"/>
        </w:rPr>
      </w:pPr>
      <w:r>
        <w:rPr>
          <w:rFonts w:hint="eastAsia" w:ascii="仿宋" w:hAnsi="仿宋" w:eastAsia="仿宋"/>
          <w:bCs/>
          <w:sz w:val="32"/>
          <w:szCs w:val="32"/>
          <w:lang w:eastAsia="zh-CN"/>
        </w:rPr>
        <w:t>株洲市渌口</w:t>
      </w:r>
      <w:r>
        <w:rPr>
          <w:rFonts w:hint="eastAsia" w:ascii="仿宋" w:hAnsi="仿宋" w:eastAsia="仿宋"/>
          <w:bCs/>
          <w:sz w:val="32"/>
          <w:szCs w:val="32"/>
        </w:rPr>
        <w:t>区住房和城乡建设局</w:t>
      </w: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年本单位年未实有人数</w:t>
      </w:r>
      <w:r>
        <w:rPr>
          <w:rFonts w:hint="eastAsia" w:ascii="仿宋" w:hAnsi="仿宋" w:eastAsia="仿宋"/>
          <w:sz w:val="32"/>
          <w:szCs w:val="32"/>
          <w:lang w:val="en-US" w:eastAsia="zh-CN"/>
        </w:rPr>
        <w:t>46</w:t>
      </w:r>
      <w:r>
        <w:rPr>
          <w:rFonts w:hint="eastAsia" w:ascii="仿宋" w:hAnsi="仿宋" w:eastAsia="仿宋"/>
          <w:sz w:val="32"/>
          <w:szCs w:val="32"/>
        </w:rPr>
        <w:t>人，在职在编人数</w:t>
      </w:r>
      <w:r>
        <w:rPr>
          <w:rFonts w:hint="eastAsia" w:ascii="仿宋" w:hAnsi="仿宋" w:eastAsia="仿宋"/>
          <w:sz w:val="32"/>
          <w:szCs w:val="32"/>
          <w:lang w:val="en-US" w:eastAsia="zh-CN"/>
        </w:rPr>
        <w:t>46</w:t>
      </w:r>
      <w:r>
        <w:rPr>
          <w:rFonts w:hint="eastAsia" w:ascii="仿宋" w:hAnsi="仿宋" w:eastAsia="仿宋"/>
          <w:sz w:val="32"/>
          <w:szCs w:val="32"/>
        </w:rPr>
        <w:t>人，临聘人员9人</w:t>
      </w:r>
      <w:r>
        <w:rPr>
          <w:rFonts w:ascii="仿宋" w:hAnsi="仿宋" w:eastAsia="仿宋"/>
          <w:sz w:val="32"/>
          <w:szCs w:val="32"/>
        </w:rPr>
        <w:t>。单位内设股室</w:t>
      </w:r>
      <w:r>
        <w:rPr>
          <w:rFonts w:hint="eastAsia" w:ascii="仿宋" w:hAnsi="仿宋" w:eastAsia="仿宋"/>
          <w:sz w:val="32"/>
          <w:szCs w:val="32"/>
          <w:lang w:val="en-US" w:eastAsia="zh-CN"/>
        </w:rPr>
        <w:t>8</w:t>
      </w:r>
      <w:r>
        <w:rPr>
          <w:rFonts w:ascii="仿宋" w:hAnsi="仿宋" w:eastAsia="仿宋"/>
          <w:sz w:val="32"/>
          <w:szCs w:val="32"/>
        </w:rPr>
        <w:t>个，分别为：1.办公室、2.行政审批和政策法规股、3.城市建设和公用事业管理股、</w:t>
      </w:r>
      <w:r>
        <w:rPr>
          <w:rFonts w:hint="eastAsia" w:ascii="仿宋" w:hAnsi="仿宋" w:eastAsia="仿宋"/>
          <w:sz w:val="32"/>
          <w:szCs w:val="32"/>
          <w:lang w:val="en-US" w:eastAsia="zh-CN"/>
        </w:rPr>
        <w:t>4</w:t>
      </w:r>
      <w:r>
        <w:rPr>
          <w:rFonts w:ascii="仿宋" w:hAnsi="仿宋" w:eastAsia="仿宋"/>
          <w:sz w:val="32"/>
          <w:szCs w:val="32"/>
        </w:rPr>
        <w:t>.建筑业管理办公室、</w:t>
      </w:r>
      <w:r>
        <w:rPr>
          <w:rFonts w:hint="eastAsia" w:ascii="仿宋" w:hAnsi="仿宋" w:eastAsia="仿宋"/>
          <w:sz w:val="32"/>
          <w:szCs w:val="32"/>
          <w:lang w:val="en-US" w:eastAsia="zh-CN"/>
        </w:rPr>
        <w:t>5</w:t>
      </w:r>
      <w:r>
        <w:rPr>
          <w:rFonts w:ascii="仿宋" w:hAnsi="仿宋" w:eastAsia="仿宋"/>
          <w:sz w:val="32"/>
          <w:szCs w:val="32"/>
        </w:rPr>
        <w:t>.招标投标管理股、</w:t>
      </w:r>
      <w:r>
        <w:rPr>
          <w:rFonts w:hint="eastAsia" w:ascii="仿宋" w:hAnsi="仿宋" w:eastAsia="仿宋"/>
          <w:sz w:val="32"/>
          <w:szCs w:val="32"/>
          <w:lang w:val="en-US" w:eastAsia="zh-CN"/>
        </w:rPr>
        <w:t>6</w:t>
      </w:r>
      <w:r>
        <w:rPr>
          <w:rFonts w:ascii="仿宋" w:hAnsi="仿宋" w:eastAsia="仿宋"/>
          <w:sz w:val="32"/>
          <w:szCs w:val="32"/>
        </w:rPr>
        <w:t>.村镇建设管理股、</w:t>
      </w:r>
      <w:r>
        <w:rPr>
          <w:rFonts w:hint="eastAsia" w:ascii="仿宋" w:hAnsi="仿宋" w:eastAsia="仿宋"/>
          <w:sz w:val="32"/>
          <w:szCs w:val="32"/>
          <w:lang w:val="en-US" w:eastAsia="zh-CN"/>
        </w:rPr>
        <w:t>7</w:t>
      </w:r>
      <w:r>
        <w:rPr>
          <w:rFonts w:ascii="仿宋" w:hAnsi="仿宋" w:eastAsia="仿宋"/>
          <w:sz w:val="32"/>
          <w:szCs w:val="32"/>
        </w:rPr>
        <w:t>.住房改革和保障股、</w:t>
      </w:r>
      <w:r>
        <w:rPr>
          <w:rFonts w:hint="eastAsia" w:ascii="仿宋" w:hAnsi="仿宋" w:eastAsia="仿宋"/>
          <w:sz w:val="32"/>
          <w:szCs w:val="32"/>
          <w:lang w:val="en-US" w:eastAsia="zh-CN"/>
        </w:rPr>
        <w:t>8</w:t>
      </w:r>
      <w:r>
        <w:rPr>
          <w:rFonts w:ascii="仿宋" w:hAnsi="仿宋" w:eastAsia="仿宋"/>
          <w:sz w:val="32"/>
          <w:szCs w:val="32"/>
        </w:rPr>
        <w:t>.质量安全管理股。</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黑体" w:hAnsi="黑体" w:eastAsia="黑体"/>
          <w:sz w:val="32"/>
          <w:szCs w:val="32"/>
        </w:rPr>
        <w:t>二、一般公共预算支出情况</w:t>
      </w:r>
    </w:p>
    <w:p w14:paraId="29EA123F">
      <w:pPr>
        <w:pStyle w:val="14"/>
        <w:widowControl/>
        <w:numPr>
          <w:ilvl w:val="0"/>
          <w:numId w:val="1"/>
        </w:numPr>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基本支出情况</w:t>
      </w:r>
    </w:p>
    <w:p w14:paraId="6A808821">
      <w:pPr>
        <w:snapToGrid w:val="0"/>
        <w:spacing w:line="520" w:lineRule="exact"/>
        <w:ind w:firstLine="640" w:firstLineChars="200"/>
        <w:rPr>
          <w:rFonts w:ascii="仿宋" w:hAnsi="仿宋" w:eastAsia="仿宋"/>
          <w:bCs/>
          <w:sz w:val="32"/>
          <w:szCs w:val="32"/>
        </w:rPr>
      </w:pPr>
      <w:r>
        <w:rPr>
          <w:rFonts w:hint="eastAsia" w:ascii="仿宋" w:hAnsi="仿宋" w:eastAsia="仿宋"/>
          <w:bCs/>
          <w:sz w:val="32"/>
          <w:szCs w:val="32"/>
        </w:rPr>
        <w:t>基本支出是保障我局机构正常运转、完成日常工作任务而发生的各项支出，包括用于在职和离退休人员基本工资、津贴补贴等人员经费以及办公费、印刷费、水电费、办公设备购置等日常公用经费。202</w:t>
      </w:r>
      <w:r>
        <w:rPr>
          <w:rFonts w:hint="eastAsia" w:ascii="仿宋" w:hAnsi="仿宋" w:eastAsia="仿宋"/>
          <w:bCs/>
          <w:sz w:val="32"/>
          <w:szCs w:val="32"/>
          <w:lang w:val="en-US" w:eastAsia="zh-CN"/>
        </w:rPr>
        <w:t>4</w:t>
      </w:r>
      <w:r>
        <w:rPr>
          <w:rFonts w:hint="eastAsia" w:ascii="仿宋" w:hAnsi="仿宋" w:eastAsia="仿宋"/>
          <w:bCs/>
          <w:sz w:val="32"/>
          <w:szCs w:val="32"/>
        </w:rPr>
        <w:t>年度基本支出</w:t>
      </w:r>
      <w:r>
        <w:rPr>
          <w:rFonts w:hint="eastAsia" w:ascii="仿宋" w:hAnsi="仿宋" w:eastAsia="仿宋" w:cs="仿宋"/>
          <w:bCs/>
          <w:sz w:val="32"/>
          <w:szCs w:val="32"/>
          <w:lang w:val="en-US" w:eastAsia="zh-CN"/>
        </w:rPr>
        <w:t>849.1</w:t>
      </w:r>
      <w:r>
        <w:rPr>
          <w:rFonts w:hint="eastAsia" w:ascii="仿宋" w:hAnsi="仿宋" w:eastAsia="仿宋"/>
          <w:bCs/>
          <w:sz w:val="32"/>
          <w:szCs w:val="32"/>
        </w:rPr>
        <w:t>万元，</w:t>
      </w:r>
      <w:r>
        <w:rPr>
          <w:rFonts w:hint="eastAsia" w:ascii="仿宋" w:hAnsi="仿宋" w:eastAsia="仿宋" w:cs="仿宋"/>
          <w:bCs/>
          <w:sz w:val="32"/>
          <w:szCs w:val="32"/>
        </w:rPr>
        <w:t>其中基本支出</w:t>
      </w:r>
      <w:r>
        <w:rPr>
          <w:rFonts w:hint="eastAsia" w:ascii="仿宋" w:hAnsi="仿宋" w:eastAsia="仿宋"/>
          <w:sz w:val="32"/>
          <w:szCs w:val="32"/>
        </w:rPr>
        <w:t>：人员经费</w:t>
      </w:r>
      <w:r>
        <w:rPr>
          <w:rFonts w:hint="eastAsia" w:ascii="仿宋" w:hAnsi="仿宋" w:eastAsia="仿宋"/>
          <w:sz w:val="32"/>
          <w:szCs w:val="32"/>
          <w:lang w:val="en-US" w:eastAsia="zh-CN"/>
        </w:rPr>
        <w:t>665.44</w:t>
      </w:r>
      <w:r>
        <w:rPr>
          <w:rFonts w:hint="eastAsia" w:ascii="仿宋" w:hAnsi="仿宋" w:eastAsia="仿宋"/>
          <w:sz w:val="32"/>
          <w:szCs w:val="32"/>
        </w:rPr>
        <w:t>万元，占基本支出的</w:t>
      </w:r>
      <w:r>
        <w:rPr>
          <w:rFonts w:hint="eastAsia" w:ascii="仿宋" w:hAnsi="仿宋" w:eastAsia="仿宋"/>
          <w:sz w:val="32"/>
          <w:szCs w:val="32"/>
          <w:lang w:val="en-US" w:eastAsia="zh-CN"/>
        </w:rPr>
        <w:t>74</w:t>
      </w:r>
      <w:r>
        <w:rPr>
          <w:rFonts w:hint="eastAsia" w:ascii="仿宋" w:hAnsi="仿宋" w:eastAsia="仿宋"/>
          <w:sz w:val="32"/>
          <w:szCs w:val="32"/>
        </w:rPr>
        <w:t>%，</w:t>
      </w:r>
      <w:r>
        <w:rPr>
          <w:rFonts w:hint="eastAsia" w:ascii="仿宋" w:hAnsi="仿宋" w:eastAsia="仿宋"/>
          <w:bCs/>
          <w:sz w:val="32"/>
          <w:szCs w:val="32"/>
        </w:rPr>
        <w:t>主要包括：基本工资、津补贴、奖金、伙食补助费、机关事业单位基本养老保险费、职工基本医疗保险缴费、住房公积金、医疗费、其他工资福利支出及生活补助等。</w:t>
      </w:r>
      <w:r>
        <w:rPr>
          <w:rFonts w:hint="eastAsia" w:ascii="仿宋" w:hAnsi="仿宋" w:eastAsia="仿宋"/>
          <w:sz w:val="32"/>
          <w:szCs w:val="32"/>
        </w:rPr>
        <w:t>公用经费</w:t>
      </w:r>
      <w:r>
        <w:rPr>
          <w:rFonts w:hint="eastAsia" w:ascii="仿宋" w:hAnsi="仿宋" w:eastAsia="仿宋"/>
          <w:sz w:val="32"/>
          <w:szCs w:val="32"/>
          <w:lang w:val="en-US" w:eastAsia="zh-CN"/>
        </w:rPr>
        <w:t>183.66</w:t>
      </w:r>
      <w:r>
        <w:rPr>
          <w:rFonts w:hint="eastAsia" w:ascii="仿宋" w:hAnsi="仿宋" w:eastAsia="仿宋"/>
          <w:sz w:val="32"/>
          <w:szCs w:val="32"/>
        </w:rPr>
        <w:t>万元，占基本支出的</w:t>
      </w:r>
      <w:r>
        <w:rPr>
          <w:rFonts w:hint="eastAsia" w:ascii="仿宋" w:hAnsi="仿宋" w:eastAsia="仿宋"/>
          <w:sz w:val="32"/>
          <w:szCs w:val="32"/>
          <w:lang w:val="en-US" w:eastAsia="zh-CN"/>
        </w:rPr>
        <w:t>20</w:t>
      </w:r>
      <w:r>
        <w:rPr>
          <w:rFonts w:hint="eastAsia" w:ascii="仿宋" w:hAnsi="仿宋" w:eastAsia="仿宋"/>
          <w:sz w:val="32"/>
          <w:szCs w:val="32"/>
        </w:rPr>
        <w:t>%，</w:t>
      </w:r>
      <w:r>
        <w:rPr>
          <w:rFonts w:hint="eastAsia" w:ascii="仿宋" w:hAnsi="仿宋" w:eastAsia="仿宋"/>
          <w:bCs/>
          <w:sz w:val="32"/>
          <w:szCs w:val="32"/>
        </w:rPr>
        <w:t>；主要包括：办公费、印刷费、电费、邮电费、差旅费、</w:t>
      </w:r>
      <w:r>
        <w:rPr>
          <w:rFonts w:hint="eastAsia" w:ascii="仿宋" w:hAnsi="仿宋" w:eastAsia="仿宋"/>
          <w:sz w:val="32"/>
          <w:szCs w:val="32"/>
        </w:rPr>
        <w:t>培训费、公务接待费、工会经费、福利费、其他商品和服务支出。</w:t>
      </w:r>
    </w:p>
    <w:p w14:paraId="2580912B">
      <w:pPr>
        <w:pStyle w:val="14"/>
        <w:widowControl/>
        <w:numPr>
          <w:ilvl w:val="0"/>
          <w:numId w:val="1"/>
        </w:numPr>
        <w:spacing w:line="600" w:lineRule="exact"/>
        <w:ind w:left="1079" w:leftChars="0" w:hanging="309" w:firstLineChars="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项目支出情况</w:t>
      </w:r>
    </w:p>
    <w:p w14:paraId="526B7D7B">
      <w:pPr>
        <w:snapToGrid w:val="0"/>
        <w:spacing w:line="520" w:lineRule="exact"/>
        <w:ind w:firstLine="960" w:firstLineChars="300"/>
        <w:rPr>
          <w:rFonts w:hint="eastAsia" w:ascii="仿宋" w:hAnsi="仿宋" w:eastAsia="仿宋"/>
          <w:bCs/>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年度本部门项目支出</w:t>
      </w:r>
      <w:r>
        <w:rPr>
          <w:rFonts w:hint="eastAsia" w:ascii="仿宋" w:hAnsi="仿宋" w:eastAsia="仿宋"/>
          <w:sz w:val="32"/>
          <w:szCs w:val="32"/>
          <w:lang w:val="en-US" w:eastAsia="zh-CN"/>
        </w:rPr>
        <w:t>5886.54</w:t>
      </w:r>
      <w:r>
        <w:rPr>
          <w:rFonts w:hint="eastAsia" w:ascii="仿宋" w:hAnsi="仿宋" w:eastAsia="仿宋"/>
          <w:sz w:val="32"/>
          <w:szCs w:val="32"/>
        </w:rPr>
        <w:t>万元</w:t>
      </w:r>
      <w:r>
        <w:rPr>
          <w:rFonts w:hint="eastAsia" w:ascii="仿宋" w:hAnsi="仿宋" w:eastAsia="仿宋"/>
          <w:sz w:val="32"/>
          <w:szCs w:val="32"/>
          <w:lang w:eastAsia="zh-CN"/>
        </w:rPr>
        <w:t>，项目资金做专款专用。</w:t>
      </w:r>
      <w:r>
        <w:rPr>
          <w:rFonts w:hint="eastAsia" w:ascii="仿宋" w:hAnsi="仿宋" w:eastAsia="仿宋" w:cs="仿宋"/>
          <w:sz w:val="32"/>
          <w:szCs w:val="32"/>
        </w:rPr>
        <w:t>主要用于污水整治及运营、农村危房改造</w:t>
      </w:r>
      <w:r>
        <w:rPr>
          <w:rFonts w:hint="eastAsia" w:ascii="仿宋" w:hAnsi="仿宋" w:eastAsia="仿宋" w:cs="仿宋"/>
          <w:sz w:val="32"/>
          <w:szCs w:val="32"/>
          <w:lang w:eastAsia="zh-CN"/>
        </w:rPr>
        <w:t>、甘塘坡巷子老旧小区配套改造、</w:t>
      </w:r>
      <w:r>
        <w:rPr>
          <w:rFonts w:hint="eastAsia" w:ascii="仿宋" w:hAnsi="仿宋" w:eastAsia="仿宋" w:cs="仿宋"/>
          <w:sz w:val="32"/>
          <w:szCs w:val="32"/>
        </w:rPr>
        <w:t>杨梅港综合治理</w:t>
      </w:r>
      <w:r>
        <w:rPr>
          <w:rFonts w:hint="eastAsia" w:ascii="仿宋" w:hAnsi="仿宋" w:eastAsia="仿宋" w:cs="仿宋"/>
          <w:sz w:val="32"/>
          <w:szCs w:val="32"/>
          <w:lang w:eastAsia="zh-CN"/>
        </w:rPr>
        <w:t>、</w:t>
      </w:r>
      <w:r>
        <w:rPr>
          <w:rFonts w:hint="eastAsia" w:ascii="仿宋" w:hAnsi="仿宋" w:eastAsia="仿宋" w:cs="仿宋"/>
          <w:i w:val="0"/>
          <w:iCs w:val="0"/>
          <w:color w:val="000000"/>
          <w:kern w:val="0"/>
          <w:sz w:val="32"/>
          <w:szCs w:val="32"/>
          <w:u w:val="none"/>
          <w:lang w:val="en-US" w:eastAsia="zh-CN" w:bidi="ar"/>
        </w:rPr>
        <w:t>向阳南路东片区老旧小区</w:t>
      </w:r>
      <w:r>
        <w:rPr>
          <w:rFonts w:hint="eastAsia" w:ascii="仿宋" w:hAnsi="仿宋" w:eastAsia="仿宋" w:cs="仿宋"/>
          <w:sz w:val="32"/>
          <w:szCs w:val="32"/>
        </w:rPr>
        <w:t>等项目</w:t>
      </w:r>
      <w:r>
        <w:rPr>
          <w:rFonts w:hint="eastAsia" w:ascii="仿宋" w:hAnsi="仿宋" w:eastAsia="仿宋" w:cs="仿宋"/>
          <w:sz w:val="32"/>
          <w:szCs w:val="32"/>
          <w:lang w:eastAsia="zh-CN"/>
        </w:rPr>
        <w:t>。</w:t>
      </w:r>
    </w:p>
    <w:p w14:paraId="509C4E0A">
      <w:pPr>
        <w:numPr>
          <w:ilvl w:val="0"/>
          <w:numId w:val="2"/>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p>
    <w:p w14:paraId="0CF41F66">
      <w:pPr>
        <w:numPr>
          <w:ilvl w:val="0"/>
          <w:numId w:val="0"/>
        </w:numPr>
        <w:tabs>
          <w:tab w:val="left" w:pos="7560"/>
        </w:tabs>
        <w:adjustRightInd w:val="0"/>
        <w:snapToGrid w:val="0"/>
        <w:spacing w:line="560" w:lineRule="exact"/>
        <w:rPr>
          <w:rFonts w:hint="default" w:ascii="仿宋" w:hAnsi="仿宋" w:eastAsia="仿宋" w:cs="仿宋"/>
          <w:sz w:val="32"/>
          <w:szCs w:val="32"/>
          <w:lang w:val="en-US" w:eastAsia="zh-CN"/>
        </w:rPr>
      </w:pPr>
      <w:r>
        <w:rPr>
          <w:rFonts w:hint="eastAsia" w:ascii="黑体" w:hAnsi="黑体" w:eastAsia="黑体"/>
          <w:sz w:val="32"/>
          <w:szCs w:val="32"/>
          <w:lang w:val="en-US" w:eastAsia="zh-CN"/>
        </w:rPr>
        <w:t xml:space="preserve">    </w:t>
      </w:r>
      <w:r>
        <w:rPr>
          <w:rFonts w:hint="eastAsia" w:ascii="仿宋" w:hAnsi="仿宋" w:eastAsia="仿宋" w:cs="仿宋"/>
          <w:sz w:val="32"/>
          <w:szCs w:val="32"/>
          <w:lang w:val="en-US" w:eastAsia="zh-CN"/>
        </w:rPr>
        <w:t>2024年度本部门</w:t>
      </w:r>
      <w:r>
        <w:rPr>
          <w:rFonts w:hint="eastAsia" w:ascii="仿宋" w:hAnsi="仿宋" w:eastAsia="仿宋" w:cs="仿宋"/>
          <w:sz w:val="32"/>
          <w:szCs w:val="32"/>
        </w:rPr>
        <w:t>政府性基金财政拨款支出</w:t>
      </w:r>
      <w:r>
        <w:rPr>
          <w:rFonts w:hint="eastAsia" w:ascii="仿宋" w:hAnsi="仿宋" w:eastAsia="仿宋" w:cs="仿宋"/>
          <w:sz w:val="32"/>
          <w:szCs w:val="32"/>
          <w:lang w:val="en-US" w:eastAsia="zh-CN"/>
        </w:rPr>
        <w:t>5762.90万元，均用于项目支出，分别为梅子湖片区综合开发项目940.5万元、古岳峰污水处理厂生物转盘设备采购22.4万元、湘江东岸片区智能停车场及配套设施建设4800万元。</w:t>
      </w:r>
    </w:p>
    <w:p w14:paraId="3420D3C3">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国有资本经营预算支出情况</w:t>
      </w:r>
    </w:p>
    <w:p w14:paraId="1B555C6D">
      <w:pPr>
        <w:numPr>
          <w:ilvl w:val="0"/>
          <w:numId w:val="0"/>
        </w:numPr>
        <w:tabs>
          <w:tab w:val="left" w:pos="7560"/>
        </w:tabs>
        <w:adjustRightInd w:val="0"/>
        <w:snapToGrid w:val="0"/>
        <w:spacing w:line="560" w:lineRule="exact"/>
        <w:ind w:leftChars="200"/>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 w:hAnsi="仿宋" w:eastAsia="仿宋" w:cs="仿宋"/>
          <w:sz w:val="32"/>
          <w:szCs w:val="32"/>
          <w:lang w:val="en-US" w:eastAsia="zh-CN"/>
        </w:rPr>
        <w:t>2024年度本部门无国有资本经营预算支出情况。</w:t>
      </w:r>
    </w:p>
    <w:p w14:paraId="0654F220">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社会保险基金预算支出情况</w:t>
      </w:r>
    </w:p>
    <w:p w14:paraId="2BDF63B1">
      <w:pPr>
        <w:tabs>
          <w:tab w:val="left" w:pos="7560"/>
        </w:tabs>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2024年度本部门无社会保险基金预算支出情况。</w:t>
      </w:r>
    </w:p>
    <w:p w14:paraId="503AB47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743D7EA6">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0614AC2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i w:val="0"/>
          <w:iCs w:val="0"/>
          <w:caps w:val="0"/>
          <w:color w:val="000000"/>
          <w:spacing w:val="0"/>
          <w:sz w:val="32"/>
          <w:szCs w:val="32"/>
          <w:shd w:val="clear" w:color="auto" w:fill="FFFFFF"/>
          <w:lang w:val="en-US" w:eastAsia="zh-CN"/>
        </w:rPr>
        <w:t>1.</w:t>
      </w:r>
      <w:r>
        <w:rPr>
          <w:rFonts w:hint="eastAsia" w:ascii="仿宋" w:hAnsi="仿宋" w:eastAsia="仿宋" w:cs="仿宋"/>
          <w:b w:val="0"/>
          <w:bCs w:val="0"/>
          <w:i w:val="0"/>
          <w:iCs w:val="0"/>
          <w:caps w:val="0"/>
          <w:color w:val="000000"/>
          <w:spacing w:val="0"/>
          <w:sz w:val="32"/>
          <w:szCs w:val="32"/>
          <w:shd w:val="clear" w:color="auto" w:fill="FFFFFF"/>
          <w:lang w:eastAsia="zh-CN"/>
        </w:rPr>
        <w:t>紧抓经济发展主线，激发市场主体活力。</w:t>
      </w:r>
      <w:r>
        <w:rPr>
          <w:rFonts w:hint="eastAsia" w:ascii="仿宋" w:hAnsi="仿宋" w:eastAsia="仿宋" w:cs="仿宋"/>
          <w:b/>
          <w:bCs/>
          <w:i w:val="0"/>
          <w:iCs w:val="0"/>
          <w:caps w:val="0"/>
          <w:color w:val="000000"/>
          <w:spacing w:val="0"/>
          <w:kern w:val="2"/>
          <w:sz w:val="32"/>
          <w:szCs w:val="32"/>
          <w:shd w:val="clear" w:color="auto" w:fill="FFFFFF"/>
          <w:lang w:val="en-US" w:eastAsia="zh-CN" w:bidi="ar-SA"/>
        </w:rPr>
        <w:t>一是营商环境服务提效。</w:t>
      </w:r>
      <w:r>
        <w:rPr>
          <w:rFonts w:hint="eastAsia" w:ascii="仿宋" w:hAnsi="仿宋" w:eastAsia="仿宋" w:cs="仿宋"/>
          <w:kern w:val="2"/>
          <w:sz w:val="32"/>
          <w:szCs w:val="32"/>
          <w:lang w:val="en-US" w:eastAsia="zh-CN" w:bidi="ar-SA"/>
        </w:rPr>
        <w:t>统筹推进建设工程审批制度改革，积极推进线上无纸化审批，</w:t>
      </w:r>
      <w:r>
        <w:rPr>
          <w:rFonts w:hint="eastAsia" w:ascii="仿宋" w:hAnsi="仿宋" w:eastAsia="仿宋" w:cs="仿宋"/>
          <w:b w:val="0"/>
          <w:bCs w:val="0"/>
          <w:kern w:val="2"/>
          <w:sz w:val="32"/>
          <w:szCs w:val="32"/>
          <w:lang w:val="en-US" w:eastAsia="zh-CN" w:bidi="ar-SA"/>
        </w:rPr>
        <w:t>共</w:t>
      </w:r>
      <w:r>
        <w:rPr>
          <w:rFonts w:hint="eastAsia" w:ascii="仿宋" w:hAnsi="仿宋" w:eastAsia="仿宋" w:cs="仿宋"/>
          <w:kern w:val="2"/>
          <w:sz w:val="32"/>
          <w:szCs w:val="32"/>
          <w:lang w:val="en-US" w:eastAsia="zh-CN" w:bidi="ar-SA"/>
        </w:rPr>
        <w:t>发放施工许可证22本，平均办理时限3天，联合验收项目26个、竣工验收备案项目23个，产业项目施工图审查平均时限缩减至10个工作日，全流程总用时由80天缩减至16天，水电气报装实现一网通办；通过“项目全生命周期管理系统”平台办结销号7件交办件。全面深化审批制度改革，验收即交证、交地即开工、验收即开业等改革均有突破。开展“两重两新”和“走找想促”活动，服务效能有效提升。联合多部门为中铁·时代雅园提供“交房即交证”服务。同时开展“一把手走流程”活动，主动为梅子湖项目送达竣工验收相关政策。</w:t>
      </w:r>
      <w:r>
        <w:rPr>
          <w:rFonts w:hint="eastAsia" w:ascii="仿宋" w:hAnsi="仿宋" w:eastAsia="仿宋" w:cs="仿宋"/>
          <w:b/>
          <w:bCs/>
          <w:i w:val="0"/>
          <w:iCs w:val="0"/>
          <w:caps w:val="0"/>
          <w:color w:val="000000"/>
          <w:spacing w:val="0"/>
          <w:kern w:val="2"/>
          <w:sz w:val="32"/>
          <w:szCs w:val="32"/>
          <w:shd w:val="clear" w:color="auto" w:fill="FFFFFF"/>
          <w:lang w:val="en-US" w:eastAsia="zh-CN" w:bidi="ar-SA"/>
        </w:rPr>
        <w:t>二是建筑业“四上”企业培育见效。</w:t>
      </w:r>
      <w:r>
        <w:rPr>
          <w:rFonts w:hint="eastAsia" w:ascii="仿宋" w:hAnsi="仿宋" w:eastAsia="仿宋" w:cs="仿宋"/>
          <w:kern w:val="2"/>
          <w:sz w:val="32"/>
          <w:szCs w:val="32"/>
          <w:lang w:val="en-US" w:eastAsia="zh-CN" w:bidi="ar-SA"/>
        </w:rPr>
        <w:t>我区建筑业共有入统“四上”企业49家，上报率为100%，完成增加值为32.5亿元；“四下”企业普查总量为338家，上报率为100%，完成增加值为3.48亿，申报工作已完成，2024年“四上”企业培育目标为3家，目前已全部完成。在整体经济下滑的情况，全区建筑业共克时艰实施“走出去”战略，累计完成建安总产值105.41亿元，同比增长5.8%；累计完成税收6601万元，同比增长8.6%。</w:t>
      </w:r>
      <w:r>
        <w:rPr>
          <w:rFonts w:hint="eastAsia" w:ascii="仿宋" w:hAnsi="仿宋" w:eastAsia="仿宋" w:cs="仿宋"/>
          <w:b/>
          <w:bCs/>
          <w:kern w:val="2"/>
          <w:sz w:val="32"/>
          <w:szCs w:val="32"/>
          <w:lang w:val="en-US" w:eastAsia="zh-CN" w:bidi="ar-SA"/>
        </w:rPr>
        <w:t>三</w:t>
      </w:r>
      <w:r>
        <w:rPr>
          <w:rFonts w:hint="eastAsia" w:ascii="仿宋" w:hAnsi="仿宋" w:eastAsia="仿宋" w:cs="仿宋"/>
          <w:b/>
          <w:bCs/>
          <w:i w:val="0"/>
          <w:iCs w:val="0"/>
          <w:caps w:val="0"/>
          <w:color w:val="000000"/>
          <w:spacing w:val="0"/>
          <w:kern w:val="2"/>
          <w:sz w:val="32"/>
          <w:szCs w:val="32"/>
          <w:shd w:val="clear" w:color="auto" w:fill="FFFFFF"/>
          <w:lang w:val="en-US" w:eastAsia="zh-CN" w:bidi="ar-SA"/>
        </w:rPr>
        <w:t>是智慧产业发展提质增效。</w:t>
      </w:r>
      <w:r>
        <w:rPr>
          <w:rFonts w:hint="eastAsia" w:ascii="仿宋" w:hAnsi="仿宋" w:eastAsia="仿宋" w:cs="仿宋"/>
          <w:kern w:val="2"/>
          <w:sz w:val="32"/>
          <w:szCs w:val="32"/>
          <w:lang w:val="en-US" w:eastAsia="zh-CN" w:bidi="ar-SA"/>
        </w:rPr>
        <w:t>2024年，我局联合筑企通以商招商，</w:t>
      </w:r>
      <w:r>
        <w:rPr>
          <w:rFonts w:hint="eastAsia" w:ascii="仿宋" w:hAnsi="仿宋" w:eastAsia="仿宋" w:cs="仿宋"/>
          <w:sz w:val="32"/>
          <w:szCs w:val="32"/>
        </w:rPr>
        <w:t>引进企业48家，个体户119家，完成税收2450</w:t>
      </w:r>
      <w:r>
        <w:rPr>
          <w:rFonts w:hint="eastAsia" w:ascii="仿宋" w:hAnsi="仿宋" w:eastAsia="仿宋" w:cs="仿宋"/>
          <w:sz w:val="32"/>
          <w:szCs w:val="32"/>
          <w:lang w:eastAsia="zh-CN"/>
        </w:rPr>
        <w:t>万元，</w:t>
      </w:r>
      <w:r>
        <w:rPr>
          <w:rFonts w:hint="eastAsia" w:ascii="仿宋" w:hAnsi="仿宋" w:eastAsia="仿宋" w:cs="仿宋"/>
          <w:kern w:val="2"/>
          <w:sz w:val="32"/>
          <w:szCs w:val="32"/>
          <w:lang w:val="en-US" w:eastAsia="zh-CN" w:bidi="ar-SA"/>
        </w:rPr>
        <w:t>与湖南省建筑器材租赁协会签订战略合作协议。</w:t>
      </w:r>
    </w:p>
    <w:p w14:paraId="209BBD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i w:val="0"/>
          <w:iCs w:val="0"/>
          <w:caps w:val="0"/>
          <w:color w:val="000000"/>
          <w:spacing w:val="0"/>
          <w:sz w:val="32"/>
          <w:szCs w:val="32"/>
          <w:shd w:val="clear" w:color="auto" w:fill="FFFFFF"/>
          <w:lang w:val="en-US" w:eastAsia="zh-CN"/>
        </w:rPr>
        <w:t>2.加大项目包装力度，争资能力有效提升</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kern w:val="2"/>
          <w:sz w:val="32"/>
          <w:szCs w:val="32"/>
          <w:lang w:val="en-US" w:eastAsia="zh-CN" w:bidi="ar-SA"/>
        </w:rPr>
        <w:t>全面贯彻落实区委、区政府主要领导在资金争引上实施“跳起来摘桃子”的指示指导精神。住建领域结合城市更新、雨污分流等城市补短板需要，累计共争取资金13100.8万元，其中：老旧小区配套基础设施改造成功申报下达1010万元中央预算内资金，株洲市渌口区湘江东岸片区城市智能停车场机配套设施建设项目成功争取下达4800万元专项债资金，梅子湖片区区排水防涝项目争取2991.8万元国债资金，海绵奖补资金累计争取1299万元，水处理厂配套管网提质改造项目成功包装下达3000万元国债项目资金。</w:t>
      </w:r>
    </w:p>
    <w:p w14:paraId="293EB5B3">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i w:val="0"/>
          <w:iCs w:val="0"/>
          <w:caps w:val="0"/>
          <w:color w:val="000000"/>
          <w:spacing w:val="0"/>
          <w:kern w:val="2"/>
          <w:sz w:val="32"/>
          <w:szCs w:val="32"/>
          <w:shd w:val="clear" w:color="auto" w:fill="FFFFFF"/>
          <w:lang w:val="en-US" w:eastAsia="zh-CN" w:bidi="ar-SA"/>
        </w:rPr>
        <w:t>3.</w:t>
      </w:r>
      <w:r>
        <w:rPr>
          <w:rFonts w:hint="eastAsia" w:ascii="仿宋" w:hAnsi="仿宋" w:eastAsia="仿宋" w:cs="仿宋"/>
          <w:b w:val="0"/>
          <w:bCs w:val="0"/>
          <w:i w:val="0"/>
          <w:iCs w:val="0"/>
          <w:caps w:val="0"/>
          <w:color w:val="000000"/>
          <w:spacing w:val="0"/>
          <w:sz w:val="32"/>
          <w:szCs w:val="32"/>
          <w:shd w:val="clear" w:color="auto" w:fill="FFFFFF"/>
          <w:lang w:eastAsia="zh-CN"/>
        </w:rPr>
        <w:t>大力实施城市更新，</w:t>
      </w:r>
      <w:r>
        <w:rPr>
          <w:rFonts w:hint="eastAsia" w:ascii="仿宋" w:hAnsi="仿宋" w:eastAsia="仿宋" w:cs="仿宋"/>
          <w:b w:val="0"/>
          <w:bCs w:val="0"/>
          <w:i w:val="0"/>
          <w:iCs w:val="0"/>
          <w:caps w:val="0"/>
          <w:color w:val="000000"/>
          <w:spacing w:val="0"/>
          <w:kern w:val="2"/>
          <w:sz w:val="32"/>
          <w:szCs w:val="32"/>
          <w:shd w:val="clear" w:color="auto" w:fill="FFFFFF"/>
          <w:lang w:val="en-US" w:eastAsia="zh-CN" w:bidi="ar-SA"/>
        </w:rPr>
        <w:t>打造生态韧性城市。</w:t>
      </w:r>
      <w:r>
        <w:rPr>
          <w:rFonts w:hint="eastAsia" w:ascii="仿宋" w:hAnsi="仿宋" w:eastAsia="仿宋" w:cs="仿宋"/>
          <w:b/>
          <w:bCs/>
          <w:color w:val="auto"/>
          <w:sz w:val="32"/>
          <w:szCs w:val="32"/>
          <w:lang w:val="en-US" w:eastAsia="zh-CN"/>
        </w:rPr>
        <w:t>一是围绕打造“会呼吸”的城市，全面开展韧性城市建设，系统推进海绵城市暨雨污分流建设。</w:t>
      </w:r>
      <w:r>
        <w:rPr>
          <w:rFonts w:hint="eastAsia" w:ascii="仿宋" w:hAnsi="仿宋" w:eastAsia="仿宋" w:cs="仿宋"/>
          <w:color w:val="auto"/>
          <w:sz w:val="32"/>
          <w:szCs w:val="32"/>
          <w:lang w:val="en-US" w:eastAsia="zh-CN"/>
        </w:rPr>
        <w:t>2024年市级下达的雨污分流年度任务是新建、改造污水管网总计超6km，老旧小区改造计划30个。我区已完成全部30 个小区排水单元管网改造，改造污水管网完5.371km ，新建污水管网0.85km ，共计 6.221km ，全面完成市级年度任务目标。打造了教师新村、标厂四期、向阳路透水铺装和航空大道海绵示范项目。依托杨梅港综合治理项目完成梅子湖北驳岸生态铺装，成为渌口区一处新的网红打卡地。</w:t>
      </w:r>
      <w:r>
        <w:rPr>
          <w:rFonts w:hint="eastAsia" w:ascii="仿宋" w:hAnsi="仿宋" w:eastAsia="仿宋" w:cs="仿宋"/>
          <w:b/>
          <w:bCs/>
          <w:color w:val="auto"/>
          <w:sz w:val="32"/>
          <w:szCs w:val="32"/>
          <w:lang w:val="en-US" w:eastAsia="zh-CN"/>
        </w:rPr>
        <w:t>二是推进渌口老街历史文化示范片区申报，积极讲好老街故事。</w:t>
      </w:r>
      <w:r>
        <w:rPr>
          <w:rFonts w:hint="eastAsia" w:ascii="仿宋" w:hAnsi="仿宋" w:eastAsia="仿宋" w:cs="仿宋"/>
          <w:color w:val="auto"/>
          <w:sz w:val="32"/>
          <w:szCs w:val="32"/>
          <w:lang w:val="en-US" w:eastAsia="zh-CN"/>
        </w:rPr>
        <w:t>编制了《渌口老街保护与发展规划》，完了成历史文化示范片区申报资料编制及汇总并报送省住建厅；完成了《株洲市渌口区老街老旧街区提质改造项目》、《株洲市渌口区城区老旧小区提质改造及配套基础设施项目》中央预算内、国债、专项债项目的申报；与湖南省建筑设计院进行了洽谈，全力推动老街申报工作。</w:t>
      </w:r>
      <w:r>
        <w:rPr>
          <w:rFonts w:hint="eastAsia" w:ascii="仿宋" w:hAnsi="仿宋" w:eastAsia="仿宋" w:cs="仿宋"/>
          <w:b/>
          <w:bCs/>
          <w:kern w:val="2"/>
          <w:sz w:val="32"/>
          <w:szCs w:val="32"/>
          <w:lang w:val="en-US" w:eastAsia="zh-CN" w:bidi="ar-SA"/>
        </w:rPr>
        <w:t>三是全面推广绿色低碳、零碳建筑。</w:t>
      </w:r>
      <w:r>
        <w:rPr>
          <w:rFonts w:hint="eastAsia" w:ascii="仿宋" w:hAnsi="仿宋" w:eastAsia="仿宋" w:cs="仿宋"/>
          <w:b w:val="0"/>
          <w:bCs w:val="0"/>
          <w:kern w:val="2"/>
          <w:sz w:val="32"/>
          <w:szCs w:val="32"/>
          <w:lang w:val="en-US" w:eastAsia="zh-CN" w:bidi="ar-SA"/>
        </w:rPr>
        <w:t>全</w:t>
      </w:r>
      <w:r>
        <w:rPr>
          <w:rFonts w:hint="eastAsia" w:ascii="仿宋" w:hAnsi="仿宋" w:eastAsia="仿宋" w:cs="仿宋"/>
          <w:kern w:val="2"/>
          <w:sz w:val="32"/>
          <w:szCs w:val="32"/>
          <w:lang w:val="en-US" w:eastAsia="zh-CN" w:bidi="ar-SA"/>
        </w:rPr>
        <w:t>年累计新增装配式建筑面积2.6万㎡，装配率全超过50%。</w:t>
      </w:r>
      <w:r>
        <w:rPr>
          <w:rFonts w:hint="eastAsia" w:ascii="仿宋" w:hAnsi="仿宋" w:eastAsia="仿宋" w:cs="仿宋"/>
          <w:b w:val="0"/>
          <w:bCs w:val="0"/>
          <w:color w:val="auto"/>
          <w:sz w:val="32"/>
          <w:szCs w:val="32"/>
          <w:lang w:val="en-US" w:eastAsia="zh-CN"/>
        </w:rPr>
        <w:t>完成基本级绿色建筑建造要求，经季度检查、月检及项目自查，所有在建项目节能及防水要求全部100%落实到位。</w:t>
      </w:r>
    </w:p>
    <w:p w14:paraId="42207F6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i w:val="0"/>
          <w:iCs w:val="0"/>
          <w:caps w:val="0"/>
          <w:color w:val="000000"/>
          <w:spacing w:val="0"/>
          <w:kern w:val="2"/>
          <w:sz w:val="32"/>
          <w:szCs w:val="32"/>
          <w:shd w:val="clear" w:color="auto" w:fill="FFFFFF"/>
          <w:lang w:val="en-US" w:eastAsia="zh-CN" w:bidi="ar-SA"/>
        </w:rPr>
        <w:t>4.坚持两个至上理念，守牢安全生产底线。</w:t>
      </w:r>
      <w:r>
        <w:rPr>
          <w:rFonts w:hint="eastAsia" w:ascii="仿宋" w:hAnsi="仿宋" w:eastAsia="仿宋" w:cs="仿宋"/>
          <w:kern w:val="2"/>
          <w:sz w:val="32"/>
          <w:szCs w:val="32"/>
          <w:lang w:val="en-US" w:eastAsia="zh-CN" w:bidi="ar-SA"/>
        </w:rPr>
        <w:t>严格落实安全生产“三管三必须”要求，在建工程共排查整改安全隐患300余条，全年未发生一起一般以上安全生产事故。燃气领域排查录入企业1416家，查处群众举报瓶装燃气非法储存举报11起，收缴钢瓶233个。自建房领域233栋C/D级自住自建房已全部采取工程措施完成整治，并严格落实新建自建房监管，被评为全省自建房安全专项整治先进单位。坚持“管合法也要管非法”，实施靠前执法。坚持“打非治违”震慑，全年累计共查处和移交各类违法行为 30 起，累计处罚26起，其中工程项目未批先建6起、自建房未批先建5起、营业场所未办理消防验收或备案9起、燃气违法行为7起、非法倾倒污泥1起，处罚累计金额40.12万元，9起典型案例被市局采用，2起被省厅采纳在全省推介，1起被省厅推荐到住建部。</w:t>
      </w:r>
    </w:p>
    <w:p w14:paraId="5A12E31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4C33D03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1.年初预算项目专项资金</w:t>
      </w:r>
      <w:r>
        <w:rPr>
          <w:rFonts w:hint="eastAsia" w:ascii="仿宋_GB2312" w:eastAsia="仿宋_GB2312"/>
          <w:sz w:val="32"/>
          <w:szCs w:val="32"/>
          <w:lang w:val="en-US" w:eastAsia="zh-CN"/>
        </w:rPr>
        <w:t>4067.01万元</w:t>
      </w:r>
      <w:r>
        <w:rPr>
          <w:rFonts w:hint="eastAsia" w:ascii="仿宋_GB2312" w:eastAsia="仿宋_GB2312"/>
          <w:sz w:val="32"/>
          <w:szCs w:val="32"/>
        </w:rPr>
        <w:t>，年中执行调增</w:t>
      </w:r>
      <w:r>
        <w:rPr>
          <w:rFonts w:hint="eastAsia" w:ascii="仿宋_GB2312" w:eastAsia="仿宋_GB2312"/>
          <w:sz w:val="32"/>
          <w:szCs w:val="32"/>
          <w:lang w:val="en-US" w:eastAsia="zh-CN"/>
        </w:rPr>
        <w:t>70</w:t>
      </w:r>
      <w:r>
        <w:rPr>
          <w:rFonts w:hint="eastAsia" w:ascii="仿宋_GB2312" w:eastAsia="仿宋_GB2312"/>
          <w:sz w:val="32"/>
          <w:szCs w:val="32"/>
        </w:rPr>
        <w:t>万元，实际支出</w:t>
      </w:r>
      <w:r>
        <w:rPr>
          <w:rFonts w:hint="eastAsia" w:ascii="仿宋_GB2312" w:eastAsia="仿宋_GB2312"/>
          <w:sz w:val="32"/>
          <w:szCs w:val="32"/>
          <w:lang w:val="en-US" w:eastAsia="zh-CN"/>
        </w:rPr>
        <w:t>2346.87</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p>
    <w:p w14:paraId="142061B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 xml:space="preserve"> 各乡镇污水处理厂、站运营费</w:t>
      </w:r>
      <w:r>
        <w:rPr>
          <w:rFonts w:hint="eastAsia" w:ascii="仿宋_GB2312" w:eastAsia="仿宋_GB2312"/>
          <w:sz w:val="32"/>
          <w:szCs w:val="32"/>
        </w:rPr>
        <w:t>项目</w:t>
      </w:r>
    </w:p>
    <w:p w14:paraId="74B33A28">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76.25</w:t>
      </w:r>
      <w:r>
        <w:rPr>
          <w:rFonts w:hint="eastAsia" w:ascii="仿宋_GB2312" w:eastAsia="仿宋_GB2312"/>
          <w:sz w:val="32"/>
          <w:szCs w:val="32"/>
        </w:rPr>
        <w:t>万元，</w:t>
      </w:r>
      <w:r>
        <w:rPr>
          <w:rFonts w:hint="eastAsia" w:ascii="仿宋_GB2312" w:eastAsia="仿宋_GB2312"/>
          <w:sz w:val="32"/>
          <w:szCs w:val="32"/>
          <w:lang w:eastAsia="zh-CN"/>
        </w:rPr>
        <w:t>年中执行追加</w:t>
      </w:r>
      <w:r>
        <w:rPr>
          <w:rFonts w:hint="eastAsia" w:ascii="仿宋_GB2312" w:eastAsia="仿宋_GB2312"/>
          <w:sz w:val="32"/>
          <w:szCs w:val="32"/>
          <w:lang w:val="en-US" w:eastAsia="zh-CN"/>
        </w:rPr>
        <w:t>30万元预算，</w:t>
      </w:r>
      <w:r>
        <w:rPr>
          <w:rFonts w:hint="eastAsia" w:ascii="仿宋_GB2312" w:eastAsia="仿宋_GB2312"/>
          <w:sz w:val="32"/>
          <w:szCs w:val="32"/>
        </w:rPr>
        <w:t>主要用于</w:t>
      </w:r>
      <w:r>
        <w:rPr>
          <w:rFonts w:hint="eastAsia" w:ascii="仿宋_GB2312" w:eastAsia="仿宋_GB2312"/>
          <w:sz w:val="32"/>
          <w:szCs w:val="32"/>
          <w:lang w:eastAsia="zh-CN"/>
        </w:rPr>
        <w:t>朱亭、淦田、古岳峰污水处理厂及均坝、李公庙、铁航等污水处理站运营</w:t>
      </w:r>
      <w:r>
        <w:rPr>
          <w:rFonts w:hint="eastAsia" w:ascii="仿宋_GB2312" w:eastAsia="仿宋_GB2312"/>
          <w:sz w:val="32"/>
          <w:szCs w:val="32"/>
        </w:rPr>
        <w:t>。</w:t>
      </w:r>
    </w:p>
    <w:p w14:paraId="39FEA3D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城市维护与建设</w:t>
      </w:r>
      <w:r>
        <w:rPr>
          <w:rFonts w:hint="eastAsia" w:ascii="仿宋_GB2312" w:eastAsia="仿宋_GB2312"/>
          <w:sz w:val="32"/>
          <w:szCs w:val="32"/>
        </w:rPr>
        <w:t>项目</w:t>
      </w:r>
    </w:p>
    <w:p w14:paraId="045D848E">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101.19</w:t>
      </w:r>
      <w:r>
        <w:rPr>
          <w:rFonts w:hint="eastAsia" w:ascii="仿宋_GB2312" w:eastAsia="仿宋_GB2312"/>
          <w:sz w:val="32"/>
          <w:szCs w:val="32"/>
        </w:rPr>
        <w:t>万元，主要用于</w:t>
      </w:r>
      <w:r>
        <w:rPr>
          <w:rFonts w:hint="eastAsia" w:ascii="仿宋_GB2312" w:eastAsia="仿宋_GB2312"/>
          <w:sz w:val="32"/>
          <w:szCs w:val="32"/>
          <w:lang w:eastAsia="zh-CN"/>
        </w:rPr>
        <w:t>历年来我区各城市建设与维护零星工程支出</w:t>
      </w:r>
      <w:r>
        <w:rPr>
          <w:rFonts w:hint="eastAsia" w:ascii="仿宋_GB2312" w:eastAsia="仿宋_GB2312"/>
          <w:sz w:val="32"/>
          <w:szCs w:val="32"/>
        </w:rPr>
        <w:t>。</w:t>
      </w:r>
    </w:p>
    <w:p w14:paraId="2DDB68B0">
      <w:pPr>
        <w:numPr>
          <w:ilvl w:val="0"/>
          <w:numId w:val="3"/>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县生活污水处理PPP项目运营费（龙潭、龙门、龙船污水处理厂）项目</w:t>
      </w:r>
    </w:p>
    <w:p w14:paraId="230EC864">
      <w:pPr>
        <w:numPr>
          <w:ilvl w:val="0"/>
          <w:numId w:val="0"/>
        </w:numPr>
        <w:tabs>
          <w:tab w:val="left" w:pos="7560"/>
        </w:tabs>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项目支出40万元，主要用于龙潭、龙门、龙船污水处理厂的运营费用。</w:t>
      </w:r>
    </w:p>
    <w:p w14:paraId="5EE54F10">
      <w:pPr>
        <w:numPr>
          <w:ilvl w:val="0"/>
          <w:numId w:val="3"/>
        </w:num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南洲水质净化中心</w:t>
      </w:r>
      <w:r>
        <w:rPr>
          <w:rFonts w:hint="eastAsia" w:ascii="仿宋_GB2312" w:eastAsia="仿宋_GB2312"/>
          <w:sz w:val="32"/>
          <w:szCs w:val="32"/>
          <w:lang w:val="en-US" w:eastAsia="zh-CN"/>
        </w:rPr>
        <w:t>项目</w:t>
      </w:r>
    </w:p>
    <w:p w14:paraId="030043FA">
      <w:pPr>
        <w:numPr>
          <w:ilvl w:val="0"/>
          <w:numId w:val="0"/>
        </w:numPr>
        <w:tabs>
          <w:tab w:val="left" w:pos="7560"/>
        </w:tabs>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项目支出1042.02万元，主要用于区经开区水质净化中心运营费。</w:t>
      </w:r>
    </w:p>
    <w:p w14:paraId="34D12124">
      <w:pPr>
        <w:numPr>
          <w:ilvl w:val="0"/>
          <w:numId w:val="3"/>
        </w:num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房屋建筑和市政设施风险普查采购第三方服务费</w:t>
      </w:r>
      <w:r>
        <w:rPr>
          <w:rFonts w:hint="eastAsia" w:ascii="仿宋_GB2312" w:eastAsia="仿宋_GB2312"/>
          <w:sz w:val="32"/>
          <w:szCs w:val="32"/>
          <w:lang w:val="en-US" w:eastAsia="zh-CN"/>
        </w:rPr>
        <w:t>项目</w:t>
      </w:r>
    </w:p>
    <w:p w14:paraId="409E0F28">
      <w:pPr>
        <w:widowControl w:val="0"/>
        <w:numPr>
          <w:ilvl w:val="0"/>
          <w:numId w:val="0"/>
        </w:numPr>
        <w:tabs>
          <w:tab w:val="left" w:pos="7560"/>
        </w:tabs>
        <w:adjustRightInd w:val="0"/>
        <w:snapToGrid w:val="0"/>
        <w:spacing w:line="56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项目支出30万元，主要用于支付</w:t>
      </w:r>
      <w:r>
        <w:rPr>
          <w:rFonts w:hint="default" w:ascii="仿宋_GB2312" w:eastAsia="仿宋_GB2312"/>
          <w:sz w:val="32"/>
          <w:szCs w:val="32"/>
          <w:lang w:val="en-US" w:eastAsia="zh-CN"/>
        </w:rPr>
        <w:t>房屋建筑和市政设施风险普查采购第三方服务费</w:t>
      </w:r>
      <w:r>
        <w:rPr>
          <w:rFonts w:hint="eastAsia" w:ascii="仿宋_GB2312" w:eastAsia="仿宋_GB2312"/>
          <w:sz w:val="32"/>
          <w:szCs w:val="32"/>
          <w:lang w:val="en-US" w:eastAsia="zh-CN"/>
        </w:rPr>
        <w:t>应付款。</w:t>
      </w:r>
    </w:p>
    <w:p w14:paraId="24DD99B5">
      <w:pPr>
        <w:widowControl w:val="0"/>
        <w:numPr>
          <w:ilvl w:val="0"/>
          <w:numId w:val="3"/>
        </w:numPr>
        <w:tabs>
          <w:tab w:val="left" w:pos="7560"/>
        </w:tabs>
        <w:adjustRightInd w:val="0"/>
        <w:snapToGrid w:val="0"/>
        <w:spacing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施工图审查服务费项目</w:t>
      </w:r>
    </w:p>
    <w:p w14:paraId="1D34ACA7">
      <w:pPr>
        <w:widowControl w:val="0"/>
        <w:numPr>
          <w:ilvl w:val="0"/>
          <w:numId w:val="0"/>
        </w:numPr>
        <w:tabs>
          <w:tab w:val="left" w:pos="7560"/>
        </w:tabs>
        <w:adjustRightInd w:val="0"/>
        <w:snapToGrid w:val="0"/>
        <w:spacing w:line="560" w:lineRule="exact"/>
        <w:ind w:left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项目支出33万元，主要用于对建设项目施工企业施工图审查服务费支出。</w:t>
      </w:r>
    </w:p>
    <w:p w14:paraId="4BE74134">
      <w:pPr>
        <w:widowControl w:val="0"/>
        <w:numPr>
          <w:ilvl w:val="0"/>
          <w:numId w:val="3"/>
        </w:numPr>
        <w:tabs>
          <w:tab w:val="left" w:pos="7560"/>
        </w:tabs>
        <w:adjustRightInd w:val="0"/>
        <w:snapToGrid w:val="0"/>
        <w:spacing w:line="560" w:lineRule="exact"/>
        <w:ind w:left="0" w:leftChars="0" w:firstLine="640" w:firstLineChars="200"/>
        <w:jc w:val="both"/>
        <w:rPr>
          <w:rFonts w:hint="default" w:ascii="仿宋_GB2312" w:eastAsia="仿宋_GB2312"/>
          <w:sz w:val="32"/>
          <w:szCs w:val="32"/>
          <w:lang w:val="en-US" w:eastAsia="zh-CN"/>
        </w:rPr>
      </w:pPr>
      <w:r>
        <w:rPr>
          <w:rFonts w:hint="default" w:ascii="仿宋_GB2312" w:eastAsia="仿宋_GB2312"/>
          <w:sz w:val="32"/>
          <w:szCs w:val="32"/>
          <w:lang w:val="en-US" w:eastAsia="zh-CN"/>
        </w:rPr>
        <w:t>渌口区水环境综合治理一期PPP项目运营费（向阳路、湾塘提升泵站及排渍站）</w:t>
      </w:r>
      <w:r>
        <w:rPr>
          <w:rFonts w:hint="eastAsia" w:ascii="仿宋_GB2312" w:eastAsia="仿宋_GB2312"/>
          <w:sz w:val="32"/>
          <w:szCs w:val="32"/>
          <w:lang w:val="en-US" w:eastAsia="zh-CN"/>
        </w:rPr>
        <w:t>项目</w:t>
      </w:r>
    </w:p>
    <w:p w14:paraId="3C035D84">
      <w:pPr>
        <w:widowControl w:val="0"/>
        <w:numPr>
          <w:ilvl w:val="0"/>
          <w:numId w:val="0"/>
        </w:numPr>
        <w:tabs>
          <w:tab w:val="left" w:pos="7560"/>
        </w:tabs>
        <w:adjustRightInd w:val="0"/>
        <w:snapToGrid w:val="0"/>
        <w:spacing w:line="56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项目支出800万元，主要用于</w:t>
      </w:r>
      <w:r>
        <w:rPr>
          <w:rFonts w:hint="default" w:ascii="仿宋_GB2312" w:eastAsia="仿宋_GB2312"/>
          <w:sz w:val="32"/>
          <w:szCs w:val="32"/>
          <w:lang w:val="en-US" w:eastAsia="zh-CN"/>
        </w:rPr>
        <w:t>水环境综合治理一期PPP项目运营费</w:t>
      </w:r>
      <w:r>
        <w:rPr>
          <w:rFonts w:hint="eastAsia" w:ascii="仿宋_GB2312" w:eastAsia="仿宋_GB2312"/>
          <w:sz w:val="32"/>
          <w:szCs w:val="32"/>
          <w:lang w:val="en-US" w:eastAsia="zh-CN"/>
        </w:rPr>
        <w:t>。</w:t>
      </w:r>
    </w:p>
    <w:p w14:paraId="4C3D93CB">
      <w:pPr>
        <w:widowControl w:val="0"/>
        <w:numPr>
          <w:ilvl w:val="0"/>
          <w:numId w:val="3"/>
        </w:numPr>
        <w:tabs>
          <w:tab w:val="left" w:pos="7560"/>
        </w:tabs>
        <w:adjustRightInd w:val="0"/>
        <w:snapToGrid w:val="0"/>
        <w:spacing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渌口区西山岭一体化临时污水处理站运营费及电费项目</w:t>
      </w:r>
    </w:p>
    <w:p w14:paraId="58F49300">
      <w:pPr>
        <w:widowControl w:val="0"/>
        <w:numPr>
          <w:ilvl w:val="0"/>
          <w:numId w:val="0"/>
        </w:numPr>
        <w:tabs>
          <w:tab w:val="left" w:pos="7560"/>
        </w:tabs>
        <w:adjustRightInd w:val="0"/>
        <w:snapToGrid w:val="0"/>
        <w:spacing w:line="560" w:lineRule="exact"/>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项目支出73.95万元，主要用于支付西山岭一体化临时污水处理站运营费及电费。</w:t>
      </w:r>
    </w:p>
    <w:p w14:paraId="082EE6F5">
      <w:pPr>
        <w:widowControl w:val="0"/>
        <w:numPr>
          <w:ilvl w:val="0"/>
          <w:numId w:val="3"/>
        </w:numPr>
        <w:tabs>
          <w:tab w:val="left" w:pos="7560"/>
        </w:tabs>
        <w:adjustRightInd w:val="0"/>
        <w:snapToGrid w:val="0"/>
        <w:spacing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消防、环卫用水项目</w:t>
      </w:r>
    </w:p>
    <w:p w14:paraId="55FEF1E1">
      <w:pPr>
        <w:widowControl w:val="0"/>
        <w:numPr>
          <w:ilvl w:val="0"/>
          <w:numId w:val="0"/>
        </w:numPr>
        <w:tabs>
          <w:tab w:val="left" w:pos="7560"/>
        </w:tabs>
        <w:adjustRightInd w:val="0"/>
        <w:snapToGrid w:val="0"/>
        <w:spacing w:line="560" w:lineRule="exact"/>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项目支出54万元，主要用于消防、环卫、绿化用水。</w:t>
      </w:r>
    </w:p>
    <w:p w14:paraId="40139176">
      <w:pPr>
        <w:widowControl w:val="0"/>
        <w:numPr>
          <w:ilvl w:val="0"/>
          <w:numId w:val="3"/>
        </w:numPr>
        <w:tabs>
          <w:tab w:val="left" w:pos="7560"/>
        </w:tabs>
        <w:adjustRightInd w:val="0"/>
        <w:snapToGrid w:val="0"/>
        <w:spacing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乡村建设工匠培训费用项目</w:t>
      </w:r>
    </w:p>
    <w:p w14:paraId="2B148F61">
      <w:pPr>
        <w:widowControl w:val="0"/>
        <w:numPr>
          <w:ilvl w:val="0"/>
          <w:numId w:val="0"/>
        </w:numPr>
        <w:tabs>
          <w:tab w:val="left" w:pos="7560"/>
        </w:tabs>
        <w:adjustRightInd w:val="0"/>
        <w:snapToGrid w:val="0"/>
        <w:spacing w:line="560" w:lineRule="exact"/>
        <w:ind w:left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项目支出7.84万元，主要用于支付乡村建设工匠培训产生的相关费用。</w:t>
      </w:r>
    </w:p>
    <w:p w14:paraId="43D321B8">
      <w:pPr>
        <w:widowControl w:val="0"/>
        <w:numPr>
          <w:ilvl w:val="0"/>
          <w:numId w:val="3"/>
        </w:numPr>
        <w:tabs>
          <w:tab w:val="left" w:pos="7560"/>
        </w:tabs>
        <w:adjustRightInd w:val="0"/>
        <w:snapToGrid w:val="0"/>
        <w:spacing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城市危旧房摸底调查项目</w:t>
      </w:r>
    </w:p>
    <w:p w14:paraId="559C8E7A">
      <w:pPr>
        <w:widowControl w:val="0"/>
        <w:numPr>
          <w:ilvl w:val="0"/>
          <w:numId w:val="0"/>
        </w:numPr>
        <w:tabs>
          <w:tab w:val="left" w:pos="7560"/>
        </w:tabs>
        <w:adjustRightInd w:val="0"/>
        <w:snapToGrid w:val="0"/>
        <w:spacing w:line="560" w:lineRule="exact"/>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项目支出16万元，主要用于对城市危旧房屋摸底调查服务费。</w:t>
      </w:r>
    </w:p>
    <w:p w14:paraId="77B8BFCA">
      <w:pPr>
        <w:widowControl w:val="0"/>
        <w:numPr>
          <w:ilvl w:val="0"/>
          <w:numId w:val="3"/>
        </w:numPr>
        <w:tabs>
          <w:tab w:val="left" w:pos="7560"/>
        </w:tabs>
        <w:adjustRightInd w:val="0"/>
        <w:snapToGrid w:val="0"/>
        <w:spacing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居民自建房安全专项整治项目</w:t>
      </w:r>
    </w:p>
    <w:p w14:paraId="6DA5BAFF">
      <w:pPr>
        <w:widowControl w:val="0"/>
        <w:numPr>
          <w:ilvl w:val="0"/>
          <w:numId w:val="0"/>
        </w:numPr>
        <w:tabs>
          <w:tab w:val="left" w:pos="7560"/>
        </w:tabs>
        <w:adjustRightInd w:val="0"/>
        <w:snapToGrid w:val="0"/>
        <w:spacing w:line="560" w:lineRule="exact"/>
        <w:jc w:val="both"/>
        <w:rPr>
          <w:rFonts w:hint="eastAsia" w:ascii="仿宋_GB2312" w:eastAsia="仿宋_GB2312"/>
          <w:sz w:val="32"/>
          <w:szCs w:val="32"/>
        </w:rPr>
      </w:pPr>
      <w:r>
        <w:rPr>
          <w:rFonts w:hint="eastAsia" w:ascii="仿宋_GB2312" w:eastAsia="仿宋_GB2312"/>
          <w:sz w:val="32"/>
          <w:szCs w:val="32"/>
          <w:lang w:val="en-US" w:eastAsia="zh-CN"/>
        </w:rPr>
        <w:t xml:space="preserve">    项目支出72.62万元，年</w:t>
      </w:r>
      <w:r>
        <w:rPr>
          <w:rFonts w:hint="eastAsia" w:ascii="仿宋_GB2312" w:eastAsia="仿宋_GB2312"/>
          <w:sz w:val="32"/>
          <w:szCs w:val="32"/>
          <w:lang w:eastAsia="zh-CN"/>
        </w:rPr>
        <w:t>中执行追加</w:t>
      </w:r>
      <w:r>
        <w:rPr>
          <w:rFonts w:hint="eastAsia" w:ascii="仿宋_GB2312" w:eastAsia="仿宋_GB2312"/>
          <w:sz w:val="32"/>
          <w:szCs w:val="32"/>
          <w:lang w:val="en-US" w:eastAsia="zh-CN"/>
        </w:rPr>
        <w:t>40万元预算，主要用于乡镇自主CD级非经营性自建房整治奖补资金及自建房安全专项整治工作经费。</w:t>
      </w:r>
    </w:p>
    <w:p w14:paraId="0A3F0B8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2.年中追加</w:t>
      </w:r>
      <w:r>
        <w:rPr>
          <w:rFonts w:hint="eastAsia" w:ascii="仿宋_GB2312" w:eastAsia="仿宋_GB2312"/>
          <w:sz w:val="32"/>
          <w:szCs w:val="32"/>
          <w:lang w:eastAsia="zh-CN"/>
        </w:rPr>
        <w:t>株洲市渌口区湘江东岸片区城市智能停车场及配套设施建设项目、梅子湖片区配套基础设施建设等项目</w:t>
      </w:r>
      <w:r>
        <w:rPr>
          <w:rFonts w:hint="eastAsia" w:ascii="仿宋_GB2312" w:eastAsia="仿宋_GB2312"/>
          <w:sz w:val="32"/>
          <w:szCs w:val="32"/>
        </w:rPr>
        <w:t>，金额</w:t>
      </w:r>
      <w:r>
        <w:rPr>
          <w:rFonts w:hint="eastAsia" w:ascii="仿宋_GB2312" w:eastAsia="仿宋_GB2312"/>
          <w:sz w:val="32"/>
          <w:szCs w:val="32"/>
          <w:lang w:eastAsia="zh-CN"/>
        </w:rPr>
        <w:t>共计</w:t>
      </w:r>
      <w:r>
        <w:rPr>
          <w:rFonts w:hint="eastAsia" w:ascii="仿宋_GB2312" w:eastAsia="仿宋_GB2312"/>
          <w:sz w:val="32"/>
          <w:szCs w:val="32"/>
          <w:lang w:val="en-US" w:eastAsia="zh-CN"/>
        </w:rPr>
        <w:t>9302.57</w:t>
      </w:r>
      <w:r>
        <w:rPr>
          <w:rFonts w:hint="eastAsia" w:ascii="仿宋_GB2312" w:eastAsia="仿宋_GB2312"/>
          <w:sz w:val="32"/>
          <w:szCs w:val="32"/>
        </w:rPr>
        <w:t>万元，实际支出</w:t>
      </w:r>
      <w:r>
        <w:rPr>
          <w:rFonts w:hint="eastAsia" w:ascii="仿宋_GB2312" w:eastAsia="仿宋_GB2312"/>
          <w:sz w:val="32"/>
          <w:szCs w:val="32"/>
          <w:lang w:val="en-US" w:eastAsia="zh-CN"/>
        </w:rPr>
        <w:t>9302.57</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p>
    <w:p w14:paraId="3832FD6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（1）海绵城市建设项目奖补资金项目</w:t>
      </w:r>
    </w:p>
    <w:p w14:paraId="3E950DDC">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951</w:t>
      </w:r>
      <w:r>
        <w:rPr>
          <w:rFonts w:hint="eastAsia" w:ascii="仿宋_GB2312" w:eastAsia="仿宋_GB2312"/>
          <w:sz w:val="32"/>
          <w:szCs w:val="32"/>
        </w:rPr>
        <w:t>万元，主要用于海绵城市建设项目奖补资金项目</w:t>
      </w:r>
      <w:r>
        <w:rPr>
          <w:rFonts w:hint="eastAsia" w:ascii="仿宋_GB2312" w:eastAsia="仿宋_GB2312"/>
          <w:sz w:val="32"/>
          <w:szCs w:val="32"/>
          <w:lang w:eastAsia="zh-CN"/>
        </w:rPr>
        <w:t>：环湖西路、</w:t>
      </w:r>
      <w:r>
        <w:rPr>
          <w:rFonts w:hint="eastAsia" w:ascii="仿宋_GB2312" w:eastAsia="仿宋_GB2312"/>
          <w:sz w:val="32"/>
          <w:szCs w:val="32"/>
          <w:lang w:val="en-US" w:eastAsia="zh-CN"/>
        </w:rPr>
        <w:t>2023年梅丘路、航空大道株洲县段建设、梅子湖公园等项目。</w:t>
      </w:r>
    </w:p>
    <w:p w14:paraId="0181C346">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农村危房改造</w:t>
      </w:r>
      <w:r>
        <w:rPr>
          <w:rFonts w:hint="eastAsia" w:ascii="仿宋_GB2312" w:eastAsia="仿宋_GB2312"/>
          <w:sz w:val="32"/>
          <w:szCs w:val="32"/>
        </w:rPr>
        <w:t>项目</w:t>
      </w:r>
    </w:p>
    <w:p w14:paraId="2960E44D">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48.4</w:t>
      </w:r>
      <w:r>
        <w:rPr>
          <w:rFonts w:hint="eastAsia" w:ascii="仿宋_GB2312" w:eastAsia="仿宋_GB2312"/>
          <w:sz w:val="32"/>
          <w:szCs w:val="32"/>
        </w:rPr>
        <w:t>万元，</w:t>
      </w:r>
      <w:r>
        <w:rPr>
          <w:rFonts w:hint="eastAsia" w:ascii="仿宋_GB2312" w:eastAsia="仿宋_GB2312"/>
          <w:sz w:val="32"/>
          <w:szCs w:val="32"/>
          <w:lang w:eastAsia="zh-CN"/>
        </w:rPr>
        <w:t>年中下达中央直达补助资金</w:t>
      </w:r>
      <w:r>
        <w:rPr>
          <w:rFonts w:hint="eastAsia" w:ascii="仿宋_GB2312" w:eastAsia="仿宋_GB2312"/>
          <w:sz w:val="32"/>
          <w:szCs w:val="32"/>
          <w:lang w:val="en-US" w:eastAsia="zh-CN"/>
        </w:rPr>
        <w:t>33万元，本级财政追加15.4万元，主要用于支付农村危房改造补助资金。</w:t>
      </w:r>
    </w:p>
    <w:p w14:paraId="31569C62">
      <w:pPr>
        <w:numPr>
          <w:ilvl w:val="0"/>
          <w:numId w:val="4"/>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株洲市渌口区湘江东岸片区城市智能停车场及配套设施建设项目</w:t>
      </w:r>
    </w:p>
    <w:p w14:paraId="078E0E7F">
      <w:pPr>
        <w:numPr>
          <w:ilvl w:val="0"/>
          <w:numId w:val="0"/>
        </w:numPr>
        <w:tabs>
          <w:tab w:val="left" w:pos="7560"/>
        </w:tabs>
        <w:adjustRightInd w:val="0"/>
        <w:snapToGrid w:val="0"/>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项目支出4800万元，主要用于渌口区湘江东岸片区城市智能停车场及配套设施建设支出。</w:t>
      </w:r>
    </w:p>
    <w:p w14:paraId="75186A41">
      <w:pPr>
        <w:numPr>
          <w:ilvl w:val="0"/>
          <w:numId w:val="4"/>
        </w:numPr>
        <w:tabs>
          <w:tab w:val="left" w:pos="7560"/>
        </w:tabs>
        <w:adjustRightInd w:val="0"/>
        <w:snapToGrid w:val="0"/>
        <w:spacing w:line="56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上级资金项目</w:t>
      </w:r>
    </w:p>
    <w:p w14:paraId="478FB03F">
      <w:pPr>
        <w:numPr>
          <w:ilvl w:val="0"/>
          <w:numId w:val="0"/>
        </w:numPr>
        <w:tabs>
          <w:tab w:val="left" w:pos="7560"/>
        </w:tabs>
        <w:adjustRightInd w:val="0"/>
        <w:snapToGrid w:val="0"/>
        <w:spacing w:line="560" w:lineRule="exact"/>
        <w:ind w:left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项目支出1738.45万元，资金均为中央预算内资金，主要用于渌口区梅子湖片区排水防涝建设项目、工人文化宫配套基础设施工程、渌口区向阳南路东片区老旧小区改造配套基础设施项目、渌水流域杨梅港生态环境综合治理项目等。</w:t>
      </w:r>
    </w:p>
    <w:p w14:paraId="50019948">
      <w:pPr>
        <w:numPr>
          <w:ilvl w:val="0"/>
          <w:numId w:val="4"/>
        </w:numPr>
        <w:tabs>
          <w:tab w:val="left" w:pos="7560"/>
        </w:tabs>
        <w:adjustRightInd w:val="0"/>
        <w:snapToGrid w:val="0"/>
        <w:spacing w:line="56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梅子湖片区配套基础设施建设项目</w:t>
      </w:r>
    </w:p>
    <w:p w14:paraId="276CC5C5">
      <w:pPr>
        <w:numPr>
          <w:ilvl w:val="0"/>
          <w:numId w:val="0"/>
        </w:numPr>
        <w:tabs>
          <w:tab w:val="left" w:pos="7560"/>
        </w:tabs>
        <w:adjustRightInd w:val="0"/>
        <w:snapToGrid w:val="0"/>
        <w:spacing w:line="560" w:lineRule="exact"/>
        <w:ind w:left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项目支出1037.76万元，主要用于梅子湖片区配套基础设施建设项目支出。</w:t>
      </w:r>
    </w:p>
    <w:p w14:paraId="735F61C8">
      <w:pPr>
        <w:numPr>
          <w:ilvl w:val="0"/>
          <w:numId w:val="4"/>
        </w:numPr>
        <w:tabs>
          <w:tab w:val="left" w:pos="7560"/>
        </w:tabs>
        <w:adjustRightInd w:val="0"/>
        <w:snapToGrid w:val="0"/>
        <w:spacing w:line="56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伏波大道提质改造项目</w:t>
      </w:r>
    </w:p>
    <w:p w14:paraId="77608932">
      <w:pPr>
        <w:numPr>
          <w:ilvl w:val="0"/>
          <w:numId w:val="0"/>
        </w:numPr>
        <w:tabs>
          <w:tab w:val="left" w:pos="7560"/>
        </w:tabs>
        <w:adjustRightInd w:val="0"/>
        <w:snapToGrid w:val="0"/>
        <w:spacing w:line="560" w:lineRule="exact"/>
        <w:ind w:left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项目支出599.64万元，主要用于支付伏波大道提质改造项目应付款。</w:t>
      </w:r>
    </w:p>
    <w:p w14:paraId="3F0B7380">
      <w:pPr>
        <w:numPr>
          <w:ilvl w:val="0"/>
          <w:numId w:val="4"/>
        </w:numPr>
        <w:tabs>
          <w:tab w:val="left" w:pos="7560"/>
        </w:tabs>
        <w:adjustRightInd w:val="0"/>
        <w:snapToGrid w:val="0"/>
        <w:spacing w:line="56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零星专项支出项目</w:t>
      </w:r>
    </w:p>
    <w:p w14:paraId="08B8D788">
      <w:pPr>
        <w:numPr>
          <w:ilvl w:val="0"/>
          <w:numId w:val="0"/>
        </w:numPr>
        <w:tabs>
          <w:tab w:val="left" w:pos="7560"/>
        </w:tabs>
        <w:adjustRightInd w:val="0"/>
        <w:snapToGrid w:val="0"/>
        <w:spacing w:line="560" w:lineRule="exact"/>
        <w:ind w:left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项目支出127.32万元，主要用于四上企业奖励、各项目申报前期费用等。</w:t>
      </w:r>
    </w:p>
    <w:p w14:paraId="0CBAADBB">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44C65EE8">
      <w:pPr>
        <w:spacing w:line="600" w:lineRule="exact"/>
        <w:ind w:firstLine="640" w:firstLineChars="200"/>
        <w:rPr>
          <w:rFonts w:ascii="仿宋" w:hAnsi="仿宋" w:eastAsia="仿宋"/>
          <w:sz w:val="32"/>
          <w:szCs w:val="32"/>
        </w:rPr>
      </w:pPr>
      <w:r>
        <w:rPr>
          <w:rFonts w:hint="eastAsia" w:ascii="仿宋" w:hAnsi="仿宋" w:eastAsia="仿宋"/>
          <w:sz w:val="32"/>
          <w:szCs w:val="32"/>
        </w:rPr>
        <w:t>由于年初编制预算的不可控性，导致年内预算与实际需求偏差太大，年中部分新项目的启动，编制预算时难以精确预计，在预算执行中造成个别预算项目出现偏差现象，影响预算的控制与执行。</w:t>
      </w:r>
    </w:p>
    <w:p w14:paraId="2DAAD90A">
      <w:pPr>
        <w:numPr>
          <w:ilvl w:val="0"/>
          <w:numId w:val="5"/>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7EAA6279">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ascii="宋体" w:hAnsi="宋体" w:cs="宋体"/>
          <w:color w:val="333333"/>
          <w:kern w:val="0"/>
          <w:sz w:val="32"/>
          <w:szCs w:val="32"/>
        </w:rPr>
      </w:pPr>
      <w:r>
        <w:rPr>
          <w:rFonts w:hint="eastAsia" w:ascii="仿宋" w:hAnsi="仿宋" w:eastAsia="仿宋" w:cs="宋体"/>
          <w:color w:val="333333"/>
          <w:kern w:val="0"/>
          <w:sz w:val="32"/>
          <w:szCs w:val="32"/>
        </w:rPr>
        <w:t>一、科学合理地编制部门预算，预算结合本部门的事业发展计划、职责和任务测算，确保部门预算编制真实、准确、完整。</w:t>
      </w:r>
      <w:r>
        <w:rPr>
          <w:rFonts w:ascii="宋体" w:hAnsi="宋体" w:cs="宋体"/>
          <w:color w:val="333333"/>
          <w:kern w:val="0"/>
          <w:sz w:val="32"/>
          <w:szCs w:val="32"/>
        </w:rPr>
        <w:t xml:space="preserve"> </w:t>
      </w:r>
    </w:p>
    <w:p w14:paraId="3969C8AD">
      <w:pPr>
        <w:widowControl/>
        <w:shd w:val="clear" w:color="auto" w:fill="FFFFFF"/>
        <w:spacing w:line="480" w:lineRule="auto"/>
        <w:ind w:firstLine="555"/>
        <w:jc w:val="left"/>
        <w:textAlignment w:val="center"/>
        <w:rPr>
          <w:rFonts w:ascii="宋体" w:hAnsi="宋体" w:cs="宋体"/>
          <w:color w:val="333333"/>
          <w:kern w:val="0"/>
          <w:sz w:val="32"/>
          <w:szCs w:val="32"/>
        </w:rPr>
      </w:pPr>
      <w:r>
        <w:rPr>
          <w:rFonts w:hint="eastAsia" w:ascii="仿宋" w:hAnsi="仿宋" w:eastAsia="仿宋" w:cs="宋体"/>
          <w:color w:val="333333"/>
          <w:kern w:val="0"/>
          <w:sz w:val="32"/>
          <w:szCs w:val="32"/>
        </w:rPr>
        <w:t>二、加强政策学习，提高思想认识。组织大家认真学习《预算法》等相关法规、制度，提高单位领导对全面预算管理的重视程度。</w:t>
      </w:r>
    </w:p>
    <w:p w14:paraId="43517545">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三、细化预算指标，提高预算科学性。预算编制前根据年度内</w:t>
      </w:r>
    </w:p>
    <w:p w14:paraId="133E52E1">
      <w:pPr>
        <w:keepNext w:val="0"/>
        <w:keepLines w:val="0"/>
        <w:widowControl w:val="0"/>
        <w:numPr>
          <w:ilvl w:val="0"/>
          <w:numId w:val="0"/>
        </w:numPr>
        <w:suppressLineNumbers w:val="0"/>
        <w:spacing w:before="0" w:beforeAutospacing="0" w:after="0" w:afterAutospacing="0" w:line="600" w:lineRule="exact"/>
        <w:ind w:right="0" w:rightChars="0"/>
        <w:jc w:val="both"/>
        <w:rPr>
          <w:rFonts w:hint="default" w:ascii="Times New Roman" w:hAnsi="Times New Roman" w:eastAsia="黑体" w:cs="Times New Roman"/>
          <w:kern w:val="2"/>
          <w:sz w:val="32"/>
          <w:szCs w:val="32"/>
          <w:lang w:val="en-US" w:eastAsia="zh-CN" w:bidi="ar"/>
        </w:rPr>
      </w:pPr>
      <w:r>
        <w:rPr>
          <w:rFonts w:hint="eastAsia" w:ascii="仿宋" w:hAnsi="仿宋" w:eastAsia="仿宋" w:cs="宋体"/>
          <w:color w:val="333333"/>
          <w:kern w:val="0"/>
          <w:sz w:val="32"/>
          <w:szCs w:val="32"/>
        </w:rPr>
        <w:t>单位可预见的工作任务，确定单位年度预算目标，细化预算指标，科学合理编制部门预算，推进预算编制科学化、准确化。</w:t>
      </w:r>
    </w:p>
    <w:p w14:paraId="1E241799">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6C3E213C">
      <w:pPr>
        <w:widowControl/>
        <w:spacing w:line="560" w:lineRule="exact"/>
        <w:ind w:firstLine="640" w:firstLineChars="200"/>
        <w:jc w:val="left"/>
        <w:rPr>
          <w:rFonts w:hint="eastAsia" w:ascii="仿宋" w:hAnsi="仿宋" w:eastAsia="仿宋" w:cs="仿宋_GB2312"/>
          <w:kern w:val="0"/>
          <w:sz w:val="32"/>
          <w:szCs w:val="32"/>
          <w:lang w:bidi="ar"/>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lang w:bidi="ar"/>
        </w:rPr>
        <w:t>综上所述，项目总体自评分为“</w:t>
      </w:r>
      <w:r>
        <w:rPr>
          <w:rFonts w:hint="eastAsia" w:ascii="仿宋" w:hAnsi="仿宋" w:eastAsia="仿宋" w:cs="仿宋_GB2312"/>
          <w:kern w:val="0"/>
          <w:sz w:val="32"/>
          <w:szCs w:val="32"/>
          <w:lang w:val="en-US" w:eastAsia="zh-CN" w:bidi="ar"/>
        </w:rPr>
        <w:t>98</w:t>
      </w:r>
      <w:r>
        <w:rPr>
          <w:rFonts w:hint="eastAsia" w:ascii="仿宋" w:hAnsi="仿宋" w:eastAsia="仿宋" w:cs="仿宋_GB2312"/>
          <w:kern w:val="0"/>
          <w:sz w:val="32"/>
          <w:szCs w:val="32"/>
          <w:lang w:bidi="ar"/>
        </w:rPr>
        <w:t>分”。</w:t>
      </w:r>
    </w:p>
    <w:p w14:paraId="7767F3D5">
      <w:pPr>
        <w:spacing w:line="560" w:lineRule="exact"/>
        <w:rPr>
          <w:rFonts w:ascii="Times New Roman" w:hAnsi="Times New Roman" w:eastAsia="仿宋_GB2312" w:cs="Times New Roman"/>
          <w:sz w:val="32"/>
          <w:szCs w:val="32"/>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A862">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14:paraId="16A1D734">
                <w:pPr>
                  <w:pStyle w:val="6"/>
                </w:pPr>
                <w:r>
                  <w:t xml:space="preserve">— </w:t>
                </w:r>
                <w:r>
                  <w:fldChar w:fldCharType="begin"/>
                </w:r>
                <w:r>
                  <w:instrText xml:space="preserve"> PAGE  \* MERGEFORMAT </w:instrText>
                </w:r>
                <w:r>
                  <w:fldChar w:fldCharType="separate"/>
                </w:r>
                <w:r>
                  <w:t>18</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3F6C3"/>
    <w:multiLevelType w:val="singleLevel"/>
    <w:tmpl w:val="D623F6C3"/>
    <w:lvl w:ilvl="0" w:tentative="0">
      <w:start w:val="1"/>
      <w:numFmt w:val="chineseCounting"/>
      <w:suff w:val="nothing"/>
      <w:lvlText w:val="（%1）"/>
      <w:lvlJc w:val="left"/>
      <w:rPr>
        <w:rFonts w:hint="eastAsia"/>
      </w:rPr>
    </w:lvl>
  </w:abstractNum>
  <w:abstractNum w:abstractNumId="1">
    <w:nsid w:val="FE3FF879"/>
    <w:multiLevelType w:val="singleLevel"/>
    <w:tmpl w:val="FE3FF879"/>
    <w:lvl w:ilvl="0" w:tentative="0">
      <w:start w:val="8"/>
      <w:numFmt w:val="chineseCounting"/>
      <w:suff w:val="nothing"/>
      <w:lvlText w:val="%1、"/>
      <w:lvlJc w:val="left"/>
      <w:rPr>
        <w:rFonts w:hint="eastAsia"/>
      </w:rPr>
    </w:lvl>
  </w:abstractNum>
  <w:abstractNum w:abstractNumId="2">
    <w:nsid w:val="24A7636F"/>
    <w:multiLevelType w:val="singleLevel"/>
    <w:tmpl w:val="24A7636F"/>
    <w:lvl w:ilvl="0" w:tentative="0">
      <w:start w:val="3"/>
      <w:numFmt w:val="chineseCounting"/>
      <w:suff w:val="nothing"/>
      <w:lvlText w:val="%1、"/>
      <w:lvlJc w:val="left"/>
      <w:rPr>
        <w:rFonts w:hint="eastAsia"/>
      </w:rPr>
    </w:lvl>
  </w:abstractNum>
  <w:abstractNum w:abstractNumId="3">
    <w:nsid w:val="6DE80B37"/>
    <w:multiLevelType w:val="singleLevel"/>
    <w:tmpl w:val="6DE80B37"/>
    <w:lvl w:ilvl="0" w:tentative="0">
      <w:start w:val="3"/>
      <w:numFmt w:val="decimal"/>
      <w:suff w:val="nothing"/>
      <w:lvlText w:val="（%1）"/>
      <w:lvlJc w:val="left"/>
    </w:lvl>
  </w:abstractNum>
  <w:abstractNum w:abstractNumId="4">
    <w:nsid w:val="7A911EDD"/>
    <w:multiLevelType w:val="singleLevel"/>
    <w:tmpl w:val="7A911EDD"/>
    <w:lvl w:ilvl="0" w:tentative="0">
      <w:start w:val="3"/>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NjYzExODI0M2QyMWRlNGMxYjMyYTg1ZTEzYWI3NmYifQ=="/>
  </w:docVars>
  <w:rsids>
    <w:rsidRoot w:val="00222CFF"/>
    <w:rsid w:val="00051120"/>
    <w:rsid w:val="001C66E0"/>
    <w:rsid w:val="00222CFF"/>
    <w:rsid w:val="0094708B"/>
    <w:rsid w:val="00CB77BE"/>
    <w:rsid w:val="00F72CA9"/>
    <w:rsid w:val="01284C10"/>
    <w:rsid w:val="01415CD2"/>
    <w:rsid w:val="015B4A06"/>
    <w:rsid w:val="03CA6453"/>
    <w:rsid w:val="04156BFD"/>
    <w:rsid w:val="042277B0"/>
    <w:rsid w:val="04B43341"/>
    <w:rsid w:val="05104DC8"/>
    <w:rsid w:val="05212B27"/>
    <w:rsid w:val="05436869"/>
    <w:rsid w:val="0607573C"/>
    <w:rsid w:val="074F739B"/>
    <w:rsid w:val="077E558A"/>
    <w:rsid w:val="07C05BA3"/>
    <w:rsid w:val="07D21D7A"/>
    <w:rsid w:val="098A7CA9"/>
    <w:rsid w:val="0BDB744F"/>
    <w:rsid w:val="0CC53C5B"/>
    <w:rsid w:val="0CE265BB"/>
    <w:rsid w:val="0CEC11E8"/>
    <w:rsid w:val="0CEE4F60"/>
    <w:rsid w:val="0D1F511A"/>
    <w:rsid w:val="0D29243C"/>
    <w:rsid w:val="0D564DFD"/>
    <w:rsid w:val="0DB57CB4"/>
    <w:rsid w:val="0E8845BE"/>
    <w:rsid w:val="0F576E62"/>
    <w:rsid w:val="0F930041"/>
    <w:rsid w:val="102B2027"/>
    <w:rsid w:val="1065378B"/>
    <w:rsid w:val="11980D24"/>
    <w:rsid w:val="11B00A36"/>
    <w:rsid w:val="11E20E0C"/>
    <w:rsid w:val="11F3105C"/>
    <w:rsid w:val="11F50B3F"/>
    <w:rsid w:val="122431D2"/>
    <w:rsid w:val="1246139A"/>
    <w:rsid w:val="135B36C0"/>
    <w:rsid w:val="13806B2E"/>
    <w:rsid w:val="13AF2F6F"/>
    <w:rsid w:val="13EB21F9"/>
    <w:rsid w:val="14274190"/>
    <w:rsid w:val="151632A6"/>
    <w:rsid w:val="15593193"/>
    <w:rsid w:val="15C86CDD"/>
    <w:rsid w:val="15D46CBD"/>
    <w:rsid w:val="162E2871"/>
    <w:rsid w:val="17773DA4"/>
    <w:rsid w:val="18860743"/>
    <w:rsid w:val="18D620ED"/>
    <w:rsid w:val="18D97BBF"/>
    <w:rsid w:val="1A206975"/>
    <w:rsid w:val="1A2226ED"/>
    <w:rsid w:val="1A2C531A"/>
    <w:rsid w:val="1B6B7632"/>
    <w:rsid w:val="1BC4029E"/>
    <w:rsid w:val="1BF73705"/>
    <w:rsid w:val="1C2362A8"/>
    <w:rsid w:val="1C9A5481"/>
    <w:rsid w:val="1CD203FA"/>
    <w:rsid w:val="1D3369BF"/>
    <w:rsid w:val="1DCA10D2"/>
    <w:rsid w:val="1ED33FB6"/>
    <w:rsid w:val="1EE65901"/>
    <w:rsid w:val="1F397586"/>
    <w:rsid w:val="1FBC7140"/>
    <w:rsid w:val="2000702C"/>
    <w:rsid w:val="20221513"/>
    <w:rsid w:val="212A1E87"/>
    <w:rsid w:val="2177331E"/>
    <w:rsid w:val="21C276E9"/>
    <w:rsid w:val="234C67A9"/>
    <w:rsid w:val="23BD5235"/>
    <w:rsid w:val="23BF0FAD"/>
    <w:rsid w:val="244A2F6C"/>
    <w:rsid w:val="246D27B7"/>
    <w:rsid w:val="24FD3B3B"/>
    <w:rsid w:val="25C428AA"/>
    <w:rsid w:val="2666570F"/>
    <w:rsid w:val="26A338B2"/>
    <w:rsid w:val="26DF652C"/>
    <w:rsid w:val="278E2C4A"/>
    <w:rsid w:val="27D90D77"/>
    <w:rsid w:val="28C759B8"/>
    <w:rsid w:val="29C64ABB"/>
    <w:rsid w:val="29F97C59"/>
    <w:rsid w:val="2A3D2C2B"/>
    <w:rsid w:val="2AE82B97"/>
    <w:rsid w:val="2B230073"/>
    <w:rsid w:val="2B520958"/>
    <w:rsid w:val="2B95569E"/>
    <w:rsid w:val="2C063C1D"/>
    <w:rsid w:val="2CDA7507"/>
    <w:rsid w:val="2D2F2CFF"/>
    <w:rsid w:val="2D412A32"/>
    <w:rsid w:val="2EBF00B3"/>
    <w:rsid w:val="2EC658E5"/>
    <w:rsid w:val="2EFFB905"/>
    <w:rsid w:val="2F124686"/>
    <w:rsid w:val="2F76174D"/>
    <w:rsid w:val="302355F0"/>
    <w:rsid w:val="30464469"/>
    <w:rsid w:val="30B04157"/>
    <w:rsid w:val="3120277A"/>
    <w:rsid w:val="318A49A8"/>
    <w:rsid w:val="31F75DB5"/>
    <w:rsid w:val="320A5AE9"/>
    <w:rsid w:val="329B2BE5"/>
    <w:rsid w:val="32C043F9"/>
    <w:rsid w:val="336E20A7"/>
    <w:rsid w:val="33D75E9F"/>
    <w:rsid w:val="340B7734"/>
    <w:rsid w:val="347413B3"/>
    <w:rsid w:val="35026F4B"/>
    <w:rsid w:val="351D3D85"/>
    <w:rsid w:val="353C4D0C"/>
    <w:rsid w:val="353E4427"/>
    <w:rsid w:val="35551771"/>
    <w:rsid w:val="36716E50"/>
    <w:rsid w:val="36730100"/>
    <w:rsid w:val="36E763F9"/>
    <w:rsid w:val="37A570FA"/>
    <w:rsid w:val="38EF5A38"/>
    <w:rsid w:val="39203E44"/>
    <w:rsid w:val="39224840"/>
    <w:rsid w:val="39363667"/>
    <w:rsid w:val="399A1E48"/>
    <w:rsid w:val="3A03179B"/>
    <w:rsid w:val="3A52002D"/>
    <w:rsid w:val="3A773F37"/>
    <w:rsid w:val="3AA27206"/>
    <w:rsid w:val="3B404329"/>
    <w:rsid w:val="3C5A766D"/>
    <w:rsid w:val="3C634773"/>
    <w:rsid w:val="3C860462"/>
    <w:rsid w:val="3C990195"/>
    <w:rsid w:val="3D461685"/>
    <w:rsid w:val="3E3C23A8"/>
    <w:rsid w:val="3E6A6D4F"/>
    <w:rsid w:val="3E772758"/>
    <w:rsid w:val="3EC139D3"/>
    <w:rsid w:val="3F0D6C18"/>
    <w:rsid w:val="3F220916"/>
    <w:rsid w:val="3F285800"/>
    <w:rsid w:val="3F6F51DD"/>
    <w:rsid w:val="3FBB48C6"/>
    <w:rsid w:val="3FE693AD"/>
    <w:rsid w:val="400A73D4"/>
    <w:rsid w:val="401D2E8B"/>
    <w:rsid w:val="4035158F"/>
    <w:rsid w:val="40953369"/>
    <w:rsid w:val="40E340D5"/>
    <w:rsid w:val="41016309"/>
    <w:rsid w:val="4162324B"/>
    <w:rsid w:val="416A2100"/>
    <w:rsid w:val="423F358D"/>
    <w:rsid w:val="42B555FD"/>
    <w:rsid w:val="42E80B4B"/>
    <w:rsid w:val="439873F8"/>
    <w:rsid w:val="43D16466"/>
    <w:rsid w:val="44110F59"/>
    <w:rsid w:val="447119F7"/>
    <w:rsid w:val="447A4D50"/>
    <w:rsid w:val="455137CA"/>
    <w:rsid w:val="45A71B75"/>
    <w:rsid w:val="45D73ADC"/>
    <w:rsid w:val="471D19C3"/>
    <w:rsid w:val="48D013E2"/>
    <w:rsid w:val="48F50E49"/>
    <w:rsid w:val="4977360C"/>
    <w:rsid w:val="49AD702E"/>
    <w:rsid w:val="4A9A5B32"/>
    <w:rsid w:val="4AF01932"/>
    <w:rsid w:val="4AFF5FAF"/>
    <w:rsid w:val="4B013AD5"/>
    <w:rsid w:val="4B8A1D1C"/>
    <w:rsid w:val="4CAE1A3B"/>
    <w:rsid w:val="4D5C1C0C"/>
    <w:rsid w:val="4DD57ADF"/>
    <w:rsid w:val="4DDC6134"/>
    <w:rsid w:val="4E086F29"/>
    <w:rsid w:val="4EA56E6D"/>
    <w:rsid w:val="4EF30386"/>
    <w:rsid w:val="4F375C04"/>
    <w:rsid w:val="4F3BD62E"/>
    <w:rsid w:val="4F7B637A"/>
    <w:rsid w:val="4F9842DC"/>
    <w:rsid w:val="4FF0236A"/>
    <w:rsid w:val="50FD6AED"/>
    <w:rsid w:val="51E34E96"/>
    <w:rsid w:val="51FA74D0"/>
    <w:rsid w:val="520F03DA"/>
    <w:rsid w:val="52132340"/>
    <w:rsid w:val="524C14DA"/>
    <w:rsid w:val="526A01B2"/>
    <w:rsid w:val="52911BE2"/>
    <w:rsid w:val="532540D9"/>
    <w:rsid w:val="536974C6"/>
    <w:rsid w:val="538C05FC"/>
    <w:rsid w:val="53933738"/>
    <w:rsid w:val="53CB15B5"/>
    <w:rsid w:val="54BC0A6D"/>
    <w:rsid w:val="54DB601C"/>
    <w:rsid w:val="555650C8"/>
    <w:rsid w:val="55916288"/>
    <w:rsid w:val="55D342C0"/>
    <w:rsid w:val="568B06F7"/>
    <w:rsid w:val="570C5CDB"/>
    <w:rsid w:val="577C6C0C"/>
    <w:rsid w:val="57B63E99"/>
    <w:rsid w:val="57F02618"/>
    <w:rsid w:val="58607961"/>
    <w:rsid w:val="588E44CE"/>
    <w:rsid w:val="58AA332B"/>
    <w:rsid w:val="58E3481A"/>
    <w:rsid w:val="58F702C5"/>
    <w:rsid w:val="590F614C"/>
    <w:rsid w:val="596C0CB3"/>
    <w:rsid w:val="599B1788"/>
    <w:rsid w:val="5A755946"/>
    <w:rsid w:val="5ADD173D"/>
    <w:rsid w:val="5AFC7E15"/>
    <w:rsid w:val="5B3A6B8F"/>
    <w:rsid w:val="5BEA7706"/>
    <w:rsid w:val="5BF925A6"/>
    <w:rsid w:val="5CF04FE5"/>
    <w:rsid w:val="5E257683"/>
    <w:rsid w:val="5E3D48E1"/>
    <w:rsid w:val="5F724B4A"/>
    <w:rsid w:val="600B4656"/>
    <w:rsid w:val="613025C6"/>
    <w:rsid w:val="613979C7"/>
    <w:rsid w:val="6186789B"/>
    <w:rsid w:val="621719D8"/>
    <w:rsid w:val="624A3B5C"/>
    <w:rsid w:val="62856942"/>
    <w:rsid w:val="629E7A04"/>
    <w:rsid w:val="630006BE"/>
    <w:rsid w:val="63381C06"/>
    <w:rsid w:val="63B32BC4"/>
    <w:rsid w:val="63D47B81"/>
    <w:rsid w:val="63E853DA"/>
    <w:rsid w:val="641E2BAA"/>
    <w:rsid w:val="64236413"/>
    <w:rsid w:val="647153D0"/>
    <w:rsid w:val="6477050C"/>
    <w:rsid w:val="64850E7B"/>
    <w:rsid w:val="64CB5136"/>
    <w:rsid w:val="64D30F5B"/>
    <w:rsid w:val="64FA72F2"/>
    <w:rsid w:val="65E240AB"/>
    <w:rsid w:val="66326DE1"/>
    <w:rsid w:val="66B27F22"/>
    <w:rsid w:val="682B1D3A"/>
    <w:rsid w:val="69BD4C13"/>
    <w:rsid w:val="6A4B0471"/>
    <w:rsid w:val="6B0851D1"/>
    <w:rsid w:val="6B0A20DA"/>
    <w:rsid w:val="6B2A0087"/>
    <w:rsid w:val="6B483A74"/>
    <w:rsid w:val="6C937EAD"/>
    <w:rsid w:val="6C975BF0"/>
    <w:rsid w:val="6CB30550"/>
    <w:rsid w:val="6D317DF2"/>
    <w:rsid w:val="6DA700B4"/>
    <w:rsid w:val="6E1A6AD8"/>
    <w:rsid w:val="6E427DDD"/>
    <w:rsid w:val="6E8606A6"/>
    <w:rsid w:val="6EFA06B8"/>
    <w:rsid w:val="6F066BA6"/>
    <w:rsid w:val="6F4162E7"/>
    <w:rsid w:val="6F6A75EB"/>
    <w:rsid w:val="6FBC771B"/>
    <w:rsid w:val="6FFB0243"/>
    <w:rsid w:val="702C48A1"/>
    <w:rsid w:val="704936A5"/>
    <w:rsid w:val="70B30B1E"/>
    <w:rsid w:val="71705FB1"/>
    <w:rsid w:val="72A5093A"/>
    <w:rsid w:val="73944C37"/>
    <w:rsid w:val="73FD1AE5"/>
    <w:rsid w:val="746A5998"/>
    <w:rsid w:val="74F02341"/>
    <w:rsid w:val="751002ED"/>
    <w:rsid w:val="752B5127"/>
    <w:rsid w:val="75385A96"/>
    <w:rsid w:val="75C37A55"/>
    <w:rsid w:val="75CF01A8"/>
    <w:rsid w:val="75DA08FB"/>
    <w:rsid w:val="76A50F09"/>
    <w:rsid w:val="772C5186"/>
    <w:rsid w:val="77304C77"/>
    <w:rsid w:val="779A2A38"/>
    <w:rsid w:val="77B909F0"/>
    <w:rsid w:val="78540864"/>
    <w:rsid w:val="7AD86AA7"/>
    <w:rsid w:val="7B3D3D0F"/>
    <w:rsid w:val="7B8C2698"/>
    <w:rsid w:val="7BA2010D"/>
    <w:rsid w:val="7BB87930"/>
    <w:rsid w:val="7BDD2EF3"/>
    <w:rsid w:val="7BFFF342"/>
    <w:rsid w:val="7C4B4301"/>
    <w:rsid w:val="7C683105"/>
    <w:rsid w:val="7C8D66C7"/>
    <w:rsid w:val="7C920181"/>
    <w:rsid w:val="7CFFB774"/>
    <w:rsid w:val="7D00333D"/>
    <w:rsid w:val="7DAC0DCF"/>
    <w:rsid w:val="7F4D52D0"/>
    <w:rsid w:val="7F55F449"/>
    <w:rsid w:val="7F625BE9"/>
    <w:rsid w:val="7F7E49ED"/>
    <w:rsid w:val="7F7E679B"/>
    <w:rsid w:val="9F7F477C"/>
    <w:rsid w:val="B3BDE00E"/>
    <w:rsid w:val="BB96D3B8"/>
    <w:rsid w:val="BEB6EF53"/>
    <w:rsid w:val="DFFB7864"/>
    <w:rsid w:val="E7FFF3A3"/>
    <w:rsid w:val="EDFEBBDF"/>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4">
    <w:name w:val="Normal Indent"/>
    <w:basedOn w:val="1"/>
    <w:qFormat/>
    <w:uiPriority w:val="0"/>
    <w:pPr>
      <w:ind w:firstLine="420" w:firstLineChars="200"/>
    </w:pPr>
  </w:style>
  <w:style w:type="paragraph" w:styleId="5">
    <w:name w:val="Body Text"/>
    <w:basedOn w:val="1"/>
    <w:link w:val="15"/>
    <w:qFormat/>
    <w:uiPriority w:val="0"/>
    <w:rPr>
      <w:rFonts w:hint="eastAsia" w:ascii="宋体" w:hAnsi="宋体" w:eastAsia="宋体" w:cs="Times New Roman"/>
      <w:sz w:val="33"/>
      <w:szCs w:val="33"/>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标题 1 Char"/>
    <w:basedOn w:val="11"/>
    <w:link w:val="3"/>
    <w:qFormat/>
    <w:uiPriority w:val="0"/>
    <w:rPr>
      <w:rFonts w:hint="default" w:ascii="Calibri" w:hAnsi="Calibri" w:cs="Calibri"/>
      <w:b/>
      <w:bCs/>
      <w:kern w:val="44"/>
      <w:sz w:val="44"/>
      <w:szCs w:val="44"/>
    </w:rPr>
  </w:style>
  <w:style w:type="paragraph" w:customStyle="1" w:styleId="14">
    <w:name w:val="msolistparagraph"/>
    <w:basedOn w:val="1"/>
    <w:qFormat/>
    <w:uiPriority w:val="0"/>
    <w:pPr>
      <w:ind w:left="1079" w:hanging="309"/>
    </w:pPr>
    <w:rPr>
      <w:rFonts w:hint="eastAsia" w:ascii="宋体" w:hAnsi="宋体" w:eastAsia="宋体" w:cs="Times New Roman"/>
      <w:szCs w:val="22"/>
    </w:rPr>
  </w:style>
  <w:style w:type="character" w:customStyle="1" w:styleId="15">
    <w:name w:val="正文文本 Char"/>
    <w:basedOn w:val="11"/>
    <w:link w:val="5"/>
    <w:qFormat/>
    <w:uiPriority w:val="0"/>
    <w:rPr>
      <w:rFonts w:hint="eastAsia" w:ascii="宋体" w:hAnsi="宋体" w:eastAsia="宋体" w:cs="宋体"/>
      <w:kern w:val="2"/>
      <w:sz w:val="33"/>
      <w:szCs w:val="33"/>
    </w:rPr>
  </w:style>
  <w:style w:type="character" w:customStyle="1" w:styleId="16">
    <w:name w:val="font41"/>
    <w:basedOn w:val="11"/>
    <w:qFormat/>
    <w:uiPriority w:val="0"/>
    <w:rPr>
      <w:rFonts w:hint="default" w:ascii="Calibri" w:hAnsi="Calibri" w:cs="Calibri"/>
      <w:color w:val="000000"/>
      <w:sz w:val="24"/>
      <w:szCs w:val="24"/>
      <w:u w:val="none"/>
    </w:rPr>
  </w:style>
  <w:style w:type="character" w:customStyle="1" w:styleId="17">
    <w:name w:val="font01"/>
    <w:basedOn w:val="11"/>
    <w:qFormat/>
    <w:uiPriority w:val="0"/>
    <w:rPr>
      <w:rFonts w:ascii="方正书宋_GBK" w:hAnsi="方正书宋_GBK" w:eastAsia="方正书宋_GBK" w:cs="方正书宋_GBK"/>
      <w:color w:val="000000"/>
      <w:sz w:val="24"/>
      <w:szCs w:val="24"/>
      <w:u w:val="none"/>
    </w:rPr>
  </w:style>
  <w:style w:type="paragraph" w:customStyle="1" w:styleId="18">
    <w:name w:val="Table Paragraph"/>
    <w:basedOn w:val="1"/>
    <w:autoRedefine/>
    <w:qFormat/>
    <w:uiPriority w:val="0"/>
    <w:pPr>
      <w:autoSpaceDE w:val="0"/>
      <w:autoSpaceDN w:val="0"/>
      <w:spacing w:line="240" w:lineRule="auto"/>
      <w:ind w:left="0"/>
      <w:jc w:val="left"/>
    </w:pPr>
    <w:rPr>
      <w:rFonts w:ascii="宋体" w:hAnsi="宋体" w:cs="宋体"/>
      <w:sz w:val="22"/>
      <w:szCs w:val="22"/>
      <w:lang w:val="zh-CN" w:bidi="zh-CN"/>
    </w:rPr>
  </w:style>
  <w:style w:type="character" w:customStyle="1" w:styleId="19">
    <w:name w:val="font11"/>
    <w:basedOn w:val="11"/>
    <w:qFormat/>
    <w:uiPriority w:val="0"/>
    <w:rPr>
      <w:rFonts w:hint="eastAsia" w:ascii="宋体" w:hAnsi="宋体" w:eastAsia="宋体" w:cs="宋体"/>
      <w:color w:val="000000"/>
      <w:sz w:val="18"/>
      <w:szCs w:val="18"/>
      <w:u w:val="none"/>
    </w:rPr>
  </w:style>
  <w:style w:type="character" w:customStyle="1" w:styleId="20">
    <w:name w:val="font31"/>
    <w:basedOn w:val="11"/>
    <w:qFormat/>
    <w:uiPriority w:val="0"/>
    <w:rPr>
      <w:rFonts w:hint="default" w:ascii="Times New Roman" w:hAnsi="Times New Roman" w:cs="Times New Roman"/>
      <w:color w:val="000000"/>
      <w:sz w:val="18"/>
      <w:szCs w:val="18"/>
      <w:u w:val="none"/>
    </w:rPr>
  </w:style>
  <w:style w:type="paragraph" w:customStyle="1" w:styleId="2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5930</Words>
  <Characters>6235</Characters>
  <Lines>73</Lines>
  <Paragraphs>20</Paragraphs>
  <TotalTime>0</TotalTime>
  <ScaleCrop>false</ScaleCrop>
  <LinksUpToDate>false</LinksUpToDate>
  <CharactersWithSpaces>6288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霞</cp:lastModifiedBy>
  <cp:lastPrinted>2023-04-01T03:20:00Z</cp:lastPrinted>
  <dcterms:modified xsi:type="dcterms:W3CDTF">2025-10-15T07:26:50Z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EED5D6D83E0944EF85A4087E4EA8D0A2</vt:lpwstr>
  </property>
  <property fmtid="{D5CDD505-2E9C-101B-9397-08002B2CF9AE}" pid="4" name="KSOTemplateDocerSaveRecord">
    <vt:lpwstr>eyJoZGlkIjoiODRlODU2NmZlNThhYTE2Njk0MmYzNDEwMjAxNmNmZTAiLCJ1c2VySWQiOiI1MDk3NjAzNDEifQ==</vt:lpwstr>
  </property>
</Properties>
</file>