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30" w:rsidRDefault="00443A59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2024</w:t>
      </w:r>
      <w:r>
        <w:rPr>
          <w:rFonts w:ascii="方正小标宋简体" w:eastAsia="方正小标宋简体" w:hint="eastAsia"/>
          <w:sz w:val="40"/>
          <w:szCs w:val="32"/>
        </w:rPr>
        <w:t>年度</w:t>
      </w:r>
      <w:r>
        <w:rPr>
          <w:rFonts w:ascii="方正小标宋简体" w:eastAsia="方正小标宋简体" w:hint="eastAsia"/>
          <w:sz w:val="40"/>
          <w:szCs w:val="32"/>
        </w:rPr>
        <w:t>株洲市渌口区自然资源局</w:t>
      </w:r>
      <w:r>
        <w:rPr>
          <w:rFonts w:ascii="方正小标宋简体" w:eastAsia="方正小标宋简体" w:hint="eastAsia"/>
          <w:sz w:val="40"/>
          <w:szCs w:val="32"/>
        </w:rPr>
        <w:t>整体支出</w:t>
      </w:r>
    </w:p>
    <w:p w:rsidR="009A4130" w:rsidRDefault="00443A59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绩效自评报告</w:t>
      </w:r>
    </w:p>
    <w:p w:rsidR="009A4130" w:rsidRDefault="00443A59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部门（单位）基本情况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（一）主要职能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依法履行全民所有土地、矿产、森林、湿地、水等自然资源资产所有者职责和国土空间用途管制职责。组织实施党中央关于自然资源和规划工作的方针政策和决策。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负责自然资源调查监测评价。依照国家和省自然资源调查监测评价指标体系和统计标准，实施自然资源基础调查、专项调查和监测。负责自然资源调查监测评价成果的监督管理和信息发布。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自然资源统一确权登记工作。贯彻执行各类自然资源和不动产统一确权登记、权籍调查、不动产测绘、争议调处、成果应用等制度。建立健全自然资源和不动产登记信息管理基础平台。负责自然资源和不动产登记资料收集、整理、共享、汇交管理等。负责全区自然资源和不动产确权登记工作的指导和实施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自然资源资产有偿使用工作。贯彻执行全民所有自然资源资产统计制度，负责全民所有自然资源资产核算。组织拟订全民所有自然资源资产划拨、出让、租赁、作价出资和土地储备的方案，合理配置全民所有自然资源资产。负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责自然资源资产价值评估管理。管</w:t>
      </w:r>
      <w:r>
        <w:rPr>
          <w:rFonts w:ascii="仿宋" w:eastAsia="仿宋" w:hAnsi="仿宋" w:cs="仿宋" w:hint="eastAsia"/>
          <w:sz w:val="32"/>
          <w:szCs w:val="32"/>
        </w:rPr>
        <w:t>理和组织区域建设用地供应和政府土地储备，并拟订土地供应和土地储备的年度计划。依法收缴相关资产收益。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自然资源的合理开发利用。贯彻执行国家、省市、区有关自然资源合理开发利用的政策规定。拟订全区自然资源发展规划和战略，依照自然资源开发利用标准组织实施，建立政府公示自然资源价格体系，开展自然资源分等定级价格评估，开展自然资源利用评价考核和节约集约利用。组织拟订并实施自然资源土地的年度利用计划。负责自然资源市场监管。组织研究自然资源管理涉及宏观调控、区域协调和城乡统筹的政策措施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负责建立空间规划体系并</w:t>
      </w:r>
      <w:r>
        <w:rPr>
          <w:rFonts w:ascii="仿宋" w:eastAsia="仿宋" w:hAnsi="仿宋" w:cs="仿宋" w:hint="eastAsia"/>
          <w:sz w:val="32"/>
          <w:szCs w:val="32"/>
        </w:rPr>
        <w:t>监督实施。开展城镇发展战略研究、国土空间规划研究和区域自然资源管控研究；组织编制和修改推进主体功能区战略和制度，编制和修改国土空间总体规划、详细规划和城市设计等，会同相关部门编制配套的专项规划；依法组织编制或审查镇、村相关规划；组织划定永久基本农田、城镇开发边界等控制线，构建节约资源和自然和谐的生产、生活、生态空间布局；组织实施国土空间用途管制制度；负责土地等国土空间用途转用工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负责区域城乡规划实施管理。负责组织编制重要地段修建性详细规划和城市设计；负责城乡规划区范围内的镇、村规划的审查工作。负责建</w:t>
      </w:r>
      <w:r>
        <w:rPr>
          <w:rFonts w:ascii="仿宋" w:eastAsia="仿宋" w:hAnsi="仿宋" w:cs="仿宋" w:hint="eastAsia"/>
          <w:sz w:val="32"/>
          <w:szCs w:val="32"/>
        </w:rPr>
        <w:t>设用地的使用管理，核发《建设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项目选址意见书》《建设用地规划许可证》《建设工程规划许可证》《乡村建设规划许可证》及建设用地的方案图审查，负责建设项目的规划核实。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统筹国土空间生态修复。牵头组织编制国土空间生态修复规划并实施有关生态修复工程。负责国土空间综合整治、土地整理复垦、矿山地质环境恢复治理、统筹山水林田湖草生态系统修复治理等工作。组织实施生态保护补偿制度，执行合理利用社会资金进行生态修复的政策措施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负责组织实施最严格的耕地保护制度。实施耕地保护政策，负责耕地数量和生态保护，做好耕地质量保护</w:t>
      </w:r>
      <w:r>
        <w:rPr>
          <w:rFonts w:ascii="仿宋" w:eastAsia="仿宋" w:hAnsi="仿宋" w:cs="仿宋" w:hint="eastAsia"/>
          <w:sz w:val="32"/>
          <w:szCs w:val="32"/>
        </w:rPr>
        <w:t>有关工作。组织实施耕地保护责任目标考核和永久基本农田特殊保护。负责耕地占补平衡管理，落实占用耕地补偿制度，监督占用耕地补偿制度执行情况。负责城乡建设用地増减挂钩管理工作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监督管理地质勘查行业和全区地质工作。配合实施全区地质勘查项目。监督管理地下水过量开采及引发的地面沉降等地质问题。负责古生物化石的监督管理。负责地质灾害预防和治理。组织开展地质调查评价工作。负责落实综合防灾减灾规划相关要求，组织编制地质灾害防治规划。组织指导协调和监督地质灾害调查评价及隐患普查、详查、排查。指导开展群测群防、专业监测和预报预警等工作。指导开展地质灾害工程治理工作。配合地质灾害应急救援的技术支撑工作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负责矿产资源管理工作。负责矿产资源储量管理及压覆矿产资源管理。负责矿业权管理。会同有</w:t>
      </w:r>
      <w:r>
        <w:rPr>
          <w:rFonts w:ascii="仿宋" w:eastAsia="仿宋" w:hAnsi="仿宋" w:cs="仿宋" w:hint="eastAsia"/>
          <w:sz w:val="32"/>
          <w:szCs w:val="32"/>
        </w:rPr>
        <w:t>关部门承担保护性开采的特定矿种、优势矿产的调控及相关管理工作。监督指导矿产资源合理利用和保护。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负责测绘地理信息管理工作。负责基础测绘和测绘行业管理。负责测绘资质资格与信用管理，监督管理地理信息安全和市场秩序。负责地图编制管理和地理信息公共服务工作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负责测量标志保护。承担地理空间数据的汇集整合、提供使用和共享工作，承担地理信息公共服务平台的建设管理。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推动自然资源领域科技发展。实施自然资源领域科技创新发展、人才培养规划和计划。推进自然资源信息化和信息资料的公共服务。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负责征地拆迁管理。依法</w:t>
      </w:r>
      <w:r>
        <w:rPr>
          <w:rFonts w:ascii="仿宋" w:eastAsia="仿宋" w:hAnsi="仿宋" w:cs="仿宋" w:hint="eastAsia"/>
          <w:sz w:val="32"/>
          <w:szCs w:val="32"/>
        </w:rPr>
        <w:t>拟订有关征地拆迁安置的政策措施。负责拟订集体土地征收公告。指导、监督集体土地征收和集体土地上房屋拆迁、安置补偿管理政策执行情况。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根据授权，对镇政府及相关部门落实区委、区政府关于自然资源、国土空间规划重大政策、决策部署及法规规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依法开展行政执法工作。依法查处自然资源开发利用、国土空间规划及测绘领域违法案件。负责涉及自然资源事项的信访处理、行政被复议、行政应讼等工作。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贯彻执行城乡人居环境评价指标体系和有关政策并监督实施。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统一领导和管理区林业局。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完成区委区政府和上级自然资源</w:t>
      </w:r>
      <w:r>
        <w:rPr>
          <w:rFonts w:ascii="仿宋" w:eastAsia="仿宋" w:hAnsi="仿宋" w:cs="仿宋" w:hint="eastAsia"/>
          <w:sz w:val="32"/>
          <w:szCs w:val="32"/>
        </w:rPr>
        <w:t>部门交办的其他任务。</w:t>
      </w:r>
    </w:p>
    <w:p w:rsidR="009A4130" w:rsidRDefault="00443A5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职能转变。落实中央关于统一行使全民所有自然资源资产所有者职责，统一行使所有国土空间用途管制和生态保护修复职责的要求，强化顶层设计，发挥国土空间规划管控作用，为保护和合理开发利用自然资源提供科学指引。进一步加强自然资源的保护和合理开发利用，建立健全源头保护和全过程修复治理相结合的工作机制，实現整体保护、系统修复、综合治理。创新激励约束并举的制度措施，推进自然资源节约集约利用。进一步精简下放有关行政审批事项、强化监管力度，充分发挥市场对资源配置的决定性作用，更好发挥政府作用，强化自然资源管理规则、标准、制度的约</w:t>
      </w:r>
      <w:r>
        <w:rPr>
          <w:rFonts w:ascii="仿宋" w:eastAsia="仿宋" w:hAnsi="仿宋" w:cs="仿宋" w:hint="eastAsia"/>
          <w:sz w:val="32"/>
          <w:szCs w:val="32"/>
        </w:rPr>
        <w:t>束性作用，推进自然资源确权登记和评估的便民高效。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（二）机构设置</w:t>
      </w:r>
    </w:p>
    <w:p w:rsidR="009A4130" w:rsidRDefault="00443A59">
      <w:pPr>
        <w:pStyle w:val="a5"/>
        <w:widowControl/>
        <w:spacing w:beforeAutospacing="0" w:afterAutospacing="0" w:line="600" w:lineRule="atLeast"/>
        <w:ind w:firstLine="60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渌口区自然资源局</w:t>
      </w:r>
      <w:r>
        <w:rPr>
          <w:rFonts w:ascii="仿宋" w:eastAsia="仿宋" w:hAnsi="仿宋" w:cs="仿宋" w:hint="eastAsia"/>
          <w:kern w:val="2"/>
          <w:sz w:val="32"/>
          <w:szCs w:val="32"/>
        </w:rPr>
        <w:t>是区人民政府主管自然资源工作的正科级行政机关，现有股室</w:t>
      </w:r>
      <w:r>
        <w:rPr>
          <w:rFonts w:ascii="仿宋" w:eastAsia="仿宋" w:hAnsi="仿宋" w:cs="仿宋" w:hint="eastAsia"/>
          <w:kern w:val="2"/>
          <w:sz w:val="32"/>
          <w:szCs w:val="32"/>
        </w:rPr>
        <w:t>17</w:t>
      </w:r>
      <w:r>
        <w:rPr>
          <w:rFonts w:ascii="仿宋" w:eastAsia="仿宋" w:hAnsi="仿宋" w:cs="仿宋" w:hint="eastAsia"/>
          <w:kern w:val="2"/>
          <w:sz w:val="32"/>
          <w:szCs w:val="32"/>
        </w:rPr>
        <w:t>个（</w:t>
      </w:r>
      <w:r>
        <w:rPr>
          <w:rFonts w:ascii="仿宋" w:eastAsia="仿宋" w:hAnsi="仿宋" w:cs="仿宋" w:hint="eastAsia"/>
          <w:kern w:val="2"/>
          <w:sz w:val="32"/>
          <w:szCs w:val="32"/>
        </w:rPr>
        <w:t>6</w:t>
      </w:r>
      <w:r>
        <w:rPr>
          <w:rFonts w:ascii="仿宋" w:eastAsia="仿宋" w:hAnsi="仿宋" w:cs="仿宋" w:hint="eastAsia"/>
          <w:kern w:val="2"/>
          <w:sz w:val="32"/>
          <w:szCs w:val="32"/>
        </w:rPr>
        <w:t>个副科级、</w:t>
      </w:r>
      <w:r>
        <w:rPr>
          <w:rFonts w:ascii="仿宋" w:eastAsia="仿宋" w:hAnsi="仿宋" w:cs="仿宋" w:hint="eastAsia"/>
          <w:kern w:val="2"/>
          <w:sz w:val="32"/>
          <w:szCs w:val="32"/>
        </w:rPr>
        <w:t>11</w:t>
      </w:r>
      <w:r>
        <w:rPr>
          <w:rFonts w:ascii="仿宋" w:eastAsia="仿宋" w:hAnsi="仿宋" w:cs="仿宋" w:hint="eastAsia"/>
          <w:kern w:val="2"/>
          <w:sz w:val="32"/>
          <w:szCs w:val="32"/>
        </w:rPr>
        <w:t>个股级股室。）：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办公室；计划财务股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确权登记股；规划用地股；空间利用股；行政审批股；耕地保护与生态修复股；矿产与地质环境股；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不动产登记中心；自然资源执法监察大队；土地储备中心；渌口自然资源中心所；淦田自然资源中心所；朱亭自然资源中心所；河西自然资源中心所；自然资源测绘地理信息服务中心；土地整理中心。</w:t>
      </w:r>
    </w:p>
    <w:p w:rsidR="009A4130" w:rsidRDefault="00443A59">
      <w:pPr>
        <w:pStyle w:val="a5"/>
        <w:spacing w:beforeAutospacing="0" w:afterAutospacing="0" w:line="360" w:lineRule="auto"/>
        <w:ind w:rightChars="-150" w:right="-315"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（三）人员情况</w:t>
      </w:r>
    </w:p>
    <w:p w:rsidR="009A4130" w:rsidRDefault="00443A59">
      <w:pPr>
        <w:pStyle w:val="a5"/>
        <w:spacing w:beforeAutospacing="0" w:afterAutospacing="0" w:line="360" w:lineRule="auto"/>
        <w:ind w:rightChars="-150" w:right="-315" w:firstLineChars="200" w:firstLine="640"/>
        <w:textAlignment w:val="baseline"/>
        <w:rPr>
          <w:rFonts w:ascii="仿宋" w:eastAsia="仿宋" w:hAnsi="仿宋" w:cs="仿宋"/>
          <w:kern w:val="2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全</w:t>
      </w:r>
      <w:r>
        <w:rPr>
          <w:rFonts w:ascii="仿宋" w:eastAsia="仿宋" w:hAnsi="仿宋" w:cs="仿宋" w:hint="eastAsia"/>
          <w:sz w:val="32"/>
          <w:szCs w:val="32"/>
        </w:rPr>
        <w:t>局</w:t>
      </w:r>
      <w:r>
        <w:rPr>
          <w:rFonts w:ascii="仿宋" w:eastAsia="仿宋" w:hAnsi="仿宋" w:cs="仿宋" w:hint="eastAsia"/>
          <w:sz w:val="32"/>
          <w:szCs w:val="32"/>
        </w:rPr>
        <w:t>共有人员</w:t>
      </w:r>
      <w:r>
        <w:rPr>
          <w:rFonts w:ascii="仿宋" w:eastAsia="仿宋" w:hAnsi="仿宋" w:cs="仿宋" w:hint="eastAsia"/>
          <w:sz w:val="32"/>
          <w:szCs w:val="32"/>
        </w:rPr>
        <w:t>111</w:t>
      </w:r>
      <w:r>
        <w:rPr>
          <w:rFonts w:ascii="仿宋" w:eastAsia="仿宋" w:hAnsi="仿宋" w:cs="仿宋" w:hint="eastAsia"/>
          <w:sz w:val="32"/>
          <w:szCs w:val="32"/>
        </w:rPr>
        <w:t>人，其中在职人员</w:t>
      </w:r>
      <w:r>
        <w:rPr>
          <w:rFonts w:ascii="仿宋" w:eastAsia="仿宋" w:hAnsi="仿宋" w:cs="仿宋" w:hint="eastAsia"/>
          <w:sz w:val="32"/>
          <w:szCs w:val="32"/>
        </w:rPr>
        <w:t>88</w:t>
      </w:r>
      <w:r>
        <w:rPr>
          <w:rFonts w:ascii="仿宋" w:eastAsia="仿宋" w:hAnsi="仿宋" w:cs="仿宋" w:hint="eastAsia"/>
          <w:sz w:val="32"/>
          <w:szCs w:val="32"/>
        </w:rPr>
        <w:t>人，退休人员</w:t>
      </w:r>
      <w:r>
        <w:rPr>
          <w:rFonts w:ascii="仿宋" w:eastAsia="仿宋" w:hAnsi="仿宋" w:cs="仿宋" w:hint="eastAsia"/>
          <w:sz w:val="32"/>
          <w:szCs w:val="32"/>
        </w:rPr>
        <w:t>33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二、一般公共预算支出情况</w:t>
      </w:r>
    </w:p>
    <w:p w:rsidR="009A4130" w:rsidRDefault="00443A59">
      <w:pPr>
        <w:pStyle w:val="msolistparagraph0"/>
        <w:widowControl/>
        <w:spacing w:line="360" w:lineRule="auto"/>
        <w:ind w:left="0" w:rightChars="-150" w:right="-315" w:firstLineChars="200" w:firstLine="640"/>
        <w:jc w:val="left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（一）</w:t>
      </w:r>
      <w:r>
        <w:rPr>
          <w:rFonts w:ascii="仿宋" w:eastAsia="仿宋" w:hAnsi="仿宋" w:cs="仿宋"/>
          <w:sz w:val="32"/>
          <w:szCs w:val="32"/>
        </w:rPr>
        <w:t>基本支出情况</w:t>
      </w:r>
    </w:p>
    <w:p w:rsidR="009A4130" w:rsidRDefault="00443A59">
      <w:pPr>
        <w:pStyle w:val="a5"/>
        <w:widowControl/>
        <w:spacing w:beforeAutospacing="0" w:afterAutospacing="0" w:line="360" w:lineRule="auto"/>
        <w:ind w:rightChars="-150" w:right="-315"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年基本支出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1929.17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万元，其中：人员经费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1320.13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万元；公用经费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609.04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万元。</w:t>
      </w:r>
    </w:p>
    <w:p w:rsidR="009A4130" w:rsidRDefault="00443A59">
      <w:pPr>
        <w:pStyle w:val="a5"/>
        <w:widowControl/>
        <w:spacing w:beforeAutospacing="0" w:afterAutospacing="0" w:line="360" w:lineRule="auto"/>
        <w:ind w:rightChars="-150" w:right="-31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项目支出情况</w:t>
      </w:r>
    </w:p>
    <w:p w:rsidR="009A4130" w:rsidRDefault="00443A59">
      <w:pPr>
        <w:snapToGrid w:val="0"/>
        <w:spacing w:line="360" w:lineRule="auto"/>
        <w:ind w:rightChars="-150" w:right="-315" w:firstLineChars="200" w:firstLine="640"/>
        <w:jc w:val="left"/>
        <w:rPr>
          <w:rFonts w:ascii="仿宋" w:eastAsia="仿宋" w:hAnsi="仿宋" w:cs="仿宋"/>
          <w:color w:val="0000FF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、政府性基金支出</w:t>
      </w:r>
      <w:r>
        <w:rPr>
          <w:rFonts w:ascii="仿宋" w:eastAsia="仿宋" w:hAnsi="仿宋" w:cs="仿宋" w:hint="eastAsia"/>
          <w:sz w:val="32"/>
          <w:szCs w:val="32"/>
        </w:rPr>
        <w:t>145565.54</w:t>
      </w:r>
      <w:r>
        <w:rPr>
          <w:rFonts w:ascii="仿宋" w:eastAsia="仿宋" w:hAnsi="仿宋" w:cs="仿宋" w:hint="eastAsia"/>
          <w:sz w:val="32"/>
          <w:szCs w:val="32"/>
        </w:rPr>
        <w:t>万元。其中：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、用于湘江流域东岸综合治理及新型城镇化开发项目征拆</w:t>
      </w:r>
      <w:r>
        <w:rPr>
          <w:rFonts w:ascii="仿宋" w:eastAsia="仿宋" w:hAnsi="仿宋" w:cs="仿宋" w:hint="eastAsia"/>
          <w:sz w:val="32"/>
          <w:szCs w:val="32"/>
        </w:rPr>
        <w:t>615.63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、恒泰一期项目陈伏林房屋征收补偿款尾款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、用于智能新材料（渌湘地块一）项目前期组卷报批费用征地拆迁专项资金</w:t>
      </w:r>
      <w:r>
        <w:rPr>
          <w:rFonts w:ascii="仿宋" w:eastAsia="仿宋" w:hAnsi="仿宋" w:cs="仿宋" w:hint="eastAsia"/>
          <w:sz w:val="32"/>
          <w:szCs w:val="32"/>
        </w:rPr>
        <w:t>4000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、安排拨付人民医院项目土地前期用地成本费用</w:t>
      </w:r>
      <w:r>
        <w:rPr>
          <w:rFonts w:ascii="仿宋" w:eastAsia="仿宋" w:hAnsi="仿宋" w:cs="仿宋" w:hint="eastAsia"/>
          <w:sz w:val="32"/>
          <w:szCs w:val="32"/>
        </w:rPr>
        <w:t>8747.12</w:t>
      </w:r>
      <w:r>
        <w:rPr>
          <w:rFonts w:ascii="仿宋" w:eastAsia="仿宋" w:hAnsi="仿宋" w:cs="仿宋" w:hint="eastAsia"/>
          <w:sz w:val="32"/>
          <w:szCs w:val="32"/>
        </w:rPr>
        <w:t>万元；安排南洲储备地块收储资金</w:t>
      </w:r>
      <w:r>
        <w:rPr>
          <w:rFonts w:ascii="仿宋" w:eastAsia="仿宋" w:hAnsi="仿宋" w:cs="仿宋" w:hint="eastAsia"/>
          <w:sz w:val="32"/>
          <w:szCs w:val="32"/>
        </w:rPr>
        <w:t>127568</w:t>
      </w:r>
      <w:r>
        <w:rPr>
          <w:rFonts w:ascii="仿宋" w:eastAsia="仿宋" w:hAnsi="仿宋" w:cs="仿宋" w:hint="eastAsia"/>
          <w:sz w:val="32"/>
          <w:szCs w:val="32"/>
        </w:rPr>
        <w:t>万元；南洲镇南岸村收储资金</w:t>
      </w:r>
      <w:r>
        <w:rPr>
          <w:rFonts w:ascii="仿宋" w:eastAsia="仿宋" w:hAnsi="仿宋" w:cs="仿宋" w:hint="eastAsia"/>
          <w:sz w:val="32"/>
          <w:szCs w:val="32"/>
        </w:rPr>
        <w:t>3231</w:t>
      </w:r>
      <w:r>
        <w:rPr>
          <w:rFonts w:ascii="仿宋" w:eastAsia="仿宋" w:hAnsi="仿宋" w:cs="仿宋" w:hint="eastAsia"/>
          <w:sz w:val="32"/>
          <w:szCs w:val="32"/>
        </w:rPr>
        <w:t>万元；科技职院前期报批费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年交易服务费返还支出</w:t>
      </w:r>
      <w:r>
        <w:rPr>
          <w:rFonts w:ascii="仿宋" w:eastAsia="仿宋" w:hAnsi="仿宋" w:cs="仿宋" w:hint="eastAsia"/>
          <w:sz w:val="32"/>
          <w:szCs w:val="32"/>
        </w:rPr>
        <w:t>13.27</w:t>
      </w:r>
      <w:r>
        <w:rPr>
          <w:rFonts w:ascii="仿宋" w:eastAsia="仿宋" w:hAnsi="仿宋" w:cs="仿宋" w:hint="eastAsia"/>
          <w:sz w:val="32"/>
          <w:szCs w:val="32"/>
        </w:rPr>
        <w:t>万元；增减挂钩项目支出</w:t>
      </w:r>
      <w:r>
        <w:rPr>
          <w:rFonts w:ascii="仿宋" w:eastAsia="仿宋" w:hAnsi="仿宋" w:cs="仿宋" w:hint="eastAsia"/>
          <w:sz w:val="32"/>
          <w:szCs w:val="32"/>
        </w:rPr>
        <w:t>360.52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A4130" w:rsidRDefault="00443A59">
      <w:pPr>
        <w:pStyle w:val="a4"/>
        <w:spacing w:line="360" w:lineRule="auto"/>
        <w:ind w:rightChars="-150" w:right="-31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、其他自</w:t>
      </w:r>
      <w:r>
        <w:rPr>
          <w:rFonts w:ascii="仿宋" w:eastAsia="仿宋" w:hAnsi="仿宋" w:cs="仿宋" w:hint="eastAsia"/>
          <w:sz w:val="32"/>
          <w:szCs w:val="32"/>
        </w:rPr>
        <w:t>然资源事务支出</w:t>
      </w:r>
      <w:r>
        <w:rPr>
          <w:rFonts w:ascii="仿宋" w:eastAsia="仿宋" w:hAnsi="仿宋" w:cs="仿宋" w:hint="eastAsia"/>
          <w:sz w:val="32"/>
          <w:szCs w:val="32"/>
        </w:rPr>
        <w:t>2059.66</w:t>
      </w:r>
      <w:r>
        <w:rPr>
          <w:rFonts w:ascii="仿宋" w:eastAsia="仿宋" w:hAnsi="仿宋" w:cs="仿宋" w:hint="eastAsia"/>
          <w:sz w:val="32"/>
          <w:szCs w:val="32"/>
        </w:rPr>
        <w:t>万元。其中：规范村民建房</w:t>
      </w:r>
      <w:r>
        <w:rPr>
          <w:rFonts w:ascii="仿宋" w:eastAsia="仿宋" w:hAnsi="仿宋" w:cs="仿宋" w:hint="eastAsia"/>
          <w:sz w:val="32"/>
          <w:szCs w:val="32"/>
        </w:rPr>
        <w:t>36.4</w:t>
      </w:r>
      <w:r>
        <w:rPr>
          <w:rFonts w:ascii="仿宋" w:eastAsia="仿宋" w:hAnsi="仿宋" w:cs="仿宋" w:hint="eastAsia"/>
          <w:sz w:val="32"/>
          <w:szCs w:val="32"/>
        </w:rPr>
        <w:t>万元；市级土地开发项目</w:t>
      </w:r>
      <w:r>
        <w:rPr>
          <w:rFonts w:ascii="仿宋" w:eastAsia="仿宋" w:hAnsi="仿宋" w:cs="仿宋" w:hint="eastAsia"/>
          <w:sz w:val="32"/>
          <w:szCs w:val="32"/>
        </w:rPr>
        <w:t>139.16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年历史遗留矿山修复</w:t>
      </w: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万元；洪塘矿区前期工作费用</w:t>
      </w:r>
      <w:r>
        <w:rPr>
          <w:rFonts w:ascii="仿宋" w:eastAsia="仿宋" w:hAnsi="仿宋" w:cs="仿宋" w:hint="eastAsia"/>
          <w:sz w:val="32"/>
          <w:szCs w:val="32"/>
        </w:rPr>
        <w:t>151.18</w:t>
      </w:r>
      <w:r>
        <w:rPr>
          <w:rFonts w:ascii="仿宋" w:eastAsia="仿宋" w:hAnsi="仿宋" w:cs="仿宋" w:hint="eastAsia"/>
          <w:sz w:val="32"/>
          <w:szCs w:val="32"/>
        </w:rPr>
        <w:t>万元；中小型地质灾害治理项目</w:t>
      </w:r>
      <w:r>
        <w:rPr>
          <w:rFonts w:ascii="仿宋" w:eastAsia="仿宋" w:hAnsi="仿宋" w:cs="仿宋" w:hint="eastAsia"/>
          <w:sz w:val="32"/>
          <w:szCs w:val="32"/>
        </w:rPr>
        <w:t>115.00</w:t>
      </w:r>
      <w:r>
        <w:rPr>
          <w:rFonts w:ascii="仿宋" w:eastAsia="仿宋" w:hAnsi="仿宋" w:cs="仿宋" w:hint="eastAsia"/>
          <w:sz w:val="32"/>
          <w:szCs w:val="32"/>
        </w:rPr>
        <w:t>万元；自然资源技术服务费</w:t>
      </w:r>
      <w:r>
        <w:rPr>
          <w:rFonts w:ascii="仿宋" w:eastAsia="仿宋" w:hAnsi="仿宋" w:cs="仿宋" w:hint="eastAsia"/>
          <w:sz w:val="32"/>
          <w:szCs w:val="32"/>
        </w:rPr>
        <w:t>400</w:t>
      </w:r>
      <w:r>
        <w:rPr>
          <w:rFonts w:ascii="仿宋" w:eastAsia="仿宋" w:hAnsi="仿宋" w:cs="仿宋" w:hint="eastAsia"/>
          <w:sz w:val="32"/>
          <w:szCs w:val="32"/>
        </w:rPr>
        <w:t>万元；补充耕地问题整改</w:t>
      </w:r>
      <w:r>
        <w:rPr>
          <w:rFonts w:ascii="仿宋" w:eastAsia="仿宋" w:hAnsi="仿宋" w:cs="仿宋" w:hint="eastAsia"/>
          <w:sz w:val="32"/>
          <w:szCs w:val="32"/>
        </w:rPr>
        <w:t>40.84</w:t>
      </w:r>
      <w:r>
        <w:rPr>
          <w:rFonts w:ascii="仿宋" w:eastAsia="仿宋" w:hAnsi="仿宋" w:cs="仿宋" w:hint="eastAsia"/>
          <w:sz w:val="32"/>
          <w:szCs w:val="32"/>
        </w:rPr>
        <w:t>万元；土整中心项目工程尾款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年村民建房以奖代补资金</w:t>
      </w:r>
      <w:r>
        <w:rPr>
          <w:rFonts w:ascii="仿宋" w:eastAsia="仿宋" w:hAnsi="仿宋" w:cs="仿宋" w:hint="eastAsia"/>
          <w:sz w:val="32"/>
          <w:szCs w:val="32"/>
        </w:rPr>
        <w:t>5.8</w:t>
      </w:r>
      <w:r>
        <w:rPr>
          <w:rFonts w:ascii="仿宋" w:eastAsia="仿宋" w:hAnsi="仿宋" w:cs="仿宋" w:hint="eastAsia"/>
          <w:sz w:val="32"/>
          <w:szCs w:val="32"/>
        </w:rPr>
        <w:t>万元；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年自然资源专项工作技术服务费</w:t>
      </w:r>
      <w:r>
        <w:rPr>
          <w:rFonts w:ascii="仿宋" w:eastAsia="仿宋" w:hAnsi="仿宋" w:cs="仿宋" w:hint="eastAsia"/>
          <w:sz w:val="32"/>
          <w:szCs w:val="32"/>
        </w:rPr>
        <w:t>175.53</w:t>
      </w:r>
      <w:r>
        <w:rPr>
          <w:rFonts w:ascii="仿宋" w:eastAsia="仿宋" w:hAnsi="仿宋" w:cs="仿宋" w:hint="eastAsia"/>
          <w:sz w:val="32"/>
          <w:szCs w:val="32"/>
        </w:rPr>
        <w:t>万元；空间规划与编制费</w:t>
      </w:r>
      <w:r>
        <w:rPr>
          <w:rFonts w:ascii="仿宋" w:eastAsia="仿宋" w:hAnsi="仿宋" w:cs="仿宋" w:hint="eastAsia"/>
          <w:sz w:val="32"/>
          <w:szCs w:val="32"/>
        </w:rPr>
        <w:t>184.38</w:t>
      </w:r>
      <w:r>
        <w:rPr>
          <w:rFonts w:ascii="仿宋" w:eastAsia="仿宋" w:hAnsi="仿宋" w:cs="仿宋" w:hint="eastAsia"/>
          <w:sz w:val="32"/>
          <w:szCs w:val="32"/>
        </w:rPr>
        <w:t>万元；镇村工作经费</w:t>
      </w:r>
      <w:r>
        <w:rPr>
          <w:rFonts w:ascii="仿宋" w:eastAsia="仿宋" w:hAnsi="仿宋" w:cs="仿宋" w:hint="eastAsia"/>
          <w:sz w:val="32"/>
          <w:szCs w:val="32"/>
        </w:rPr>
        <w:t>450.60</w:t>
      </w:r>
      <w:r>
        <w:rPr>
          <w:rFonts w:ascii="仿宋" w:eastAsia="仿宋" w:hAnsi="仿宋" w:cs="仿宋" w:hint="eastAsia"/>
          <w:sz w:val="32"/>
          <w:szCs w:val="32"/>
        </w:rPr>
        <w:t>万元；中央重点生态保护修复治理专项资金</w:t>
      </w:r>
      <w:r>
        <w:rPr>
          <w:rFonts w:ascii="仿宋" w:eastAsia="仿宋" w:hAnsi="仿宋" w:cs="仿宋" w:hint="eastAsia"/>
          <w:sz w:val="32"/>
          <w:szCs w:val="32"/>
        </w:rPr>
        <w:t>3.38</w:t>
      </w:r>
      <w:r>
        <w:rPr>
          <w:rFonts w:ascii="仿宋" w:eastAsia="仿宋" w:hAnsi="仿宋" w:cs="仿宋" w:hint="eastAsia"/>
          <w:sz w:val="32"/>
          <w:szCs w:val="32"/>
        </w:rPr>
        <w:t>万元</w:t>
      </w:r>
      <w:r>
        <w:rPr>
          <w:rFonts w:ascii="仿宋" w:eastAsia="仿宋" w:hAnsi="仿宋" w:cs="仿宋" w:hint="eastAsia"/>
          <w:sz w:val="32"/>
          <w:szCs w:val="32"/>
        </w:rPr>
        <w:t>；龙船镇龙泉村地面沉陷地质灾害详细勘察工作经费</w:t>
      </w:r>
      <w:r>
        <w:rPr>
          <w:rFonts w:ascii="仿宋" w:eastAsia="仿宋" w:hAnsi="仿宋" w:cs="仿宋" w:hint="eastAsia"/>
          <w:sz w:val="32"/>
          <w:szCs w:val="32"/>
        </w:rPr>
        <w:t>38.75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三、政府性基金预算支出情况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无。</w:t>
      </w:r>
    </w:p>
    <w:p w:rsidR="009A4130" w:rsidRDefault="00443A59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国有资本经营预算支出情况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无。</w:t>
      </w:r>
    </w:p>
    <w:p w:rsidR="009A4130" w:rsidRDefault="00443A59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社会保险基金预算支出情况</w:t>
      </w:r>
    </w:p>
    <w:p w:rsidR="009A4130" w:rsidRDefault="00443A59" w:rsidP="00443A59">
      <w:pPr>
        <w:tabs>
          <w:tab w:val="left" w:pos="7560"/>
        </w:tabs>
        <w:adjustRightInd w:val="0"/>
        <w:snapToGrid w:val="0"/>
        <w:spacing w:line="560" w:lineRule="exact"/>
        <w:ind w:leftChars="200" w:left="4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无。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六、资金使用及绩效情况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（一）整体支出绩效情况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方正仿宋_GBK"/>
          <w:snapToGrid w:val="0"/>
          <w:color w:val="000000"/>
          <w:kern w:val="0"/>
          <w:sz w:val="32"/>
          <w:szCs w:val="32"/>
          <w:lang/>
        </w:rPr>
      </w:pP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2024</w:t>
      </w: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年，在市局和区委、区政府的正确领导下，渌口区自然资源局认真贯彻党的二十大精神、二十届三中全会</w:t>
      </w:r>
      <w:r>
        <w:rPr>
          <w:rFonts w:eastAsia="方正仿宋_GBK" w:hint="eastAsia"/>
          <w:snapToGrid w:val="0"/>
          <w:color w:val="000000"/>
          <w:kern w:val="0"/>
          <w:sz w:val="32"/>
          <w:szCs w:val="32"/>
          <w:lang/>
        </w:rPr>
        <w:t>精神</w:t>
      </w: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和习近平总书记考察湖南重要讲话精神，切实落实行业和区委、区政府工作部署要求，聚焦年度工作目标和重点工作任务，围绕</w:t>
      </w: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“</w:t>
      </w: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两统一</w:t>
      </w: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”</w:t>
      </w:r>
      <w:r>
        <w:rPr>
          <w:rFonts w:eastAsia="方正仿宋_GBK"/>
          <w:snapToGrid w:val="0"/>
          <w:color w:val="000000"/>
          <w:kern w:val="0"/>
          <w:sz w:val="32"/>
          <w:szCs w:val="32"/>
          <w:lang/>
        </w:rPr>
        <w:t>职责，聚力高质量发展，探索创新、真抓实干，自然资源管理秩序持续向好，取得一定成效</w:t>
      </w:r>
      <w:r>
        <w:rPr>
          <w:rFonts w:eastAsia="方正仿宋_GBK" w:hint="eastAsia"/>
          <w:snapToGrid w:val="0"/>
          <w:color w:val="000000"/>
          <w:kern w:val="0"/>
          <w:sz w:val="32"/>
          <w:szCs w:val="32"/>
          <w:lang/>
        </w:rPr>
        <w:t>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根据渌口区部门预算绩效管理工作考核办法要求，本单位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202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年度部门整体支出绩效自评，共涉及资金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149554.38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万元。其中：基本支出：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1929.17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万元，项目支出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147625.21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万元。从评价情况来看，有关项目立项程序完整、规范，预算执行及时、有效，绩效目标得到较好实现，绩效管理水平不断提高，绩效指标体系建设逐渐丰富和完善。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（二）项目支出绩效情况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对应年初预算申报及年中预算调整的子项目分别描述绩效情况，填报项目支出绩效自评表（附件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）。表述格式参考如下：</w:t>
      </w:r>
    </w:p>
    <w:p w:rsidR="009A4130" w:rsidRDefault="00443A59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补充耕地问题</w:t>
      </w:r>
    </w:p>
    <w:p w:rsidR="009A4130" w:rsidRDefault="00443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项目预算金额</w:t>
      </w:r>
      <w:r>
        <w:rPr>
          <w:rFonts w:ascii="仿宋_GB2312" w:eastAsia="仿宋_GB2312" w:hint="eastAsia"/>
          <w:sz w:val="32"/>
          <w:szCs w:val="32"/>
        </w:rPr>
        <w:t>55.26</w:t>
      </w:r>
      <w:r>
        <w:rPr>
          <w:rFonts w:ascii="仿宋_GB2312" w:eastAsia="仿宋_GB2312" w:hint="eastAsia"/>
          <w:sz w:val="32"/>
          <w:szCs w:val="32"/>
        </w:rPr>
        <w:t>万元，实际支出金额</w:t>
      </w:r>
      <w:r>
        <w:rPr>
          <w:rFonts w:ascii="仿宋_GB2312" w:eastAsia="仿宋_GB2312" w:hint="eastAsia"/>
          <w:sz w:val="32"/>
          <w:szCs w:val="32"/>
        </w:rPr>
        <w:t>40.84</w:t>
      </w:r>
      <w:r>
        <w:rPr>
          <w:rFonts w:ascii="仿宋_GB2312" w:eastAsia="仿宋_GB2312" w:hint="eastAsia"/>
          <w:sz w:val="32"/>
          <w:szCs w:val="32"/>
        </w:rPr>
        <w:t>万元，结余结转金额</w:t>
      </w:r>
      <w:r>
        <w:rPr>
          <w:rFonts w:ascii="仿宋_GB2312" w:eastAsia="仿宋_GB2312" w:hint="eastAsia"/>
          <w:sz w:val="32"/>
          <w:szCs w:val="32"/>
        </w:rPr>
        <w:t>14.42</w:t>
      </w:r>
      <w:r>
        <w:rPr>
          <w:rFonts w:ascii="仿宋_GB2312" w:eastAsia="仿宋_GB2312" w:hint="eastAsia"/>
          <w:sz w:val="32"/>
          <w:szCs w:val="32"/>
        </w:rPr>
        <w:t>万元。主要用于补充耕地问题整改，通过省厅验收，项目实施后达到重新入库，指标恢复使用，落实耕种面积</w:t>
      </w:r>
      <w:r>
        <w:rPr>
          <w:rFonts w:ascii="仿宋_GB2312" w:eastAsia="仿宋_GB2312" w:hint="eastAsia"/>
          <w:sz w:val="32"/>
          <w:szCs w:val="32"/>
        </w:rPr>
        <w:t>255</w:t>
      </w:r>
      <w:r>
        <w:rPr>
          <w:rFonts w:ascii="仿宋_GB2312" w:eastAsia="仿宋_GB2312" w:hint="eastAsia"/>
          <w:sz w:val="32"/>
          <w:szCs w:val="32"/>
        </w:rPr>
        <w:t>亩。</w:t>
      </w:r>
      <w:r>
        <w:rPr>
          <w:rFonts w:ascii="仿宋" w:eastAsia="仿宋" w:hAnsi="仿宋" w:cs="仿宋" w:hint="eastAsia"/>
          <w:sz w:val="32"/>
          <w:szCs w:val="32"/>
        </w:rPr>
        <w:t>项目实施达到预期绩效目标。</w:t>
      </w:r>
    </w:p>
    <w:p w:rsidR="009A4130" w:rsidRDefault="00443A59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空间</w:t>
      </w:r>
      <w:r>
        <w:rPr>
          <w:rFonts w:ascii="仿宋_GB2312" w:eastAsia="仿宋_GB2312" w:hint="eastAsia"/>
          <w:sz w:val="32"/>
          <w:szCs w:val="32"/>
        </w:rPr>
        <w:t>规划与编制费</w:t>
      </w:r>
    </w:p>
    <w:p w:rsidR="009A4130" w:rsidRDefault="00443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项目预算金额</w:t>
      </w:r>
      <w:r>
        <w:rPr>
          <w:rFonts w:ascii="仿宋_GB2312" w:eastAsia="仿宋_GB2312" w:hint="eastAsia"/>
          <w:sz w:val="32"/>
          <w:szCs w:val="32"/>
        </w:rPr>
        <w:t>184.38</w:t>
      </w:r>
      <w:r>
        <w:rPr>
          <w:rFonts w:ascii="仿宋_GB2312" w:eastAsia="仿宋_GB2312" w:hint="eastAsia"/>
          <w:sz w:val="32"/>
          <w:szCs w:val="32"/>
        </w:rPr>
        <w:t>万元，实际支出金额</w:t>
      </w:r>
      <w:r>
        <w:rPr>
          <w:rFonts w:ascii="仿宋_GB2312" w:eastAsia="仿宋_GB2312" w:hint="eastAsia"/>
          <w:sz w:val="32"/>
          <w:szCs w:val="32"/>
        </w:rPr>
        <w:t>184.38</w:t>
      </w:r>
      <w:r>
        <w:rPr>
          <w:rFonts w:ascii="仿宋_GB2312" w:eastAsia="仿宋_GB2312" w:hint="eastAsia"/>
          <w:sz w:val="32"/>
          <w:szCs w:val="32"/>
        </w:rPr>
        <w:t>万元。主要用于完成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年渌口区国土空间规划、村庄规划技术服务费，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年第三方规划技术服务费；完成渌口区龙门镇太湖村等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个村村庄规划编制；完成株洲市渌口区公共设施综合布局规划项目；完成渌口区古岳峰三旺村等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个村村庄规划；完成村民建房。</w:t>
      </w:r>
      <w:r>
        <w:rPr>
          <w:rFonts w:ascii="仿宋" w:eastAsia="仿宋" w:hAnsi="仿宋" w:cs="仿宋" w:hint="eastAsia"/>
          <w:sz w:val="32"/>
          <w:szCs w:val="32"/>
        </w:rPr>
        <w:t>科学划定“三区三线”，编制《株洲市渌口区空间战略专题研究》及各镇国土空间总体规划，合理确定城市发展方向与时序，杜绝摊大饼式发展，保证城市建设高质量发展集约化。</w:t>
      </w:r>
      <w:r>
        <w:rPr>
          <w:rFonts w:eastAsia="方正仿宋_GBK"/>
          <w:snapToGrid w:val="0"/>
          <w:kern w:val="0"/>
          <w:sz w:val="32"/>
          <w:szCs w:val="32"/>
          <w:lang/>
        </w:rPr>
        <w:t>整合</w:t>
      </w:r>
      <w:r>
        <w:rPr>
          <w:rFonts w:eastAsia="方正仿宋_GBK" w:hint="eastAsia"/>
          <w:snapToGrid w:val="0"/>
          <w:kern w:val="0"/>
          <w:sz w:val="32"/>
          <w:szCs w:val="32"/>
          <w:lang/>
        </w:rPr>
        <w:t>完成</w:t>
      </w:r>
      <w:r>
        <w:rPr>
          <w:rFonts w:eastAsia="方正仿宋_GBK"/>
          <w:snapToGrid w:val="0"/>
          <w:kern w:val="0"/>
          <w:sz w:val="32"/>
          <w:szCs w:val="32"/>
          <w:lang/>
        </w:rPr>
        <w:t>全区</w:t>
      </w:r>
      <w:r>
        <w:rPr>
          <w:rFonts w:eastAsia="方正仿宋_GBK"/>
          <w:snapToGrid w:val="0"/>
          <w:kern w:val="0"/>
          <w:sz w:val="32"/>
          <w:szCs w:val="32"/>
          <w:lang/>
        </w:rPr>
        <w:t>11</w:t>
      </w:r>
      <w:r>
        <w:rPr>
          <w:rFonts w:eastAsia="方正仿宋_GBK"/>
          <w:snapToGrid w:val="0"/>
          <w:kern w:val="0"/>
          <w:sz w:val="32"/>
          <w:szCs w:val="32"/>
          <w:lang/>
        </w:rPr>
        <w:t>个片区控制性详细规划</w:t>
      </w:r>
      <w:r>
        <w:rPr>
          <w:rFonts w:eastAsia="方正仿宋_GBK" w:hint="eastAsia"/>
          <w:snapToGrid w:val="0"/>
          <w:kern w:val="0"/>
          <w:sz w:val="32"/>
          <w:szCs w:val="32"/>
          <w:lang/>
        </w:rPr>
        <w:t>，</w:t>
      </w:r>
      <w:r>
        <w:rPr>
          <w:rFonts w:eastAsia="方正仿宋_GBK"/>
          <w:snapToGrid w:val="0"/>
          <w:kern w:val="0"/>
          <w:sz w:val="32"/>
          <w:szCs w:val="32"/>
          <w:lang/>
        </w:rPr>
        <w:t>编制完成</w:t>
      </w:r>
      <w:r>
        <w:rPr>
          <w:rFonts w:eastAsia="方正仿宋_GBK"/>
          <w:snapToGrid w:val="0"/>
          <w:kern w:val="0"/>
          <w:sz w:val="32"/>
          <w:szCs w:val="32"/>
          <w:lang/>
        </w:rPr>
        <w:t>7</w:t>
      </w:r>
      <w:r>
        <w:rPr>
          <w:rFonts w:eastAsia="方正仿宋_GBK"/>
          <w:snapToGrid w:val="0"/>
          <w:kern w:val="0"/>
          <w:sz w:val="32"/>
          <w:szCs w:val="32"/>
          <w:lang/>
        </w:rPr>
        <w:t>个镇的国土空间规划，完成</w:t>
      </w:r>
      <w:r>
        <w:rPr>
          <w:rFonts w:eastAsia="方正仿宋_GBK"/>
          <w:snapToGrid w:val="0"/>
          <w:kern w:val="0"/>
          <w:sz w:val="32"/>
          <w:szCs w:val="32"/>
          <w:lang/>
        </w:rPr>
        <w:t>11</w:t>
      </w:r>
      <w:r>
        <w:rPr>
          <w:rFonts w:eastAsia="方正仿宋_GBK"/>
          <w:snapToGrid w:val="0"/>
          <w:kern w:val="0"/>
          <w:sz w:val="32"/>
          <w:szCs w:val="32"/>
          <w:lang/>
        </w:rPr>
        <w:t>个重点</w:t>
      </w:r>
      <w:bookmarkStart w:id="0" w:name="_GoBack"/>
      <w:bookmarkEnd w:id="0"/>
      <w:r>
        <w:rPr>
          <w:rFonts w:eastAsia="方正仿宋_GBK"/>
          <w:snapToGrid w:val="0"/>
          <w:kern w:val="0"/>
          <w:sz w:val="32"/>
          <w:szCs w:val="32"/>
          <w:lang/>
        </w:rPr>
        <w:t>村庄规划质量提升工作。</w:t>
      </w:r>
      <w:r>
        <w:rPr>
          <w:rFonts w:ascii="仿宋" w:eastAsia="仿宋" w:hAnsi="仿宋" w:cs="仿宋" w:hint="eastAsia"/>
          <w:sz w:val="32"/>
          <w:szCs w:val="32"/>
        </w:rPr>
        <w:t>项目实施达到预期绩效目标。</w:t>
      </w:r>
    </w:p>
    <w:p w:rsidR="009A4130" w:rsidRDefault="00443A59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土地收储资金</w:t>
      </w:r>
    </w:p>
    <w:p w:rsidR="009A4130" w:rsidRDefault="00443A59">
      <w:pPr>
        <w:rPr>
          <w:rFonts w:eastAsia="方正仿宋_GBK"/>
          <w:snapToGrid w:val="0"/>
          <w:kern w:val="0"/>
          <w:sz w:val="32"/>
          <w:szCs w:val="32"/>
          <w:lang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项目预算金额</w:t>
      </w:r>
      <w:r>
        <w:rPr>
          <w:rFonts w:ascii="仿宋_GB2312" w:eastAsia="仿宋_GB2312" w:hint="eastAsia"/>
          <w:sz w:val="32"/>
          <w:szCs w:val="32"/>
        </w:rPr>
        <w:t>145698.54</w:t>
      </w:r>
      <w:r>
        <w:rPr>
          <w:rFonts w:ascii="仿宋_GB2312" w:eastAsia="仿宋_GB2312" w:hint="eastAsia"/>
          <w:sz w:val="32"/>
          <w:szCs w:val="32"/>
        </w:rPr>
        <w:t>万元，实际支出金额</w:t>
      </w:r>
      <w:r>
        <w:rPr>
          <w:rFonts w:ascii="仿宋_GB2312" w:eastAsia="仿宋_GB2312" w:hint="eastAsia"/>
          <w:sz w:val="32"/>
          <w:szCs w:val="32"/>
        </w:rPr>
        <w:t>145698.54</w:t>
      </w:r>
      <w:r>
        <w:rPr>
          <w:rFonts w:ascii="仿宋_GB2312" w:eastAsia="仿宋_GB2312" w:hint="eastAsia"/>
          <w:sz w:val="32"/>
          <w:szCs w:val="32"/>
        </w:rPr>
        <w:t>万元。主要</w:t>
      </w:r>
      <w:r>
        <w:rPr>
          <w:rFonts w:eastAsia="方正仿宋_GBK"/>
          <w:snapToGrid w:val="0"/>
          <w:kern w:val="0"/>
          <w:sz w:val="32"/>
          <w:szCs w:val="32"/>
          <w:lang/>
        </w:rPr>
        <w:t>初步完成南洲储备地块五、六、七等</w:t>
      </w:r>
      <w:r>
        <w:rPr>
          <w:rFonts w:eastAsia="方正仿宋_GBK"/>
          <w:snapToGrid w:val="0"/>
          <w:kern w:val="0"/>
          <w:sz w:val="32"/>
          <w:szCs w:val="32"/>
          <w:lang/>
        </w:rPr>
        <w:t>8</w:t>
      </w:r>
      <w:r>
        <w:rPr>
          <w:rFonts w:eastAsia="方正仿宋_GBK"/>
          <w:snapToGrid w:val="0"/>
          <w:kern w:val="0"/>
          <w:sz w:val="32"/>
          <w:szCs w:val="32"/>
          <w:lang/>
        </w:rPr>
        <w:t>宗地块的收储工作，合计</w:t>
      </w:r>
      <w:r>
        <w:rPr>
          <w:rFonts w:eastAsia="方正仿宋_GBK"/>
          <w:snapToGrid w:val="0"/>
          <w:kern w:val="0"/>
          <w:sz w:val="32"/>
          <w:szCs w:val="32"/>
          <w:lang/>
        </w:rPr>
        <w:t>554</w:t>
      </w:r>
      <w:r>
        <w:rPr>
          <w:rFonts w:eastAsia="方正仿宋_GBK"/>
          <w:snapToGrid w:val="0"/>
          <w:kern w:val="0"/>
          <w:sz w:val="32"/>
          <w:szCs w:val="32"/>
          <w:lang/>
        </w:rPr>
        <w:t>亩。加大批而未用土地消化攻坚力度，省厅下发批而未供任务基数</w:t>
      </w:r>
      <w:r>
        <w:rPr>
          <w:rFonts w:eastAsia="方正仿宋_GBK"/>
          <w:snapToGrid w:val="0"/>
          <w:kern w:val="0"/>
          <w:sz w:val="32"/>
          <w:szCs w:val="32"/>
          <w:lang/>
        </w:rPr>
        <w:t>532.67</w:t>
      </w:r>
      <w:r>
        <w:rPr>
          <w:rFonts w:eastAsia="方正仿宋_GBK"/>
          <w:snapToGrid w:val="0"/>
          <w:kern w:val="0"/>
          <w:sz w:val="32"/>
          <w:szCs w:val="32"/>
          <w:lang/>
        </w:rPr>
        <w:t>亩，已完成</w:t>
      </w:r>
      <w:r>
        <w:rPr>
          <w:rFonts w:eastAsia="方正仿宋_GBK" w:hint="eastAsia"/>
          <w:snapToGrid w:val="0"/>
          <w:kern w:val="0"/>
          <w:sz w:val="32"/>
          <w:szCs w:val="32"/>
          <w:lang/>
        </w:rPr>
        <w:t>388.35</w:t>
      </w:r>
      <w:r>
        <w:rPr>
          <w:rFonts w:eastAsia="方正仿宋_GBK"/>
          <w:snapToGrid w:val="0"/>
          <w:kern w:val="0"/>
          <w:sz w:val="32"/>
          <w:szCs w:val="32"/>
          <w:lang/>
        </w:rPr>
        <w:t>亩，处置率</w:t>
      </w:r>
      <w:r>
        <w:rPr>
          <w:rFonts w:eastAsia="方正仿宋_GBK" w:hint="eastAsia"/>
          <w:snapToGrid w:val="0"/>
          <w:kern w:val="0"/>
          <w:sz w:val="32"/>
          <w:szCs w:val="32"/>
          <w:lang/>
        </w:rPr>
        <w:t>72.91</w:t>
      </w:r>
      <w:r>
        <w:rPr>
          <w:rFonts w:eastAsia="方正仿宋_GBK"/>
          <w:snapToGrid w:val="0"/>
          <w:kern w:val="0"/>
          <w:sz w:val="32"/>
          <w:szCs w:val="32"/>
          <w:lang/>
        </w:rPr>
        <w:t>%</w:t>
      </w:r>
      <w:r>
        <w:rPr>
          <w:rFonts w:eastAsia="方正仿宋_GBK"/>
          <w:snapToGrid w:val="0"/>
          <w:kern w:val="0"/>
          <w:sz w:val="32"/>
          <w:szCs w:val="32"/>
          <w:lang/>
        </w:rPr>
        <w:t>，已完成省市相关任务。闲置土地全年无新增。高效盘活园区三类地。</w:t>
      </w:r>
      <w:r>
        <w:rPr>
          <w:rFonts w:eastAsia="方正仿宋_GBK"/>
          <w:sz w:val="32"/>
          <w:szCs w:val="32"/>
        </w:rPr>
        <w:t>高效盘活了园区三类地</w:t>
      </w:r>
      <w:r>
        <w:rPr>
          <w:rFonts w:eastAsia="方正仿宋_GBK"/>
          <w:sz w:val="32"/>
          <w:szCs w:val="32"/>
        </w:rPr>
        <w:t>1194.1</w:t>
      </w:r>
      <w:r>
        <w:rPr>
          <w:rFonts w:eastAsia="方正仿宋_GBK"/>
          <w:sz w:val="32"/>
          <w:szCs w:val="32"/>
        </w:rPr>
        <w:t>亩，处置批而未供土地</w:t>
      </w:r>
      <w:r>
        <w:rPr>
          <w:rFonts w:eastAsia="方正仿宋_GBK"/>
          <w:sz w:val="32"/>
          <w:szCs w:val="32"/>
        </w:rPr>
        <w:t>95.87</w:t>
      </w:r>
      <w:r>
        <w:rPr>
          <w:rFonts w:eastAsia="方正仿宋_GBK"/>
          <w:sz w:val="32"/>
          <w:szCs w:val="32"/>
        </w:rPr>
        <w:t>亩</w:t>
      </w:r>
      <w:r>
        <w:rPr>
          <w:rFonts w:eastAsia="方正仿宋_GBK" w:hint="eastAsia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闲置土地</w:t>
      </w:r>
      <w:r>
        <w:rPr>
          <w:rFonts w:eastAsia="方正仿宋_GBK"/>
          <w:sz w:val="32"/>
          <w:szCs w:val="32"/>
        </w:rPr>
        <w:t>246.32</w:t>
      </w:r>
      <w:r>
        <w:rPr>
          <w:rFonts w:eastAsia="方正仿宋_GBK"/>
          <w:sz w:val="32"/>
          <w:szCs w:val="32"/>
        </w:rPr>
        <w:t>亩</w:t>
      </w:r>
      <w:r>
        <w:rPr>
          <w:rFonts w:eastAsia="方正仿宋_GBK" w:hint="eastAsia"/>
          <w:sz w:val="32"/>
          <w:szCs w:val="32"/>
        </w:rPr>
        <w:t>，处置率</w:t>
      </w:r>
      <w:r>
        <w:rPr>
          <w:rFonts w:eastAsia="方正仿宋_GBK" w:hint="eastAsia"/>
          <w:sz w:val="32"/>
          <w:szCs w:val="32"/>
        </w:rPr>
        <w:t>100%</w:t>
      </w:r>
      <w:r>
        <w:rPr>
          <w:rFonts w:eastAsia="方正仿宋_GBK" w:hint="eastAsia"/>
          <w:sz w:val="32"/>
          <w:szCs w:val="32"/>
        </w:rPr>
        <w:t>，处置</w:t>
      </w:r>
      <w:r>
        <w:rPr>
          <w:rFonts w:eastAsia="方正仿宋_GBK"/>
          <w:sz w:val="32"/>
          <w:szCs w:val="32"/>
        </w:rPr>
        <w:t>低效用地</w:t>
      </w:r>
      <w:r>
        <w:rPr>
          <w:rFonts w:eastAsia="方正仿宋_GBK"/>
          <w:sz w:val="32"/>
          <w:szCs w:val="32"/>
        </w:rPr>
        <w:t>851.91</w:t>
      </w:r>
      <w:r>
        <w:rPr>
          <w:rFonts w:eastAsia="方正仿宋_GBK"/>
          <w:sz w:val="32"/>
          <w:szCs w:val="32"/>
        </w:rPr>
        <w:t>亩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napToGrid w:val="0"/>
          <w:kern w:val="0"/>
          <w:sz w:val="32"/>
          <w:szCs w:val="32"/>
          <w:lang/>
        </w:rPr>
        <w:t>处置率</w:t>
      </w:r>
      <w:r>
        <w:rPr>
          <w:rFonts w:eastAsia="方正仿宋_GBK"/>
          <w:snapToGrid w:val="0"/>
          <w:kern w:val="0"/>
          <w:sz w:val="32"/>
          <w:szCs w:val="32"/>
          <w:lang/>
        </w:rPr>
        <w:t>9</w:t>
      </w:r>
      <w:r>
        <w:rPr>
          <w:rFonts w:eastAsia="方正仿宋_GBK" w:hint="eastAsia"/>
          <w:snapToGrid w:val="0"/>
          <w:kern w:val="0"/>
          <w:sz w:val="32"/>
          <w:szCs w:val="32"/>
          <w:lang/>
        </w:rPr>
        <w:t>4.81</w:t>
      </w:r>
      <w:r>
        <w:rPr>
          <w:rFonts w:eastAsia="方正仿宋_GBK"/>
          <w:snapToGrid w:val="0"/>
          <w:kern w:val="0"/>
          <w:sz w:val="32"/>
          <w:szCs w:val="32"/>
          <w:lang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项目实施达到预期绩效目标</w:t>
      </w:r>
      <w:r>
        <w:rPr>
          <w:rFonts w:eastAsia="方正仿宋_GBK"/>
          <w:sz w:val="32"/>
          <w:szCs w:val="32"/>
        </w:rPr>
        <w:t>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、土整中心项目工程尾款</w:t>
      </w:r>
    </w:p>
    <w:p w:rsidR="009A4130" w:rsidRDefault="00443A5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项目预算金额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万元，实际支付金额</w:t>
      </w:r>
      <w:r>
        <w:rPr>
          <w:rFonts w:ascii="仿宋_GB2312" w:eastAsia="仿宋_GB2312" w:hint="eastAsia"/>
          <w:sz w:val="32"/>
          <w:szCs w:val="32"/>
        </w:rPr>
        <w:t>300</w:t>
      </w:r>
      <w:r>
        <w:rPr>
          <w:rFonts w:ascii="仿宋_GB2312" w:eastAsia="仿宋_GB2312" w:hint="eastAsia"/>
          <w:sz w:val="32"/>
          <w:szCs w:val="32"/>
        </w:rPr>
        <w:t>万元。主要用于支付</w:t>
      </w:r>
      <w:r>
        <w:rPr>
          <w:rFonts w:ascii="仿宋_GB2312" w:eastAsia="仿宋_GB2312" w:hint="eastAsia"/>
          <w:sz w:val="32"/>
          <w:szCs w:val="32"/>
        </w:rPr>
        <w:t>2012-2020</w:t>
      </w:r>
      <w:r>
        <w:rPr>
          <w:rFonts w:ascii="仿宋_GB2312" w:eastAsia="仿宋_GB2312" w:hint="eastAsia"/>
          <w:sz w:val="32"/>
          <w:szCs w:val="32"/>
        </w:rPr>
        <w:t>年土地开发项目、增减挂钩项工程尾款</w:t>
      </w:r>
      <w:r>
        <w:rPr>
          <w:rFonts w:ascii="仿宋" w:eastAsia="仿宋" w:hAnsi="仿宋" w:cs="仿宋" w:hint="eastAsia"/>
          <w:sz w:val="32"/>
          <w:szCs w:val="32"/>
        </w:rPr>
        <w:t>。主要绩效增加农民工收入，维护社会稳定，促进社会和谐。</w:t>
      </w:r>
      <w:r>
        <w:rPr>
          <w:rFonts w:ascii="仿宋" w:eastAsia="仿宋" w:hAnsi="仿宋" w:cs="仿宋" w:hint="eastAsia"/>
          <w:sz w:val="32"/>
          <w:szCs w:val="32"/>
        </w:rPr>
        <w:t>项目实施达到预期绩效目标。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、镇村工作经费</w:t>
      </w:r>
    </w:p>
    <w:p w:rsidR="009A4130" w:rsidRDefault="00443A59">
      <w:pPr>
        <w:pStyle w:val="a3"/>
        <w:widowControl/>
        <w:spacing w:line="600" w:lineRule="exact"/>
        <w:ind w:right="129" w:firstLineChars="200" w:firstLine="640"/>
        <w:rPr>
          <w:rFonts w:ascii="仿宋_GB2312" w:eastAsia="仿宋_GB2312" w:hint="default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项目预算金额</w:t>
      </w:r>
      <w:r>
        <w:rPr>
          <w:rFonts w:ascii="仿宋_GB2312" w:eastAsia="仿宋_GB2312"/>
          <w:sz w:val="32"/>
          <w:szCs w:val="32"/>
        </w:rPr>
        <w:t>486.9</w:t>
      </w:r>
      <w:r>
        <w:rPr>
          <w:rFonts w:ascii="仿宋_GB2312" w:eastAsia="仿宋_GB2312"/>
          <w:sz w:val="32"/>
          <w:szCs w:val="32"/>
        </w:rPr>
        <w:t>万元，实际支付</w:t>
      </w:r>
      <w:r>
        <w:rPr>
          <w:rFonts w:ascii="仿宋_GB2312" w:eastAsia="仿宋_GB2312"/>
          <w:sz w:val="32"/>
          <w:szCs w:val="32"/>
        </w:rPr>
        <w:t>450.6</w:t>
      </w:r>
      <w:r>
        <w:rPr>
          <w:rFonts w:ascii="仿宋_GB2312" w:eastAsia="仿宋_GB2312"/>
          <w:sz w:val="32"/>
          <w:szCs w:val="32"/>
        </w:rPr>
        <w:t>万元，结余结转金额</w:t>
      </w:r>
      <w:r>
        <w:rPr>
          <w:rFonts w:ascii="仿宋_GB2312" w:eastAsia="仿宋_GB2312"/>
          <w:sz w:val="32"/>
          <w:szCs w:val="32"/>
        </w:rPr>
        <w:t>36.3</w:t>
      </w:r>
      <w:r>
        <w:rPr>
          <w:rFonts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ascii="仿宋_GB2312" w:eastAsia="仿宋_GB2312"/>
          <w:sz w:val="32"/>
          <w:szCs w:val="32"/>
        </w:rPr>
        <w:t>年恢复耕地工作经费。通过省、市验收恢复耕地</w:t>
      </w:r>
      <w:r>
        <w:rPr>
          <w:rFonts w:ascii="仿宋_GB2312" w:eastAsia="仿宋_GB2312"/>
          <w:sz w:val="32"/>
          <w:szCs w:val="32"/>
        </w:rPr>
        <w:t>2420</w:t>
      </w:r>
      <w:r>
        <w:rPr>
          <w:rFonts w:ascii="仿宋_GB2312" w:eastAsia="仿宋_GB2312"/>
          <w:sz w:val="32"/>
          <w:szCs w:val="32"/>
        </w:rPr>
        <w:t>亩，</w:t>
      </w:r>
      <w:r>
        <w:rPr>
          <w:rFonts w:ascii="Times New Roman" w:eastAsia="仿宋_GB2312" w:hAnsi="Times New Roman"/>
          <w:sz w:val="32"/>
          <w:szCs w:val="32"/>
        </w:rPr>
        <w:t>缓解耕地保护压力及发展用地矛盾，确保耕地保有量不减少、耕地质量不下降，落实最严格耕地用途管制制度。</w:t>
      </w:r>
      <w:r>
        <w:rPr>
          <w:rFonts w:ascii="仿宋" w:eastAsia="仿宋" w:hAnsi="仿宋" w:cs="仿宋"/>
          <w:sz w:val="32"/>
          <w:szCs w:val="32"/>
        </w:rPr>
        <w:t>项目实施达到预期绩效目标。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七、存在的问题及原因分析</w:t>
      </w:r>
    </w:p>
    <w:p w:rsidR="009A4130" w:rsidRDefault="00443A59">
      <w:pPr>
        <w:spacing w:line="360" w:lineRule="auto"/>
        <w:ind w:rightChars="-150" w:right="-315" w:firstLineChars="200" w:firstLine="640"/>
        <w:jc w:val="lef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  <w:lang/>
        </w:rPr>
        <w:t>1</w:t>
      </w:r>
      <w:r>
        <w:rPr>
          <w:rFonts w:ascii="仿宋" w:eastAsia="仿宋" w:hAnsi="仿宋" w:cs="仿宋" w:hint="eastAsia"/>
          <w:sz w:val="32"/>
          <w:szCs w:val="32"/>
          <w:lang/>
        </w:rPr>
        <w:t>、土地收储资金、占补平衡和增减挂钩项目资金、规划编制等其他专项项目资金未列入年初预算，导致年中追加指标非常大。严重偏离了预算支出，执行偏离绩效目标的情况。分析其原因主要是区级财政财力不够。</w:t>
      </w:r>
    </w:p>
    <w:p w:rsidR="009A4130" w:rsidRDefault="00443A59">
      <w:pPr>
        <w:spacing w:line="360" w:lineRule="auto"/>
        <w:ind w:rightChars="-150" w:right="-315" w:firstLineChars="200" w:firstLine="640"/>
        <w:jc w:val="left"/>
        <w:rPr>
          <w:rFonts w:ascii="仿宋" w:eastAsia="仿宋" w:hAnsi="仿宋" w:cs="仿宋"/>
          <w:sz w:val="32"/>
          <w:szCs w:val="32"/>
          <w:lang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绩效管理意识薄弱。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绩效管理是一个体系，贯穿资金申报、使用的全过程，需要财务和业务部门的充分协作。目前仍存在个别</w:t>
      </w:r>
      <w:r>
        <w:rPr>
          <w:rFonts w:ascii="仿宋" w:eastAsia="仿宋" w:hAnsi="仿宋" w:cs="仿宋" w:hint="eastAsia"/>
          <w:sz w:val="32"/>
          <w:szCs w:val="32"/>
        </w:rPr>
        <w:t>股</w:t>
      </w:r>
      <w:r>
        <w:rPr>
          <w:rFonts w:ascii="仿宋" w:eastAsia="仿宋" w:hAnsi="仿宋" w:cs="仿宋" w:hint="eastAsia"/>
          <w:sz w:val="32"/>
          <w:szCs w:val="32"/>
        </w:rPr>
        <w:t>室主体职责落实不够到位，对绩效管理工作的重要性认识不够。主要一是在预算申报时对项目管理存在“重申报轻实施”的思想，资金“落袋为安”的想法偏重，项目“到底完不完得成、资金付不付得出、绩效评分高不高”的想法偏轻；二是在预算执行过程中存在监督力度不足，注重事后监督，事前事中监督力度不够，绩效监控浮于表面；三是在实际工作过程中全面运用绩效指标评价体系还不够深入，未树立“花钱必问效，无效必问责”的绩效理念。</w:t>
      </w:r>
    </w:p>
    <w:p w:rsidR="009A4130" w:rsidRDefault="00443A59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下一步改进措施</w:t>
      </w:r>
    </w:p>
    <w:p w:rsidR="009A4130" w:rsidRDefault="00443A59">
      <w:pPr>
        <w:tabs>
          <w:tab w:val="left" w:pos="7350"/>
        </w:tabs>
        <w:adjustRightInd w:val="0"/>
        <w:snapToGrid w:val="0"/>
        <w:spacing w:line="360" w:lineRule="auto"/>
        <w:ind w:rightChars="-150" w:right="-315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我局项目较多，资金量较大，涉及面较广、项目专业性较强。绩效管理遵循“谁申请资金，谁编制目标</w:t>
      </w:r>
      <w:r>
        <w:rPr>
          <w:rFonts w:ascii="仿宋" w:eastAsia="仿宋" w:hAnsi="仿宋" w:cs="仿宋" w:hint="eastAsia"/>
          <w:sz w:val="32"/>
          <w:szCs w:val="32"/>
        </w:rPr>
        <w:t>”“谁支出、谁自评”的原则，作为一项具有较高技术含量的工作，要利用专业的知识进行全面地分析，目前大部分项目实施，因单位工作人员绩效管理相关专业能力不强，绩效评价水平有待进一步提高。下一步计划进行绩效管理培训，提高绩效指标设定的科学性和可行性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A4130" w:rsidRDefault="00443A59">
      <w:pPr>
        <w:spacing w:line="360" w:lineRule="auto"/>
        <w:ind w:rightChars="-150" w:right="-315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项目绩效目标设定与预算编制在上年末一同进行，在此时间节点上，部分</w:t>
      </w:r>
      <w:r>
        <w:rPr>
          <w:rFonts w:ascii="仿宋" w:eastAsia="仿宋" w:hAnsi="仿宋" w:cs="仿宋" w:hint="eastAsia"/>
          <w:sz w:val="32"/>
          <w:szCs w:val="32"/>
          <w:lang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>的政策指导和要求尚未出台，绩效目标设定主观性较强，与实际执行情况可能产生一定出入，实际操作比较困难。建议在年初设定绩效目标时说明情况，待项目政策要求出台时再做进一步细化、量化。</w:t>
      </w:r>
    </w:p>
    <w:p w:rsidR="009A4130" w:rsidRDefault="00443A5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合理科学申报、编制预算完善预算编制依据，规范项目立项程序，按项目立项情况科学申报、编制项目预算，对规划编制费项目进行合理的支出测算，确保部门预算编制依据充分及金额科学。同时严格按照预算或合同规定用途使用资金，提高资金使用效益，避免损失浪费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九、部门整体支出绩效自评结果拟应用和公开情况</w:t>
      </w:r>
    </w:p>
    <w:p w:rsidR="009A4130" w:rsidRDefault="00443A59"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为以后年度建设资金分配的重要依据。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1. 2024</w:t>
      </w:r>
      <w:r>
        <w:rPr>
          <w:rFonts w:ascii="仿宋_GB2312" w:eastAsia="仿宋_GB2312" w:hint="eastAsia"/>
          <w:sz w:val="32"/>
          <w:szCs w:val="32"/>
        </w:rPr>
        <w:t>年度部门整体支出绩效评价基础数据表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2. 2024</w:t>
      </w:r>
      <w:r>
        <w:rPr>
          <w:rFonts w:ascii="仿宋_GB2312" w:eastAsia="仿宋_GB2312" w:hint="eastAsia"/>
          <w:sz w:val="32"/>
          <w:szCs w:val="32"/>
        </w:rPr>
        <w:t>年度部门整体支出绩效自评表</w:t>
      </w:r>
    </w:p>
    <w:p w:rsidR="009A4130" w:rsidRDefault="00443A59">
      <w:pPr>
        <w:tabs>
          <w:tab w:val="left" w:pos="7560"/>
        </w:tabs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3. 2024</w:t>
      </w:r>
      <w:r>
        <w:rPr>
          <w:rFonts w:ascii="仿宋_GB2312" w:eastAsia="仿宋_GB2312" w:hint="eastAsia"/>
          <w:sz w:val="32"/>
          <w:szCs w:val="32"/>
        </w:rPr>
        <w:t>年度项目支出绩效自评表</w:t>
      </w:r>
    </w:p>
    <w:p w:rsidR="009A4130" w:rsidRDefault="009A4130">
      <w:pPr>
        <w:pStyle w:val="a5"/>
        <w:widowControl/>
        <w:spacing w:beforeAutospacing="0" w:afterAutospacing="0" w:line="360" w:lineRule="auto"/>
        <w:ind w:rightChars="-150" w:right="-315" w:firstLineChars="200" w:firstLine="643"/>
        <w:rPr>
          <w:rFonts w:ascii="仿宋" w:eastAsia="仿宋" w:hAnsi="仿宋" w:cs="仿宋"/>
          <w:b/>
          <w:bCs/>
          <w:kern w:val="2"/>
          <w:sz w:val="32"/>
          <w:szCs w:val="32"/>
          <w:lang/>
        </w:rPr>
      </w:pPr>
    </w:p>
    <w:sectPr w:rsidR="009A4130" w:rsidSect="009A4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A59" w:rsidRDefault="00443A59" w:rsidP="00443A59">
      <w:r>
        <w:separator/>
      </w:r>
    </w:p>
  </w:endnote>
  <w:endnote w:type="continuationSeparator" w:id="0">
    <w:p w:rsidR="00443A59" w:rsidRDefault="00443A59" w:rsidP="00443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EF9B38DB-2777-4D3A-9E0F-7CCFC7D638B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B46DAB7-EE44-4A86-9745-74C5C7331DFD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DBCB558D-0B9C-4CCF-9435-DF93FB54758B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D4FFB60B-E55C-4A64-A149-B2FAAAFCEA0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8F6DA04-8534-49B3-BB86-209EA2412299}"/>
  </w:font>
  <w:font w:name="方正仿宋_GBK">
    <w:charset w:val="86"/>
    <w:family w:val="script"/>
    <w:pitch w:val="default"/>
    <w:sig w:usb0="A00002BF" w:usb1="38CF7CFA" w:usb2="00082016" w:usb3="00000000" w:csb0="00040001" w:csb1="00000000"/>
    <w:embedRegular r:id="rId6" w:subsetted="1" w:fontKey="{966E1003-BD81-4572-89F7-AF7ABDEAF33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A59" w:rsidRDefault="00443A59" w:rsidP="00443A59">
      <w:r>
        <w:separator/>
      </w:r>
    </w:p>
  </w:footnote>
  <w:footnote w:type="continuationSeparator" w:id="0">
    <w:p w:rsidR="00443A59" w:rsidRDefault="00443A59" w:rsidP="00443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D312FB"/>
    <w:multiLevelType w:val="singleLevel"/>
    <w:tmpl w:val="B0D312FB"/>
    <w:lvl w:ilvl="0">
      <w:start w:val="1"/>
      <w:numFmt w:val="decimal"/>
      <w:suff w:val="nothing"/>
      <w:lvlText w:val="%1、"/>
      <w:lvlJc w:val="left"/>
    </w:lvl>
  </w:abstractNum>
  <w:abstractNum w:abstractNumId="1">
    <w:nsid w:val="C42484E4"/>
    <w:multiLevelType w:val="singleLevel"/>
    <w:tmpl w:val="C42484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A2995FC"/>
    <w:multiLevelType w:val="singleLevel"/>
    <w:tmpl w:val="CA2995FC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3DE5D71"/>
    <w:multiLevelType w:val="singleLevel"/>
    <w:tmpl w:val="23DE5D7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2A2035"/>
    <w:rsid w:val="00443A59"/>
    <w:rsid w:val="009A4130"/>
    <w:rsid w:val="08FD2E27"/>
    <w:rsid w:val="0ABA2D7D"/>
    <w:rsid w:val="0D996EBD"/>
    <w:rsid w:val="11805EED"/>
    <w:rsid w:val="17B61637"/>
    <w:rsid w:val="27D11B30"/>
    <w:rsid w:val="450B6866"/>
    <w:rsid w:val="62B92A90"/>
    <w:rsid w:val="64C665F8"/>
    <w:rsid w:val="692A2035"/>
    <w:rsid w:val="6CF57188"/>
    <w:rsid w:val="6E2C56FF"/>
    <w:rsid w:val="6FA10B33"/>
    <w:rsid w:val="79426EE3"/>
    <w:rsid w:val="79B5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1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semiHidden/>
    <w:qFormat/>
    <w:rsid w:val="009A4130"/>
    <w:pPr>
      <w:ind w:leftChars="800" w:left="800"/>
    </w:pPr>
  </w:style>
  <w:style w:type="paragraph" w:styleId="a3">
    <w:name w:val="Body Text"/>
    <w:basedOn w:val="a"/>
    <w:qFormat/>
    <w:rsid w:val="009A4130"/>
    <w:rPr>
      <w:rFonts w:ascii="宋体" w:eastAsia="宋体" w:hAnsi="宋体" w:cs="Times New Roman" w:hint="eastAsia"/>
      <w:sz w:val="33"/>
      <w:szCs w:val="33"/>
    </w:rPr>
  </w:style>
  <w:style w:type="paragraph" w:styleId="a4">
    <w:name w:val="footer"/>
    <w:basedOn w:val="a"/>
    <w:next w:val="5"/>
    <w:uiPriority w:val="99"/>
    <w:qFormat/>
    <w:rsid w:val="009A4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9A4130"/>
    <w:pPr>
      <w:spacing w:beforeAutospacing="1" w:afterAutospacing="1"/>
      <w:jc w:val="left"/>
    </w:pPr>
    <w:rPr>
      <w:kern w:val="0"/>
      <w:sz w:val="24"/>
    </w:rPr>
  </w:style>
  <w:style w:type="paragraph" w:customStyle="1" w:styleId="msolistparagraph0">
    <w:name w:val="msolistparagraph"/>
    <w:basedOn w:val="a"/>
    <w:autoRedefine/>
    <w:qFormat/>
    <w:rsid w:val="009A4130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customStyle="1" w:styleId="Default">
    <w:name w:val="Default"/>
    <w:qFormat/>
    <w:rsid w:val="009A413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header"/>
    <w:basedOn w:val="a"/>
    <w:link w:val="Char"/>
    <w:rsid w:val="0044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43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5287</Words>
  <Characters>383</Characters>
  <Application>Microsoft Office Word</Application>
  <DocSecurity>4</DocSecurity>
  <Lines>3</Lines>
  <Paragraphs>11</Paragraphs>
  <ScaleCrop>false</ScaleCrop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2025-10-16T03:41:00Z</dcterms:created>
  <dcterms:modified xsi:type="dcterms:W3CDTF">2025-10-16T03:41:00Z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C245BA58893A4FFA953CA2C9F5080817_13</vt:lpwstr>
  </property>
  <property fmtid="{D5CDD505-2E9C-101B-9397-08002B2CF9AE}" pid="4" name="KSOTemplateDocerSaveRecord">
    <vt:lpwstr>eyJoZGlkIjoiN2RhZjE1YThhMzllMDFkYjk4MzQ1OGRlZTRmZTQ2ZGQifQ==</vt:lpwstr>
  </property>
</Properties>
</file>