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4146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875BFC5">
      <w:pPr>
        <w:jc w:val="center"/>
        <w:rPr>
          <w:rFonts w:hint="eastAsia" w:ascii="方正小标宋简体" w:eastAsia="方正小标宋简体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z w:val="40"/>
          <w:szCs w:val="32"/>
        </w:rPr>
        <w:t>2024年度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株洲市渌口区医疗保障局</w:t>
      </w:r>
    </w:p>
    <w:p w14:paraId="30987AC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整体支出绩效自评报告</w:t>
      </w:r>
    </w:p>
    <w:p w14:paraId="5A0FAE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一、部门基本情况</w:t>
      </w:r>
    </w:p>
    <w:p w14:paraId="19838E0C">
      <w:pPr>
        <w:spacing w:after="312" w:afterLines="100" w:line="360" w:lineRule="auto"/>
        <w:ind w:left="319" w:leftChars="152" w:firstLine="835" w:firstLineChars="26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医保局为行政单位，内设五个股室，即办公室、基金监管法规股、医疗保障信息股、医药价格管理股，行政审批股。下设区医疗保障事务中心，属副科级公益一类全额拨款事业单位。机关行政编制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7名，设局长1名，副局长2名。医疗保障事务中心全额事业编制25名，其中主任1名。年末实有在职人员30人，其中行政编制6名，参公编制16名，事业编制8名。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C79EC4E">
      <w:pPr>
        <w:spacing w:after="312" w:afterLines="100" w:line="360" w:lineRule="auto"/>
        <w:ind w:left="319" w:leftChars="152" w:firstLine="835" w:firstLineChars="26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根据渌办【2019】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号文件规定，本部门主要职责是：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彻落实全市医疗保障政策，拟制定全区相关补充政策等；二是组织制定并实施全区医疗保障基金监督管理办法、医疗保障筹资和待遇政策；三是贯彻落实全省城乡统一的药品、医用耗材、医疗服务项目等医保目录和支付标准，执行全省价格信息监测和信息发布制度；四是依法查处医疗保障领域违法违规行为；五是负责全区医疗保障经办管理、公共服务体系和信息化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4FA554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7EE89E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72BE8178">
      <w:pPr>
        <w:spacing w:after="312" w:afterLines="100" w:line="360" w:lineRule="auto"/>
        <w:ind w:left="319" w:leftChars="152" w:firstLine="518" w:firstLineChars="162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529.31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实际预算执行数为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557.61万元。基本支出部分，工资福利支出444.31万元，占比82.32%、商品和服务支出86.67万元，占比16.06%、对个人和家庭的补助4.67万元，占比0.87%、资本性支出4.08万元，占比0.75%。</w:t>
      </w:r>
    </w:p>
    <w:p w14:paraId="0928A1A1">
      <w:pPr>
        <w:numPr>
          <w:ilvl w:val="0"/>
          <w:numId w:val="1"/>
        </w:numPr>
        <w:spacing w:after="312" w:afterLines="100" w:line="360" w:lineRule="auto"/>
        <w:ind w:left="319" w:leftChars="152" w:firstLine="518" w:firstLineChars="16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1CE5DC9A">
      <w:pPr>
        <w:numPr>
          <w:ilvl w:val="0"/>
          <w:numId w:val="0"/>
        </w:numPr>
        <w:spacing w:after="312" w:afterLines="100" w:line="360" w:lineRule="auto"/>
        <w:ind w:leftChars="314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预算执行数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169万元。项目支出部分，项目支出部分，按功能科目分类，其中其他卫生健康支出70万元，占比41.42%，其他医疗保障管理事务支出39万元，占比23.08%，一般行政管理事务支出60万元，占比35.50%。按项目名称分类，其中筹资工作经费60万元；破产改制企业退休人员医药门诊历史遗留医药费用70万；委托商业保险公司经办服务费10万元；医保能力提升中央财政补助资金29万元。</w:t>
      </w:r>
    </w:p>
    <w:p w14:paraId="49D356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三、政府性基金预算支出情况</w:t>
      </w:r>
    </w:p>
    <w:p w14:paraId="72BDAE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医保局无政府性基金预算支出。</w:t>
      </w:r>
    </w:p>
    <w:p w14:paraId="59882C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四、国有资本经营预算支出情况</w:t>
      </w:r>
    </w:p>
    <w:p w14:paraId="1ED0A2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医保局无国有资本经营预算支出。</w:t>
      </w:r>
    </w:p>
    <w:p w14:paraId="64A850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五、社会保险基金预算支出情况</w:t>
      </w:r>
    </w:p>
    <w:p w14:paraId="3EBD05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医保局无社会保险基金预算支出。</w:t>
      </w:r>
    </w:p>
    <w:p w14:paraId="7B4CA0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六、资金使用及绩效情况</w:t>
      </w:r>
    </w:p>
    <w:p w14:paraId="00EBC7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2870964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通过健全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机制</w:t>
      </w:r>
      <w:r>
        <w:rPr>
          <w:rFonts w:ascii="仿宋_GB2312" w:hAnsi="仿宋" w:eastAsia="仿宋_GB2312"/>
          <w:sz w:val="32"/>
          <w:szCs w:val="32"/>
        </w:rPr>
        <w:t>，完善制度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严格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</w:t>
      </w:r>
      <w:r>
        <w:rPr>
          <w:rFonts w:ascii="仿宋_GB2312" w:hAnsi="仿宋" w:eastAsia="仿宋_GB2312"/>
          <w:sz w:val="32"/>
          <w:szCs w:val="32"/>
        </w:rPr>
        <w:t>查，切实保障了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局机关整体预算资金的有效运转和合理使用。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2024年度，我局人员经费、机关运行经费保障到位，专项资金及时拨付，各项年度指标值基本完成，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城镇职工参保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100%；城乡居民参保率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93.92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全区定点医疗机构监管覆盖率100%。全区人民医疗保障率达95%；人民生活质量逐年提升；参保人员、定点医药机构满意率达95%。各项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取得了骄人成绩：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经办服务更加便民。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服务站接待参保对象医保咨询查询等服务约3万余次，满意率达98%以上。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基金监管全面加强。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制定《2024年医保基金监管集中宣传月活动方案》，投放宣传册5.8万份，悬挂海报、横幅233处，制作宣传小视频3个，播放宣传动画50条次，营造共同维护医保基金安全的良好氛围。组织开展医保政策法规进医院活动1次，现场培训7次，培训医务人员200余人次。通过大数据智能审核和日常抽审，共拒付定点医药机构不合理申报费用8.43万元；开展监管行动7批次，检查定点医药机构120家次，约谈负责人3家，办结行政处罚案件2例，自主退回医保基金5.68万元，罚款4.54万元。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重点改革有序推进。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积极推进全区基层卫生院DRG支付改革，组织专题培训3场次，打牢改革基础，健全制度机制，推进改革协同， 抓好监测评估，推进效果良好，为紧密型医共体建设创造成熟条件，打下坚实基础。</w:t>
      </w:r>
    </w:p>
    <w:p w14:paraId="7CCBEB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05254F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1.年初预算项目“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筹资工作经费</w:t>
      </w:r>
      <w:r>
        <w:rPr>
          <w:rFonts w:hint="eastAsia" w:ascii="仿宋_GB2312" w:eastAsia="仿宋_GB2312"/>
          <w:sz w:val="32"/>
          <w:szCs w:val="32"/>
        </w:rPr>
        <w:t>专项资金，年中执行调增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万元。项目实施及绩效情况如下：</w:t>
      </w:r>
    </w:p>
    <w:p w14:paraId="6ACBFF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筹资工作经费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3C40BB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万元，主要用于支</w:t>
      </w:r>
      <w:r>
        <w:rPr>
          <w:rFonts w:hint="eastAsia" w:ascii="仿宋_GB2312" w:eastAsia="仿宋_GB2312"/>
          <w:sz w:val="32"/>
          <w:szCs w:val="32"/>
          <w:lang w:eastAsia="zh-CN"/>
        </w:rPr>
        <w:t>持乡镇开展参保工作的经费补助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39.97万元</w:t>
      </w:r>
      <w:r>
        <w:rPr>
          <w:rFonts w:hint="eastAsia" w:ascii="仿宋_GB2312" w:eastAsia="仿宋_GB2312"/>
          <w:sz w:val="32"/>
          <w:szCs w:val="32"/>
          <w:lang w:eastAsia="zh-CN"/>
        </w:rPr>
        <w:t>，按参保人数人平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2元标准拨付到各镇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支付医保局开展参保工作宣传发动推进支出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20.03万元。资金拨付到各镇的时间为2024年9月，2024年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城镇职工参保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100%；城乡居民参保率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93.92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C06EDC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破产改制企业退休人员医药门诊历史遗留医药费用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672BDEE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实际支出与年初预算下达数一致。主要用于偿还医保基金垫付的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破产改制企业退休人员医药门诊医药费，资金拨付时间为2024年7月，实现了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破产改制企业退休人员医疗保障率100%。</w:t>
      </w:r>
    </w:p>
    <w:p w14:paraId="0EB88CE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2.年中追加项目“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委托商业保险公司经办服务费</w:t>
      </w:r>
      <w:r>
        <w:rPr>
          <w:rFonts w:hint="eastAsia" w:ascii="仿宋_GB2312" w:eastAsia="仿宋_GB2312"/>
          <w:sz w:val="32"/>
          <w:szCs w:val="32"/>
        </w:rPr>
        <w:t>”，金额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医保能力提升中央财政补助资金</w:t>
      </w:r>
      <w:r>
        <w:rPr>
          <w:rFonts w:hint="eastAsia" w:ascii="仿宋_GB2312" w:eastAsia="仿宋_GB2312"/>
          <w:sz w:val="32"/>
          <w:szCs w:val="32"/>
        </w:rPr>
        <w:t>”，金额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万元。项目实施及绩效情况如下：</w:t>
      </w:r>
    </w:p>
    <w:p w14:paraId="3E393E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委托商业保险公司经办服务费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6379EA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拨付商业保险公司2024年度城乡居民意外伤害经办业务委托服务费用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拨付时间为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2024年12月，实现了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全区意外伤害医疗保障率100%。</w:t>
      </w:r>
    </w:p>
    <w:p w14:paraId="059E59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医保能力提升中央财政补助资金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69E357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主要用于医保业务培训费用、基金监管宣传月宣传费用、医保惠民一本通宣传印刷、建设医保工作站相关标牌制作及综合自助机购置费用、参保短信息群发费用等宣传费用。资金执行率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有效提升了医保信息化标准化、基金监管、经办管理、目录监管水平，推进医保支付方式、药品和医用耗材集中带量采购、医疗服务价格等改革任务。</w:t>
      </w:r>
    </w:p>
    <w:p w14:paraId="60EE492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443B67F7">
      <w:pPr>
        <w:pStyle w:val="7"/>
        <w:widowControl/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存在问题是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征缴工作专项资金没有完成绩效目标。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城乡居民人数221000人，实际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参保人数为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207569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人，居民参保率达93.92%，参保率没有达到年度目标值95%，质量指标距绩效目标少1.08%。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原因分析一是思想上不够重视，二是行动上没有突破，三是政策上也有挑战。</w:t>
      </w:r>
    </w:p>
    <w:p w14:paraId="3BF53D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八、下一步改进措施</w:t>
      </w:r>
    </w:p>
    <w:p w14:paraId="06C158EF">
      <w:pPr>
        <w:pStyle w:val="7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加强</w:t>
      </w:r>
      <w:r>
        <w:rPr>
          <w:rFonts w:ascii="仿宋_GB2312" w:hAnsi="仿宋" w:eastAsia="仿宋_GB2312"/>
          <w:sz w:val="32"/>
          <w:szCs w:val="32"/>
        </w:rPr>
        <w:t>开展预算绩效日常监控</w:t>
      </w:r>
      <w:r>
        <w:rPr>
          <w:rFonts w:hint="eastAsia" w:ascii="仿宋_GB2312" w:hAnsi="仿宋" w:eastAsia="仿宋_GB2312"/>
          <w:sz w:val="32"/>
          <w:szCs w:val="32"/>
        </w:rPr>
        <w:t>，制定具体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流程，</w:t>
      </w:r>
      <w:r>
        <w:rPr>
          <w:rFonts w:ascii="仿宋_GB2312" w:hAnsi="仿宋" w:eastAsia="仿宋_GB2312"/>
          <w:sz w:val="32"/>
          <w:szCs w:val="32"/>
        </w:rPr>
        <w:t>定期对绩效监控信息进行收集、审核、分析、汇总、填报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ascii="仿宋_GB2312" w:hAnsi="仿宋" w:eastAsia="仿宋_GB2312"/>
          <w:sz w:val="32"/>
          <w:szCs w:val="32"/>
        </w:rPr>
        <w:t>及时掌握绩效运行情况、资金支出进度等，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同时，进一步</w:t>
      </w:r>
      <w:r>
        <w:rPr>
          <w:rFonts w:hint="eastAsia" w:ascii="仿宋_GB2312" w:hAnsi="仿宋" w:eastAsia="仿宋_GB2312"/>
          <w:sz w:val="32"/>
          <w:szCs w:val="32"/>
        </w:rPr>
        <w:t>做好专项资金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管理和使用，确保专项资金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及时足额拨付，提高资金使用效益。针对征缴工作没有完成绩效目标，要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继续加大宣传力度，动员基层力量，采取多形式多渠道加大宣传的广度和深度。</w:t>
      </w:r>
    </w:p>
    <w:p w14:paraId="3A92393C"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 w14:paraId="42795D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九、部门整体支出绩效自评结果拟应用和公开情况</w:t>
      </w:r>
    </w:p>
    <w:p w14:paraId="1E63743E">
      <w:pPr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eastAsia="仿宋"/>
          <w:sz w:val="32"/>
          <w:szCs w:val="32"/>
          <w:lang w:eastAsia="zh-CN"/>
        </w:rPr>
        <w:t>区财政局《关于开展</w:t>
      </w:r>
      <w:r>
        <w:rPr>
          <w:rFonts w:hint="eastAsia" w:eastAsia="仿宋"/>
          <w:sz w:val="32"/>
          <w:szCs w:val="32"/>
          <w:lang w:val="en-US" w:eastAsia="zh-CN"/>
        </w:rPr>
        <w:t>2024年度绩效自评工作的通知</w:t>
      </w:r>
      <w:r>
        <w:rPr>
          <w:rFonts w:hint="eastAsia" w:eastAsia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）工作</w:t>
      </w:r>
      <w:r>
        <w:rPr>
          <w:rFonts w:eastAsia="仿宋"/>
          <w:sz w:val="32"/>
          <w:szCs w:val="32"/>
        </w:rPr>
        <w:t>要求，</w:t>
      </w:r>
      <w:r>
        <w:rPr>
          <w:rFonts w:hint="eastAsia" w:eastAsia="仿宋"/>
          <w:sz w:val="32"/>
          <w:szCs w:val="32"/>
          <w:lang w:eastAsia="zh-CN"/>
        </w:rPr>
        <w:t>首年通过预算绩效管理信息系统</w:t>
      </w:r>
      <w:r>
        <w:rPr>
          <w:rFonts w:eastAsia="仿宋"/>
          <w:sz w:val="32"/>
          <w:szCs w:val="32"/>
        </w:rPr>
        <w:t>认真开展绩效自评工作</w:t>
      </w:r>
      <w:r>
        <w:rPr>
          <w:rFonts w:hint="eastAsia" w:eastAsia="仿宋"/>
          <w:sz w:val="32"/>
          <w:szCs w:val="32"/>
          <w:lang w:eastAsia="zh-CN"/>
        </w:rPr>
        <w:t>，绩效自评资料在规定时间内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股，</w:t>
      </w:r>
      <w:r>
        <w:rPr>
          <w:rFonts w:hint="eastAsia" w:eastAsia="仿宋"/>
          <w:sz w:val="32"/>
          <w:szCs w:val="32"/>
          <w:lang w:eastAsia="zh-CN"/>
        </w:rPr>
        <w:t>并与</w:t>
      </w:r>
      <w:r>
        <w:rPr>
          <w:rFonts w:hint="eastAsia" w:eastAsia="仿宋"/>
          <w:sz w:val="32"/>
          <w:szCs w:val="32"/>
          <w:lang w:val="en-US" w:eastAsia="zh-CN"/>
        </w:rPr>
        <w:t>2024年部门决算同步公开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接受社会监督。</w:t>
      </w:r>
    </w:p>
    <w:p w14:paraId="111A6F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2024年度部门整体支出绩效评价基础数据表</w:t>
      </w:r>
    </w:p>
    <w:p w14:paraId="445F4B8D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2024年度部门整体支出绩效自评表</w:t>
      </w:r>
    </w:p>
    <w:p w14:paraId="7AFBB0A8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2024年度项目支出绩效自评表</w:t>
      </w:r>
    </w:p>
    <w:p w14:paraId="02184F90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56393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67EE5"/>
    <w:multiLevelType w:val="singleLevel"/>
    <w:tmpl w:val="A0867EE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BF19A50"/>
    <w:multiLevelType w:val="singleLevel"/>
    <w:tmpl w:val="6BF19A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72DBA"/>
    <w:rsid w:val="02072DBA"/>
    <w:rsid w:val="0449387E"/>
    <w:rsid w:val="060F0CDC"/>
    <w:rsid w:val="13320231"/>
    <w:rsid w:val="1A290828"/>
    <w:rsid w:val="22CA6B8B"/>
    <w:rsid w:val="262241EA"/>
    <w:rsid w:val="284C1CBA"/>
    <w:rsid w:val="2AF956FC"/>
    <w:rsid w:val="2CD8450E"/>
    <w:rsid w:val="313A7F7A"/>
    <w:rsid w:val="338F1BE3"/>
    <w:rsid w:val="396B5A31"/>
    <w:rsid w:val="43D877F5"/>
    <w:rsid w:val="4AA13CB0"/>
    <w:rsid w:val="4D4D7B95"/>
    <w:rsid w:val="4DCB2733"/>
    <w:rsid w:val="56971322"/>
    <w:rsid w:val="5EA7128D"/>
    <w:rsid w:val="60C07CD1"/>
    <w:rsid w:val="626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2557</Characters>
  <Lines>0</Lines>
  <Paragraphs>0</Paragraphs>
  <TotalTime>1</TotalTime>
  <ScaleCrop>false</ScaleCrop>
  <LinksUpToDate>false</LinksUpToDate>
  <CharactersWithSpaces>2563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2025-05-14T01:26:00Z</dcterms:created>
  <dc:creator>株洲市渌口区医疗保障局</dc:creator>
  <cp:lastModifiedBy>株洲市渌口区医疗保障局</cp:lastModifiedBy>
  <dcterms:modified xsi:type="dcterms:W3CDTF">2025-05-20T02:23:28Z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A8635E6292F24374B635ED1A8CA6C925_13</vt:lpwstr>
  </property>
  <property fmtid="{D5CDD505-2E9C-101B-9397-08002B2CF9AE}" pid="4" name="KSOTemplateDocerSaveRecord">
    <vt:lpwstr>eyJoZGlkIjoiOWQwYjEyYjIxMjk1Y2ZmNDk2YWY3YzA4ZGIxMzIzMWQifQ==</vt:lpwstr>
  </property>
</Properties>
</file>