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1542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株洲市渌口区卫生健康局</w:t>
      </w:r>
    </w:p>
    <w:p w14:paraId="37E2FA7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2024年度</w:t>
      </w:r>
      <w:r>
        <w:rPr>
          <w:rFonts w:hint="default" w:ascii="Times New Roman" w:hAnsi="Times New Roman" w:eastAsia="方正小标宋_GBK" w:cs="Times New Roman"/>
          <w:color w:val="auto"/>
          <w:sz w:val="44"/>
          <w:szCs w:val="44"/>
          <w:lang w:val="en-US" w:eastAsia="zh-CN"/>
        </w:rPr>
        <w:t>部门</w:t>
      </w:r>
      <w:r>
        <w:rPr>
          <w:rFonts w:hint="default" w:ascii="Times New Roman" w:hAnsi="Times New Roman" w:eastAsia="方正小标宋_GBK" w:cs="Times New Roman"/>
          <w:color w:val="auto"/>
          <w:sz w:val="44"/>
          <w:szCs w:val="44"/>
        </w:rPr>
        <w:t>整体支出绩效自评报告</w:t>
      </w:r>
    </w:p>
    <w:p w14:paraId="03743C2D">
      <w:pPr>
        <w:jc w:val="center"/>
        <w:rPr>
          <w:rFonts w:hint="default" w:ascii="Times New Roman" w:hAnsi="Times New Roman" w:eastAsia="方正小标宋简体" w:cs="Times New Roman"/>
          <w:color w:val="auto"/>
          <w:sz w:val="40"/>
          <w:szCs w:val="32"/>
        </w:rPr>
      </w:pPr>
    </w:p>
    <w:p w14:paraId="7E281E75">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一、单位基本情况</w:t>
      </w:r>
    </w:p>
    <w:p w14:paraId="2AD652DA">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渌口区</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局作为政府职能部门，主要负责辖区内公共卫生、医疗服务、人口健康等事务的规划与管理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近年来，渌口区</w:t>
      </w:r>
      <w:r>
        <w:rPr>
          <w:rFonts w:hint="default" w:ascii="Times New Roman" w:hAnsi="Times New Roman" w:eastAsia="仿宋_GB2312" w:cs="Times New Roman"/>
          <w:color w:val="auto"/>
          <w:sz w:val="32"/>
          <w:szCs w:val="32"/>
          <w:lang w:val="en-US" w:eastAsia="zh-CN"/>
        </w:rPr>
        <w:t>卫生健康</w:t>
      </w:r>
      <w:r>
        <w:rPr>
          <w:rFonts w:hint="default" w:ascii="Times New Roman" w:hAnsi="Times New Roman" w:eastAsia="仿宋_GB2312" w:cs="Times New Roman"/>
          <w:color w:val="auto"/>
          <w:sz w:val="32"/>
          <w:szCs w:val="32"/>
        </w:rPr>
        <w:t>局深入贯彻落实党中央关于卫生健康工作的方针政策和决策部署，全面落实省委、市委、区委关于卫生健康工作的部署和要求，坚持人民至上、生命至上，坚定不移地推动卫健事业高质量发展，在深化医改、健康渌口、医共体建设、疫情防控等方面担使命、谋创新、求突破，获得了全国计划生育优质服务先进单位、湖南省抗击新冠疫情先进集体等20多项荣誉。</w:t>
      </w:r>
    </w:p>
    <w:p w14:paraId="34AFBCC0">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渌口区卫生健康局属区一级预算单位，纳入本部门预算管理和绩效评价的下属单位1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个，包括2个正科级单位，3个副科级单位、</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个股级直属单位，其中1个参照公务员法管理单位、2个全额拨款事业单位、1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个差额拨款事业单位。本部门核定编制共117</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人，年末实有在编人员</w:t>
      </w:r>
      <w:r>
        <w:rPr>
          <w:rFonts w:hint="default"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45</w:t>
      </w:r>
      <w:r>
        <w:rPr>
          <w:rFonts w:hint="default" w:ascii="Times New Roman" w:hAnsi="Times New Roman" w:eastAsia="仿宋_GB2312" w:cs="Times New Roman"/>
          <w:color w:val="auto"/>
          <w:sz w:val="32"/>
          <w:szCs w:val="32"/>
        </w:rPr>
        <w:t>人，离休人员1人，退休人员5</w:t>
      </w:r>
      <w:r>
        <w:rPr>
          <w:rFonts w:hint="default" w:ascii="Times New Roman" w:hAnsi="Times New Roman" w:eastAsia="仿宋_GB2312" w:cs="Times New Roman"/>
          <w:color w:val="auto"/>
          <w:sz w:val="32"/>
          <w:szCs w:val="32"/>
          <w:lang w:val="en-US" w:eastAsia="zh-CN"/>
        </w:rPr>
        <w:t>38</w:t>
      </w:r>
      <w:r>
        <w:rPr>
          <w:rFonts w:hint="default" w:ascii="Times New Roman" w:hAnsi="Times New Roman" w:eastAsia="仿宋_GB2312" w:cs="Times New Roman"/>
          <w:color w:val="auto"/>
          <w:sz w:val="32"/>
          <w:szCs w:val="32"/>
        </w:rPr>
        <w:t>人。</w:t>
      </w:r>
    </w:p>
    <w:p w14:paraId="64D2E9F1">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二、一般公共预算支出情况</w:t>
      </w:r>
    </w:p>
    <w:p w14:paraId="5D709F2D">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2024年部门决算总收入36141.5万元，其中一般</w:t>
      </w:r>
      <w:r>
        <w:rPr>
          <w:rFonts w:hint="default" w:ascii="Times New Roman" w:hAnsi="Times New Roman" w:eastAsia="仿宋_GB2312" w:cs="Times New Roman"/>
          <w:color w:val="auto"/>
          <w:sz w:val="32"/>
          <w:szCs w:val="32"/>
        </w:rPr>
        <w:t>公共预算</w:t>
      </w:r>
      <w:r>
        <w:rPr>
          <w:rFonts w:hint="default" w:ascii="Times New Roman" w:hAnsi="Times New Roman" w:eastAsia="仿宋_GB2312" w:cs="Times New Roman"/>
          <w:color w:val="auto"/>
          <w:sz w:val="32"/>
          <w:szCs w:val="32"/>
          <w:lang w:val="en-US" w:eastAsia="zh-CN"/>
        </w:rPr>
        <w:t>收入8751.03万元，医疗机构事业收入26964.87万元，其他收入425.6万元。部门决算总支出36141.5万元，其中一般</w:t>
      </w:r>
      <w:r>
        <w:rPr>
          <w:rFonts w:hint="default" w:ascii="Times New Roman" w:hAnsi="Times New Roman" w:eastAsia="仿宋_GB2312" w:cs="Times New Roman"/>
          <w:color w:val="auto"/>
          <w:sz w:val="32"/>
          <w:szCs w:val="32"/>
        </w:rPr>
        <w:t>公共预算</w:t>
      </w:r>
      <w:r>
        <w:rPr>
          <w:rFonts w:hint="default" w:ascii="Times New Roman" w:hAnsi="Times New Roman" w:eastAsia="仿宋_GB2312" w:cs="Times New Roman"/>
          <w:color w:val="auto"/>
          <w:sz w:val="32"/>
          <w:szCs w:val="32"/>
          <w:lang w:val="en-US" w:eastAsia="zh-CN"/>
        </w:rPr>
        <w:t>支出8751.03万元，医疗机构事业支出27390.47万元。</w:t>
      </w:r>
    </w:p>
    <w:p w14:paraId="6C95A1AE">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（一）基本支出情况</w:t>
      </w:r>
    </w:p>
    <w:p w14:paraId="7AF5C943">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sz w:val="32"/>
          <w:szCs w:val="32"/>
        </w:rPr>
        <w:t>一般公共预算基本支出5729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07万元，占一般公共预算支出</w:t>
      </w:r>
      <w:r>
        <w:rPr>
          <w:rFonts w:hint="default" w:ascii="Times New Roman" w:hAnsi="Times New Roman" w:eastAsia="仿宋_GB2312" w:cs="Times New Roman"/>
          <w:color w:val="auto"/>
          <w:sz w:val="32"/>
          <w:szCs w:val="32"/>
          <w:lang w:val="en-US" w:eastAsia="zh-CN"/>
        </w:rPr>
        <w:t>65.47</w:t>
      </w:r>
      <w:r>
        <w:rPr>
          <w:rFonts w:hint="default" w:ascii="Times New Roman" w:hAnsi="Times New Roman" w:eastAsia="仿宋_GB2312" w:cs="Times New Roman"/>
          <w:color w:val="auto"/>
          <w:sz w:val="32"/>
          <w:szCs w:val="32"/>
        </w:rPr>
        <w:t>%。其中人员经费3870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65万元，主要为人员工资及社保；公用经费1858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万元，主要为全额保障单位的公用经费</w:t>
      </w:r>
      <w:r>
        <w:rPr>
          <w:rFonts w:hint="default" w:ascii="Times New Roman" w:hAnsi="Times New Roman" w:eastAsia="仿宋_GB2312" w:cs="Times New Roman"/>
          <w:color w:val="auto"/>
          <w:sz w:val="32"/>
          <w:szCs w:val="32"/>
          <w:lang w:val="en-US" w:eastAsia="zh-CN"/>
        </w:rPr>
        <w:t>和乡镇卫生院的行政运行支出</w:t>
      </w:r>
      <w:r>
        <w:rPr>
          <w:rFonts w:hint="default" w:ascii="Times New Roman" w:hAnsi="Times New Roman" w:eastAsia="仿宋_GB2312" w:cs="Times New Roman"/>
          <w:color w:val="auto"/>
          <w:sz w:val="32"/>
          <w:szCs w:val="32"/>
        </w:rPr>
        <w:t>，包括办公费、印刷费、水电费、差旅费等。</w:t>
      </w:r>
    </w:p>
    <w:p w14:paraId="699909FE">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项目支出情况</w:t>
      </w:r>
    </w:p>
    <w:p w14:paraId="0F5C7DE0">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2024年一般公共预算项目支出共计3021.96万元，包括计划生育家庭特别扶助项目600.78万元、计划生育家庭奖励扶助项目629.76万元、基本公共卫生服务补助1791.42。</w:t>
      </w:r>
    </w:p>
    <w:p w14:paraId="4D3A446B">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三、政府性基金预算支出情况</w:t>
      </w:r>
    </w:p>
    <w:p w14:paraId="4C7D1B77">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无政府性基金预算支出。</w:t>
      </w:r>
    </w:p>
    <w:p w14:paraId="64447F2B">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四、国有资本经营预算支出情况</w:t>
      </w:r>
    </w:p>
    <w:p w14:paraId="11DF8A5A">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无国有资本经营预算支出。</w:t>
      </w:r>
    </w:p>
    <w:p w14:paraId="3DD6C953">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五、社会保险基金预算支出情况</w:t>
      </w:r>
    </w:p>
    <w:p w14:paraId="2898C5DD">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val="en-US" w:eastAsia="zh-CN"/>
        </w:rPr>
        <w:t>无社会保险基金预算支出。</w:t>
      </w:r>
    </w:p>
    <w:p w14:paraId="42707631">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六、资金使用及绩效情况</w:t>
      </w:r>
    </w:p>
    <w:p w14:paraId="2C6C800C">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渌口区卫生健康局部门预算和项目实施情况良好。本部门按照“量入为出、统筹兼顾、保证重点、收支平衡”的原则，以财政预算资金管理为主线，逐步建立健全预算绩效管理工作机制，紧紧围绕部门年初绩效目标、职能职责和重点工作任务，合理安排了全年支出，较好的完成了本年度工作任务，实现了年初整体绩效目标。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年部门整体绩效评价自评9</w:t>
      </w:r>
      <w:r>
        <w:rPr>
          <w:rFonts w:hint="default"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分，评价等级为优。</w:t>
      </w:r>
    </w:p>
    <w:p w14:paraId="1A89B351">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（一）整体支出绩效情况</w:t>
      </w:r>
    </w:p>
    <w:p w14:paraId="4DE41667">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1.持续深化改革，突出“优”字提质增效。</w:t>
      </w:r>
    </w:p>
    <w:p w14:paraId="04A4F049">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（1）医共体建设管理不放松。</w:t>
      </w:r>
      <w:r>
        <w:rPr>
          <w:rFonts w:hint="default" w:ascii="Times New Roman" w:hAnsi="Times New Roman" w:eastAsia="仿宋_GB2312" w:cs="Times New Roman"/>
          <w:color w:val="auto"/>
          <w:sz w:val="32"/>
          <w:szCs w:val="32"/>
          <w:lang w:val="en-US" w:eastAsia="zh-CN"/>
        </w:rPr>
        <w:t>制定医共体绩效考核方案，考核对象由以往的单一机构转变为区域医共体整体，全面压实医共体牵头医院领导班子医改责任。目前区人民医院、区中医医院2个紧密型医共体以及3个医疗卫生次中心，已实现了人事、财务、绩效、业务等一体化管理模式，药品“管理、目录、采购、配送、支付”五统一，同时整合了南洲镇洲坪卫生院、渌口镇城区卫生院、龙船镇堂市卫生院3个非建制卫生院。依托信息化建设和微信网络支持，统筹推进医共体资源共建共享，建立了区域心电诊断、消毒供应、医学检验、医学影像中心等4个资源共享中心，在3个医疗次中心设置区域120急救分站，医共体内实现辅助检验检查数据互通共享和业务协同，形成了“基层检查+区级诊断”格局。</w:t>
      </w:r>
    </w:p>
    <w:p w14:paraId="621C08A0">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（2）聚焦能力提升不动摇。</w:t>
      </w:r>
      <w:r>
        <w:rPr>
          <w:rFonts w:hint="default" w:ascii="Times New Roman" w:hAnsi="Times New Roman" w:eastAsia="仿宋_GB2312" w:cs="Times New Roman"/>
          <w:color w:val="auto"/>
          <w:sz w:val="32"/>
          <w:szCs w:val="32"/>
          <w:lang w:val="en-US" w:eastAsia="zh-CN"/>
        </w:rPr>
        <w:t>充分发挥区级医院引领帮扶作用，与省、市三甲医院建立多学科专科联盟和医联体，聘请专家定期坐诊，带动区域重点专科建设。建立以区级医疗机构带动基层的区域巡回医疗和派驻服务机制，从区直医院选派三名业务骨干担任三家医疗次中心院长，选拔130余名区级专家组团定期帮扶基层，长期基层派驻15人，帮助基层开展新技术、新项目累计8个。改造渌口镇城区卫生院3-4楼布局，设立40张床位的老年病科；升级改造渌口镇卫生院DR室及CT室，对供电系统进行了增容调配，进一步提升基层服务能力，实现“常见病、多发病在区域解决”，让老百姓在家门口就能享受二三级医院的优质医疗服务。</w:t>
      </w:r>
    </w:p>
    <w:p w14:paraId="03D47ED8">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（3）坚持简政放权不手软。</w:t>
      </w:r>
      <w:r>
        <w:rPr>
          <w:rFonts w:hint="default" w:ascii="Times New Roman" w:hAnsi="Times New Roman" w:eastAsia="仿宋_GB2312" w:cs="Times New Roman"/>
          <w:color w:val="auto"/>
          <w:sz w:val="32"/>
          <w:szCs w:val="32"/>
          <w:lang w:val="en-US" w:eastAsia="zh-CN"/>
        </w:rPr>
        <w:t>对人员冗余、绩效不优的医疗机构坚决落实临聘人员退出不低于10%的要求，2024年区卫健局机关已清退22人，医疗机构精简80余人，年度可节约人力成本开支1000余万元。实行区聘镇用，把区级医院的业务骨干安排到次中心担任院长、业务副院长职务，全面提升卫生院的管理能力和业务水平。</w:t>
      </w:r>
    </w:p>
    <w:p w14:paraId="741194AE">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（4）深化医防融合展活力。</w:t>
      </w:r>
      <w:r>
        <w:rPr>
          <w:rFonts w:hint="default" w:ascii="Times New Roman" w:hAnsi="Times New Roman" w:eastAsia="仿宋_GB2312" w:cs="Times New Roman"/>
          <w:color w:val="auto"/>
          <w:sz w:val="32"/>
          <w:szCs w:val="32"/>
          <w:lang w:val="en-US" w:eastAsia="zh-CN"/>
        </w:rPr>
        <w:t>引进大湾区“京港佳医”健康服务模式，建立青龙湾社区卫生服务中心，完成国家糖尿病标准化防控中心和标准化门诊（DPCC）项目建设，启动“慢阻肺患者规范化呼吸康复”项目研究，以资源优化不断探索“被动医疗”到“主动健康”的新模式。截至12月30日，全区已完成糖尿病筛查55805人，筛查完成率108.7%，筛查回访42441人，筛查新增糖尿病患者606人。</w:t>
      </w:r>
    </w:p>
    <w:p w14:paraId="372E2E82">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2.坚持以人为本，突出“实”字保障民生。</w:t>
      </w:r>
    </w:p>
    <w:p w14:paraId="10086BD4">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（1）创新公卫服务“零距离”模式。</w:t>
      </w:r>
      <w:r>
        <w:rPr>
          <w:rFonts w:hint="default" w:ascii="Times New Roman" w:hAnsi="Times New Roman" w:eastAsia="仿宋_GB2312" w:cs="Times New Roman"/>
          <w:color w:val="auto"/>
          <w:sz w:val="32"/>
          <w:szCs w:val="32"/>
          <w:lang w:val="en-US" w:eastAsia="zh-CN"/>
        </w:rPr>
        <w:t>以“医+护+公卫人员+村医”模式搭建两个公卫服务梯队、组建17个公卫服务团队同步同向发力，以渌口区渌口镇所辖22个村+3个社区群众为对象，全面提升基本公共卫生服务质量和效果，打通健康服务“最后一米”。全年家庭医生签约173956人，签约覆盖率67.50%，其中重点人群覆盖率100%，四类慢病随访履约率100%。</w:t>
      </w:r>
    </w:p>
    <w:p w14:paraId="24A5CF80">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（2）重点人群保障有新改善。</w:t>
      </w:r>
      <w:r>
        <w:rPr>
          <w:rFonts w:hint="default" w:ascii="Times New Roman" w:hAnsi="Times New Roman" w:eastAsia="仿宋_GB2312" w:cs="Times New Roman"/>
          <w:color w:val="auto"/>
          <w:sz w:val="32"/>
          <w:szCs w:val="32"/>
          <w:lang w:val="en-US" w:eastAsia="zh-CN"/>
        </w:rPr>
        <w:t>持续扩大托育服务供给，完成渌口区机关幼儿园托育园改造项目，打造全区首个公办托育园，全区现有托育服务机构11家，可提供托位数1250个，完成2024年度省级民生实事任务。区中医医院在康乃馨养老社区开设中医服务站，在漂沙井敬老院开设医疗服务点，与青龙湾社区服务中心签订医疗技术指导协议。落实妇幼健康服务，扎实开展孕妇免费产前筛查、农村适龄妇女“两癌”检查、新生儿疾病筛查等民生实事，完成率分别为100%、100%、108.62%。规范精神卫生工作，将出院患者的信息及时流转到居住地管理，为神康医院设置国网系统数字证书，进一步规范精神病患者管理。目前全区在管严重精神障碍患者1386人（国网系统在册人数1365人），报告患病率5.18‰，达到省级5‰的要求。</w:t>
      </w:r>
    </w:p>
    <w:p w14:paraId="3607E46F">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3.聚焦中医药服务，突出“创”字优化提升。</w:t>
      </w:r>
    </w:p>
    <w:p w14:paraId="2354AEE9">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（1）创建工作有成绩。</w:t>
      </w:r>
      <w:r>
        <w:rPr>
          <w:rFonts w:hint="default" w:ascii="Times New Roman" w:hAnsi="Times New Roman" w:eastAsia="仿宋_GB2312" w:cs="Times New Roman"/>
          <w:color w:val="auto"/>
          <w:sz w:val="32"/>
          <w:szCs w:val="32"/>
          <w:lang w:val="en-US" w:eastAsia="zh-CN"/>
        </w:rPr>
        <w:t>成立了由区人民政府区长担任组长、分管副区长担任副组长、各相关职能部门为成员的创建全国基层中医药工作示范区领导小组以及工作专班，建立健全了中医药联席会议机制，多次组织召开动员会、调度会、推进会，不断将工作任务细化、量化、具体化。今年7月已顺利通过省级评审。</w:t>
      </w:r>
    </w:p>
    <w:p w14:paraId="25644AA6">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（2）中医服务能力有提升。</w:t>
      </w:r>
      <w:r>
        <w:rPr>
          <w:rFonts w:hint="default" w:ascii="Times New Roman" w:hAnsi="Times New Roman" w:eastAsia="仿宋_GB2312" w:cs="Times New Roman"/>
          <w:color w:val="auto"/>
          <w:sz w:val="32"/>
          <w:szCs w:val="32"/>
          <w:lang w:val="en-US" w:eastAsia="zh-CN"/>
        </w:rPr>
        <w:t>由区中医医院牵头，在基层大力推广中医适宜技术，将“治未病”保健技术与老年人健康体检有效结合，对重点人群、亚健康状态等人群实施全过程全生命周期的医防协同管理。目前8个建制乡镇卫生院均100%设置了中医馆，100%熟练掌握和运用六类10项以上中医适宜技术，129家行政村卫生室均掌握了4类6项以上中医药适宜技术。</w:t>
      </w:r>
    </w:p>
    <w:p w14:paraId="036A14BA">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（3）中医药传承有特色。</w:t>
      </w:r>
      <w:r>
        <w:rPr>
          <w:rFonts w:hint="default" w:ascii="Times New Roman" w:hAnsi="Times New Roman" w:eastAsia="仿宋_GB2312" w:cs="Times New Roman"/>
          <w:color w:val="auto"/>
          <w:sz w:val="32"/>
          <w:szCs w:val="32"/>
          <w:lang w:val="en-US" w:eastAsia="zh-CN"/>
        </w:rPr>
        <w:t>区中医医院针灸推拿康复科、渌口镇卫生院中医康复科、淦田镇中心卫生院中医科中医特色明显，业务辐射周边区县，深受群众好评。同时将中医药服务融入家庭医生签约服务，安排至少1名中医类别医师或能提供中医药服务医师（或乡村医师、中医诊所医师）积极参与。</w:t>
      </w:r>
    </w:p>
    <w:p w14:paraId="5E4511EE">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（二）项目支出绩效情况</w:t>
      </w:r>
    </w:p>
    <w:p w14:paraId="2B184DCE">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年初预算项目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计划生育家庭特别扶助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专项资金，</w:t>
      </w:r>
      <w:r>
        <w:rPr>
          <w:rFonts w:hint="eastAsia" w:ascii="Times New Roman" w:hAnsi="Times New Roman" w:eastAsia="仿宋_GB2312" w:cs="Times New Roman"/>
          <w:color w:val="auto"/>
          <w:sz w:val="32"/>
          <w:szCs w:val="32"/>
          <w:lang w:val="en-US" w:eastAsia="zh-CN"/>
        </w:rPr>
        <w:t>年初预算431.99万元，</w:t>
      </w:r>
      <w:r>
        <w:rPr>
          <w:rFonts w:hint="default" w:ascii="Times New Roman" w:hAnsi="Times New Roman" w:eastAsia="仿宋_GB2312" w:cs="Times New Roman"/>
          <w:color w:val="auto"/>
          <w:sz w:val="32"/>
          <w:szCs w:val="32"/>
        </w:rPr>
        <w:t>年中</w:t>
      </w:r>
      <w:r>
        <w:rPr>
          <w:rFonts w:hint="eastAsia" w:ascii="Times New Roman" w:hAnsi="Times New Roman" w:eastAsia="仿宋_GB2312" w:cs="Times New Roman"/>
          <w:color w:val="auto"/>
          <w:sz w:val="32"/>
          <w:szCs w:val="32"/>
          <w:lang w:val="en-US" w:eastAsia="zh-CN"/>
        </w:rPr>
        <w:t>上级追加</w:t>
      </w:r>
      <w:r>
        <w:rPr>
          <w:rFonts w:hint="default" w:ascii="Times New Roman" w:hAnsi="Times New Roman" w:eastAsia="仿宋_GB2312" w:cs="Times New Roman"/>
          <w:color w:val="auto"/>
          <w:sz w:val="32"/>
          <w:szCs w:val="32"/>
        </w:rPr>
        <w:t>调增</w:t>
      </w:r>
      <w:r>
        <w:rPr>
          <w:rFonts w:hint="eastAsia" w:ascii="Times New Roman" w:hAnsi="Times New Roman" w:eastAsia="仿宋_GB2312" w:cs="Times New Roman"/>
          <w:color w:val="auto"/>
          <w:sz w:val="32"/>
          <w:szCs w:val="32"/>
          <w:lang w:val="en-US" w:eastAsia="zh-CN"/>
        </w:rPr>
        <w:t>168.79</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全年预算600.78万元，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600.78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14:paraId="33A34360">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项目实施及绩效情况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2024年对独生子女伤残对象212人、独生子女死亡对象315人开展了补助，</w:t>
      </w:r>
      <w:r>
        <w:rPr>
          <w:rFonts w:hint="default" w:ascii="Times New Roman" w:hAnsi="Times New Roman" w:eastAsia="仿宋_GB2312" w:cs="Times New Roman"/>
          <w:color w:val="auto"/>
          <w:sz w:val="32"/>
          <w:szCs w:val="32"/>
        </w:rPr>
        <w:t>落</w:t>
      </w:r>
      <w:r>
        <w:rPr>
          <w:rFonts w:hint="eastAsia" w:ascii="Times New Roman" w:hAnsi="Times New Roman" w:eastAsia="仿宋_GB2312" w:cs="Times New Roman"/>
          <w:color w:val="auto"/>
          <w:sz w:val="32"/>
          <w:szCs w:val="32"/>
          <w:lang w:val="en-US" w:eastAsia="zh-CN"/>
        </w:rPr>
        <w:t>了国家计划生育</w:t>
      </w:r>
      <w:r>
        <w:rPr>
          <w:rFonts w:hint="default" w:ascii="Times New Roman" w:hAnsi="Times New Roman" w:eastAsia="仿宋_GB2312" w:cs="Times New Roman"/>
          <w:color w:val="auto"/>
          <w:sz w:val="32"/>
          <w:szCs w:val="32"/>
        </w:rPr>
        <w:t>补助政策，</w:t>
      </w:r>
      <w:r>
        <w:rPr>
          <w:rFonts w:hint="eastAsia" w:ascii="Times New Roman" w:hAnsi="Times New Roman" w:eastAsia="仿宋_GB2312" w:cs="Times New Roman"/>
          <w:color w:val="auto"/>
          <w:sz w:val="32"/>
          <w:szCs w:val="32"/>
          <w:lang w:val="en-US" w:eastAsia="zh-CN"/>
        </w:rPr>
        <w:t>适当减轻了计生特殊对象家庭经济压力，</w:t>
      </w:r>
      <w:r>
        <w:rPr>
          <w:rFonts w:hint="default" w:ascii="Times New Roman" w:hAnsi="Times New Roman" w:eastAsia="仿宋_GB2312" w:cs="Times New Roman"/>
          <w:color w:val="auto"/>
          <w:sz w:val="32"/>
          <w:szCs w:val="32"/>
        </w:rPr>
        <w:t>保障</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独生子女家庭的合法权益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取得了较好的社会效益。</w:t>
      </w:r>
    </w:p>
    <w:p w14:paraId="51AC3C64">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年初预算项目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计划生育家庭</w:t>
      </w:r>
      <w:r>
        <w:rPr>
          <w:rFonts w:hint="eastAsia" w:ascii="Times New Roman" w:hAnsi="Times New Roman" w:eastAsia="仿宋_GB2312" w:cs="Times New Roman"/>
          <w:color w:val="auto"/>
          <w:sz w:val="32"/>
          <w:szCs w:val="32"/>
          <w:lang w:val="en-US" w:eastAsia="zh-CN"/>
        </w:rPr>
        <w:t>奖励</w:t>
      </w:r>
      <w:r>
        <w:rPr>
          <w:rFonts w:hint="default" w:ascii="Times New Roman" w:hAnsi="Times New Roman" w:eastAsia="仿宋_GB2312" w:cs="Times New Roman"/>
          <w:color w:val="auto"/>
          <w:sz w:val="32"/>
          <w:szCs w:val="32"/>
        </w:rPr>
        <w:t>扶助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专项资金，</w:t>
      </w:r>
      <w:r>
        <w:rPr>
          <w:rFonts w:hint="eastAsia" w:ascii="Times New Roman" w:hAnsi="Times New Roman" w:eastAsia="仿宋_GB2312" w:cs="Times New Roman"/>
          <w:color w:val="auto"/>
          <w:sz w:val="32"/>
          <w:szCs w:val="32"/>
          <w:lang w:val="en-US" w:eastAsia="zh-CN"/>
        </w:rPr>
        <w:t>年初预算200.45万元，</w:t>
      </w:r>
      <w:r>
        <w:rPr>
          <w:rFonts w:hint="default" w:ascii="Times New Roman" w:hAnsi="Times New Roman" w:eastAsia="仿宋_GB2312" w:cs="Times New Roman"/>
          <w:color w:val="auto"/>
          <w:sz w:val="32"/>
          <w:szCs w:val="32"/>
        </w:rPr>
        <w:t>年中</w:t>
      </w:r>
      <w:r>
        <w:rPr>
          <w:rFonts w:hint="eastAsia" w:ascii="Times New Roman" w:hAnsi="Times New Roman" w:eastAsia="仿宋_GB2312" w:cs="Times New Roman"/>
          <w:color w:val="auto"/>
          <w:sz w:val="32"/>
          <w:szCs w:val="32"/>
          <w:lang w:val="en-US" w:eastAsia="zh-CN"/>
        </w:rPr>
        <w:t>上级追加</w:t>
      </w:r>
      <w:r>
        <w:rPr>
          <w:rFonts w:hint="default" w:ascii="Times New Roman" w:hAnsi="Times New Roman" w:eastAsia="仿宋_GB2312" w:cs="Times New Roman"/>
          <w:color w:val="auto"/>
          <w:sz w:val="32"/>
          <w:szCs w:val="32"/>
        </w:rPr>
        <w:t>调增</w:t>
      </w:r>
      <w:r>
        <w:rPr>
          <w:rFonts w:hint="eastAsia" w:ascii="Times New Roman" w:hAnsi="Times New Roman" w:eastAsia="仿宋_GB2312" w:cs="Times New Roman"/>
          <w:color w:val="auto"/>
          <w:sz w:val="32"/>
          <w:szCs w:val="32"/>
          <w:lang w:val="en-US" w:eastAsia="zh-CN"/>
        </w:rPr>
        <w:t>429.31</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全年预算629.76万元，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629.76</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p>
    <w:p w14:paraId="69598656">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项目实施及绩效情况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2024年完成农村奖扶资格确认及资金发放6559人，</w:t>
      </w:r>
      <w:r>
        <w:rPr>
          <w:rFonts w:hint="default" w:ascii="Times New Roman" w:hAnsi="Times New Roman" w:eastAsia="仿宋_GB2312" w:cs="Times New Roman"/>
          <w:color w:val="auto"/>
          <w:sz w:val="32"/>
          <w:szCs w:val="32"/>
        </w:rPr>
        <w:t>落</w:t>
      </w:r>
      <w:r>
        <w:rPr>
          <w:rFonts w:hint="eastAsia" w:ascii="Times New Roman" w:hAnsi="Times New Roman" w:eastAsia="仿宋_GB2312" w:cs="Times New Roman"/>
          <w:color w:val="auto"/>
          <w:sz w:val="32"/>
          <w:szCs w:val="32"/>
          <w:lang w:val="en-US" w:eastAsia="zh-CN"/>
        </w:rPr>
        <w:t>了国家计划生育</w:t>
      </w:r>
      <w:r>
        <w:rPr>
          <w:rFonts w:hint="default" w:ascii="Times New Roman" w:hAnsi="Times New Roman" w:eastAsia="仿宋_GB2312" w:cs="Times New Roman"/>
          <w:color w:val="auto"/>
          <w:sz w:val="32"/>
          <w:szCs w:val="32"/>
        </w:rPr>
        <w:t>补助政策，</w:t>
      </w:r>
      <w:r>
        <w:rPr>
          <w:rFonts w:hint="eastAsia" w:ascii="Times New Roman" w:hAnsi="Times New Roman" w:eastAsia="仿宋_GB2312" w:cs="Times New Roman"/>
          <w:color w:val="auto"/>
          <w:sz w:val="32"/>
          <w:szCs w:val="32"/>
          <w:lang w:val="en-US" w:eastAsia="zh-CN"/>
        </w:rPr>
        <w:t>适当减轻了计生特殊对象家庭经济压力，</w:t>
      </w:r>
      <w:r>
        <w:rPr>
          <w:rFonts w:hint="default" w:ascii="Times New Roman" w:hAnsi="Times New Roman" w:eastAsia="仿宋_GB2312" w:cs="Times New Roman"/>
          <w:color w:val="auto"/>
          <w:sz w:val="32"/>
          <w:szCs w:val="32"/>
        </w:rPr>
        <w:t>保障</w:t>
      </w:r>
      <w:r>
        <w:rPr>
          <w:rFonts w:hint="eastAsia" w:ascii="Times New Roman" w:hAnsi="Times New Roman" w:eastAsia="仿宋_GB2312" w:cs="Times New Roman"/>
          <w:color w:val="auto"/>
          <w:sz w:val="32"/>
          <w:szCs w:val="32"/>
          <w:lang w:val="en-US" w:eastAsia="zh-CN"/>
        </w:rPr>
        <w:t>了</w:t>
      </w:r>
      <w:r>
        <w:rPr>
          <w:rFonts w:hint="default" w:ascii="Times New Roman" w:hAnsi="Times New Roman" w:eastAsia="仿宋_GB2312" w:cs="Times New Roman"/>
          <w:color w:val="auto"/>
          <w:sz w:val="32"/>
          <w:szCs w:val="32"/>
        </w:rPr>
        <w:t>独生子女家庭的合法权益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取得了较好的社会效益。</w:t>
      </w:r>
    </w:p>
    <w:p w14:paraId="54EA8CF6">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年初预算项目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基本公共卫生</w:t>
      </w:r>
      <w:r>
        <w:rPr>
          <w:rFonts w:hint="eastAsia"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专项资金，</w:t>
      </w:r>
      <w:r>
        <w:rPr>
          <w:rFonts w:hint="eastAsia" w:ascii="Times New Roman" w:hAnsi="Times New Roman" w:eastAsia="仿宋_GB2312" w:cs="Times New Roman"/>
          <w:color w:val="auto"/>
          <w:sz w:val="32"/>
          <w:szCs w:val="32"/>
          <w:lang w:val="en-US" w:eastAsia="zh-CN"/>
        </w:rPr>
        <w:t>年初预算289.52万元，</w:t>
      </w:r>
      <w:r>
        <w:rPr>
          <w:rFonts w:hint="default" w:ascii="Times New Roman" w:hAnsi="Times New Roman" w:eastAsia="仿宋_GB2312" w:cs="Times New Roman"/>
          <w:color w:val="auto"/>
          <w:sz w:val="32"/>
          <w:szCs w:val="32"/>
        </w:rPr>
        <w:t>年中</w:t>
      </w:r>
      <w:r>
        <w:rPr>
          <w:rFonts w:hint="eastAsia" w:ascii="Times New Roman" w:hAnsi="Times New Roman" w:eastAsia="仿宋_GB2312" w:cs="Times New Roman"/>
          <w:color w:val="auto"/>
          <w:sz w:val="32"/>
          <w:szCs w:val="32"/>
          <w:lang w:val="en-US" w:eastAsia="zh-CN"/>
        </w:rPr>
        <w:t>上级追加</w:t>
      </w:r>
      <w:r>
        <w:rPr>
          <w:rFonts w:hint="default" w:ascii="Times New Roman" w:hAnsi="Times New Roman" w:eastAsia="仿宋_GB2312" w:cs="Times New Roman"/>
          <w:color w:val="auto"/>
          <w:sz w:val="32"/>
          <w:szCs w:val="32"/>
        </w:rPr>
        <w:t>调增</w:t>
      </w:r>
      <w:r>
        <w:rPr>
          <w:rFonts w:hint="eastAsia" w:ascii="Times New Roman" w:hAnsi="Times New Roman" w:eastAsia="仿宋_GB2312" w:cs="Times New Roman"/>
          <w:color w:val="auto"/>
          <w:sz w:val="32"/>
          <w:szCs w:val="32"/>
          <w:lang w:val="en-US" w:eastAsia="zh-CN"/>
        </w:rPr>
        <w:t>1900.93</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全年预算2190.45万元，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1791.42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399.03</w:t>
      </w:r>
      <w:r>
        <w:rPr>
          <w:rFonts w:hint="default" w:ascii="Times New Roman" w:hAnsi="Times New Roman" w:eastAsia="仿宋_GB2312" w:cs="Times New Roman"/>
          <w:color w:val="auto"/>
          <w:sz w:val="32"/>
          <w:szCs w:val="32"/>
        </w:rPr>
        <w:t>万元。</w:t>
      </w:r>
    </w:p>
    <w:p w14:paraId="017321D4">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项目实施及绩效情况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2024年各基层医疗机构统筹兼顾，有序推进基本公共卫生服务项目工作开展，持续扩大基本公共卫生服务覆盖面、提高服务质量，基本公共卫生服务项目均等化水平不断提升，全面完成了年度目标任务（详细指标见项目支出绩效自评表）。</w:t>
      </w:r>
    </w:p>
    <w:p w14:paraId="4E47D1F7">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存在的问题及原因分析</w:t>
      </w:r>
    </w:p>
    <w:p w14:paraId="1CB3DF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楷体_GBK" w:cs="Times New Roman"/>
          <w:color w:val="auto"/>
          <w:kern w:val="2"/>
          <w:sz w:val="32"/>
          <w:szCs w:val="32"/>
          <w:lang w:val="en-US" w:eastAsia="zh-CN" w:bidi="ar"/>
        </w:rPr>
      </w:pPr>
      <w:r>
        <w:rPr>
          <w:rFonts w:hint="default" w:ascii="Times New Roman" w:hAnsi="Times New Roman" w:eastAsia="方正楷体_GBK" w:cs="Times New Roman"/>
          <w:color w:val="auto"/>
          <w:kern w:val="2"/>
          <w:sz w:val="32"/>
          <w:szCs w:val="32"/>
          <w:lang w:val="en-US" w:eastAsia="zh-CN" w:bidi="ar"/>
        </w:rPr>
        <w:t>（一）绩效评价和绩效管理方面存在的问题</w:t>
      </w:r>
    </w:p>
    <w:p w14:paraId="77F7B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b/>
          <w:bCs/>
          <w:color w:val="auto"/>
          <w:kern w:val="2"/>
          <w:sz w:val="32"/>
          <w:szCs w:val="32"/>
          <w:lang w:val="en-US" w:eastAsia="zh-CN" w:bidi="ar"/>
        </w:rPr>
        <w:t>1.部门整体绩效目标及绩效指标设置有待进一步细化、量化。</w:t>
      </w:r>
      <w:r>
        <w:rPr>
          <w:rFonts w:hint="default" w:ascii="Times New Roman" w:hAnsi="Times New Roman" w:eastAsia="方正仿宋_GBK" w:cs="Times New Roman"/>
          <w:color w:val="auto"/>
          <w:kern w:val="2"/>
          <w:sz w:val="32"/>
          <w:szCs w:val="32"/>
          <w:lang w:val="en-US" w:eastAsia="zh-CN" w:bidi="ar"/>
        </w:rPr>
        <w:t>在明确部门工作的重点方向的基础上，目标任务的量化程度应进一步提高。</w:t>
      </w:r>
    </w:p>
    <w:p w14:paraId="36645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b/>
          <w:bCs/>
          <w:color w:val="auto"/>
          <w:kern w:val="2"/>
          <w:sz w:val="32"/>
          <w:szCs w:val="32"/>
          <w:lang w:val="en-US" w:eastAsia="zh-CN" w:bidi="ar"/>
        </w:rPr>
        <w:t>2.预算指标支付进度滞后，导致存在项目先开展、资金后到位后使用或资金未到位未使用的情况。</w:t>
      </w:r>
      <w:r>
        <w:rPr>
          <w:rFonts w:hint="default" w:ascii="Times New Roman" w:hAnsi="Times New Roman" w:eastAsia="方正仿宋_GBK" w:cs="Times New Roman"/>
          <w:b w:val="0"/>
          <w:bCs w:val="0"/>
          <w:color w:val="auto"/>
          <w:kern w:val="2"/>
          <w:sz w:val="32"/>
          <w:szCs w:val="32"/>
          <w:lang w:val="en-US" w:eastAsia="zh-CN" w:bidi="ar"/>
        </w:rPr>
        <w:t>因库款保障不足，</w:t>
      </w:r>
      <w:r>
        <w:rPr>
          <w:rFonts w:hint="default" w:ascii="Times New Roman" w:hAnsi="Times New Roman" w:eastAsia="方正仿宋_GBK" w:cs="Times New Roman"/>
          <w:color w:val="auto"/>
          <w:kern w:val="2"/>
          <w:sz w:val="32"/>
          <w:szCs w:val="32"/>
          <w:lang w:val="en-US" w:eastAsia="zh-CN" w:bidi="ar"/>
        </w:rPr>
        <w:t>项目资金不能及时拨付，导致项目开展进度与资金使用进度不一致。</w:t>
      </w:r>
    </w:p>
    <w:p w14:paraId="3CFDDF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楷体_GBK" w:cs="Times New Roman"/>
          <w:color w:val="auto"/>
          <w:kern w:val="2"/>
          <w:sz w:val="32"/>
          <w:szCs w:val="32"/>
          <w:lang w:val="en-US" w:eastAsia="zh-CN" w:bidi="ar"/>
        </w:rPr>
      </w:pPr>
      <w:r>
        <w:rPr>
          <w:rFonts w:hint="default" w:ascii="Times New Roman" w:hAnsi="Times New Roman" w:eastAsia="方正楷体_GBK" w:cs="Times New Roman"/>
          <w:color w:val="auto"/>
          <w:kern w:val="2"/>
          <w:sz w:val="32"/>
          <w:szCs w:val="32"/>
          <w:lang w:val="en-US" w:eastAsia="zh-CN" w:bidi="ar"/>
        </w:rPr>
        <w:t>（二）部门整体工作开展方面存在的问题</w:t>
      </w:r>
    </w:p>
    <w:p w14:paraId="215CDD4F">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专业人才紧缺。</w:t>
      </w:r>
      <w:r>
        <w:rPr>
          <w:rFonts w:hint="default" w:ascii="Times New Roman" w:hAnsi="Times New Roman" w:eastAsia="仿宋_GB2312" w:cs="Times New Roman"/>
          <w:color w:val="auto"/>
          <w:sz w:val="32"/>
          <w:szCs w:val="32"/>
        </w:rPr>
        <w:t>区级医院高层次人才不多，如两家区直医院的正高级职称只有8人；乡镇卫生院进人难、留人难，近三年共招考了35人，考生大都是专科生，6名农村订单定向医学生服务期满后均选择了辞职；村医冗余、年龄老化，按照行政村1:1的配备，村医多配64人；且村医年龄普遍偏大，60岁以上的共有57人，占比29.5%。</w:t>
      </w:r>
    </w:p>
    <w:p w14:paraId="61FD3022">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信息化建设薄弱。</w:t>
      </w:r>
      <w:r>
        <w:rPr>
          <w:rFonts w:hint="default" w:ascii="Times New Roman" w:hAnsi="Times New Roman" w:eastAsia="仿宋_GB2312" w:cs="Times New Roman"/>
          <w:color w:val="auto"/>
          <w:sz w:val="32"/>
          <w:szCs w:val="32"/>
        </w:rPr>
        <w:t>目前医共体内尚未实现信息系统的完全互融互通，医共体各单位的信息化建设水平参差不齐，电子病历、居民健康档案等各项数据难以整合；部分卫生室基药配备不齐，“区药乡用”的政策还未落实落地，导致人民群众用药需求得不到满足，甚至导致部分医疗达不到效果、影响医生信誉度、老百姓的参保积极性不高。</w:t>
      </w:r>
    </w:p>
    <w:p w14:paraId="6FAEC126">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公立医院发展不充分。</w:t>
      </w:r>
      <w:r>
        <w:rPr>
          <w:rFonts w:hint="default" w:ascii="Times New Roman" w:hAnsi="Times New Roman" w:eastAsia="仿宋_GB2312" w:cs="Times New Roman"/>
          <w:color w:val="auto"/>
          <w:sz w:val="32"/>
          <w:szCs w:val="32"/>
        </w:rPr>
        <w:t>医院错位发展、服务互补的协同发展格局没有形成，综合管理亟需完善，重点特色专科建设滞后、科技创新动能不足，服务质量和服务能力还存在一定的差距。</w:t>
      </w:r>
    </w:p>
    <w:p w14:paraId="2A7BD25D">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基层负担依然很重。</w:t>
      </w:r>
      <w:r>
        <w:rPr>
          <w:rFonts w:hint="default" w:ascii="Times New Roman" w:hAnsi="Times New Roman" w:eastAsia="仿宋_GB2312" w:cs="Times New Roman"/>
          <w:color w:val="auto"/>
          <w:sz w:val="32"/>
          <w:szCs w:val="32"/>
        </w:rPr>
        <w:t>目前基层医疗机构普遍存在业务用房不足、设施设备陈旧、人才队伍年龄老化、高层次人才缺乏等问题，资金运行压力大，医院不能得到有效发展，基层工作人员的积极性降低。</w:t>
      </w:r>
    </w:p>
    <w:p w14:paraId="65220D44">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八、下一步改进措施</w:t>
      </w:r>
    </w:p>
    <w:p w14:paraId="7B849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楷体_GBK" w:cs="Times New Roman"/>
          <w:color w:val="auto"/>
          <w:kern w:val="2"/>
          <w:sz w:val="32"/>
          <w:szCs w:val="32"/>
          <w:lang w:val="en-US" w:eastAsia="zh-CN" w:bidi="ar"/>
        </w:rPr>
      </w:pPr>
      <w:r>
        <w:rPr>
          <w:rFonts w:hint="default" w:ascii="Times New Roman" w:hAnsi="Times New Roman" w:eastAsia="方正楷体_GBK" w:cs="Times New Roman"/>
          <w:color w:val="auto"/>
          <w:kern w:val="2"/>
          <w:sz w:val="32"/>
          <w:szCs w:val="32"/>
          <w:lang w:val="en-US" w:eastAsia="zh-CN" w:bidi="ar"/>
        </w:rPr>
        <w:t>（一）绩效评价和绩效管理方面改进措施</w:t>
      </w:r>
    </w:p>
    <w:p w14:paraId="01322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b/>
          <w:bCs/>
          <w:color w:val="auto"/>
          <w:kern w:val="2"/>
          <w:sz w:val="32"/>
          <w:szCs w:val="32"/>
          <w:lang w:val="en-US" w:eastAsia="zh-CN" w:bidi="ar"/>
        </w:rPr>
        <w:t>1.优化部门整体绩效目标设置。</w:t>
      </w:r>
      <w:r>
        <w:rPr>
          <w:rFonts w:hint="default" w:ascii="Times New Roman" w:hAnsi="Times New Roman" w:eastAsia="方正仿宋_GBK" w:cs="Times New Roman"/>
          <w:color w:val="auto"/>
          <w:kern w:val="2"/>
          <w:sz w:val="32"/>
          <w:szCs w:val="32"/>
          <w:lang w:val="en-US" w:eastAsia="zh-CN" w:bidi="ar"/>
        </w:rPr>
        <w:t>根据部门履职重点和预算安排规模，分层次提炼部门整体目标，设置符合业务实际、描述精准且可量化的指标。</w:t>
      </w:r>
    </w:p>
    <w:p w14:paraId="37A401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b/>
          <w:bCs/>
          <w:color w:val="auto"/>
          <w:kern w:val="2"/>
          <w:sz w:val="32"/>
          <w:szCs w:val="32"/>
          <w:lang w:val="en-US" w:eastAsia="zh-CN" w:bidi="ar"/>
        </w:rPr>
        <w:t>2.提高绩效评价质量。</w:t>
      </w:r>
      <w:r>
        <w:rPr>
          <w:rFonts w:hint="default" w:ascii="Times New Roman" w:hAnsi="Times New Roman" w:eastAsia="方正仿宋_GBK" w:cs="Times New Roman"/>
          <w:color w:val="auto"/>
          <w:kern w:val="2"/>
          <w:sz w:val="32"/>
          <w:szCs w:val="32"/>
          <w:lang w:val="en-US" w:eastAsia="zh-CN" w:bidi="ar"/>
        </w:rPr>
        <w:t>完善绩效评价管理制度，加强培训与学习，提升绩效评价人员业务水平。</w:t>
      </w:r>
    </w:p>
    <w:p w14:paraId="056CD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b/>
          <w:bCs/>
          <w:color w:val="auto"/>
          <w:kern w:val="2"/>
          <w:sz w:val="32"/>
          <w:szCs w:val="32"/>
          <w:lang w:val="en-US" w:eastAsia="zh-CN" w:bidi="ar"/>
        </w:rPr>
        <w:t>3.进一步加强绩效自评结果应用力度。</w:t>
      </w:r>
      <w:r>
        <w:rPr>
          <w:rFonts w:hint="default" w:ascii="Times New Roman" w:hAnsi="Times New Roman" w:eastAsia="方正仿宋_GBK" w:cs="Times New Roman"/>
          <w:color w:val="auto"/>
          <w:kern w:val="2"/>
          <w:sz w:val="32"/>
          <w:szCs w:val="32"/>
          <w:lang w:val="en-US" w:eastAsia="zh-CN" w:bidi="ar"/>
        </w:rPr>
        <w:t>扩大成果运用，增强约束性与激励性，树立“花钱必问效、无效必问责”的绩效理念。</w:t>
      </w:r>
    </w:p>
    <w:p w14:paraId="309BF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方正楷体_GBK" w:cs="Times New Roman"/>
          <w:color w:val="auto"/>
          <w:kern w:val="2"/>
          <w:sz w:val="32"/>
          <w:szCs w:val="32"/>
          <w:lang w:val="en-US" w:eastAsia="zh-CN" w:bidi="ar"/>
        </w:rPr>
      </w:pPr>
      <w:r>
        <w:rPr>
          <w:rFonts w:hint="default" w:ascii="Times New Roman" w:hAnsi="Times New Roman" w:eastAsia="方正楷体_GBK" w:cs="Times New Roman"/>
          <w:color w:val="auto"/>
          <w:kern w:val="2"/>
          <w:sz w:val="32"/>
          <w:szCs w:val="32"/>
          <w:lang w:val="en-US" w:eastAsia="zh-CN" w:bidi="ar"/>
        </w:rPr>
        <w:t>（二）部门整体工作开展方面改进措施</w:t>
      </w:r>
    </w:p>
    <w:p w14:paraId="0E25B321">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抓实抓细深化医改。</w:t>
      </w:r>
      <w:r>
        <w:rPr>
          <w:rFonts w:hint="default" w:ascii="Times New Roman" w:hAnsi="Times New Roman" w:eastAsia="仿宋_GB2312" w:cs="Times New Roman"/>
          <w:color w:val="auto"/>
          <w:sz w:val="32"/>
          <w:szCs w:val="32"/>
        </w:rPr>
        <w:t>统筹医共体资源，推进五大中心标准化建设，积极建设智慧健康信息平台，构建“三智三联”服务新模式。加快区域总院建设，拓展医疗卫生体系服务，推动区人民医院和区中医医院资源整合、互补优势、完善学科，增强核心竞争力；同时推进区域次中心建设，做强基层特色专科，建立以区级医院为龙头、乡镇卫生院为枢纽、村卫生室为基础的乡村医疗卫生服务体系，推进区域内医疗卫生服务一体化。</w:t>
      </w:r>
    </w:p>
    <w:p w14:paraId="3D19CE22">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建强建稳人才队伍。</w:t>
      </w:r>
      <w:r>
        <w:rPr>
          <w:rFonts w:hint="default" w:ascii="Times New Roman" w:hAnsi="Times New Roman" w:eastAsia="仿宋_GB2312" w:cs="Times New Roman"/>
          <w:color w:val="auto"/>
          <w:sz w:val="32"/>
          <w:szCs w:val="32"/>
        </w:rPr>
        <w:t>优化专科和全科人才设置，对区级医疗机构采取“走出去、请进来、沉下去”的方式，对乡镇医疗机构采取“帮、传、带”的方式，以对口帮扶、授课、培训等多种形式培训各类人才，推动人才在区域内有效流通。持续打造“区级统筹、乡镇所有、区管镇用、以镇带村”的区镇村三级医疗卫生机构“编共体”。</w:t>
      </w:r>
    </w:p>
    <w:p w14:paraId="32816D95">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做实做优健康渌口。</w:t>
      </w:r>
      <w:r>
        <w:rPr>
          <w:rFonts w:hint="default" w:ascii="Times New Roman" w:hAnsi="Times New Roman" w:eastAsia="仿宋_GB2312" w:cs="Times New Roman"/>
          <w:color w:val="auto"/>
          <w:sz w:val="32"/>
          <w:szCs w:val="32"/>
        </w:rPr>
        <w:t>持续探索推进医防融合，探索建立以疾病预防、医疗救治、健康管理“三位一体”的医防整合新机制，进一步推进国家糖尿病标准化防控中心建设项目（DPCC）糖尿病筛查工作，确保圆满完成年度任务。做实家庭医生签约服务，充分发挥家庭医生团队的作用，结合紧密型医共体建设、分级诊疗的推进，积极探索将基本医疗与基本公卫有机结合，认真落实基层首诊、双向转诊、急慢分诊、上下联动。</w:t>
      </w:r>
    </w:p>
    <w:p w14:paraId="2911D9AA">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九、部门整体支出绩效自评结果拟应用和公开情况</w:t>
      </w:r>
    </w:p>
    <w:p w14:paraId="1A635E6F">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1.绩效自评结果应用情况。</w:t>
      </w:r>
      <w:bookmarkStart w:id="0" w:name="_GoBack"/>
      <w:r>
        <w:rPr>
          <w:rFonts w:hint="default" w:ascii="Times New Roman" w:hAnsi="Times New Roman" w:eastAsia="仿宋_GB2312" w:cs="Times New Roman"/>
          <w:color w:val="auto"/>
          <w:sz w:val="32"/>
          <w:szCs w:val="32"/>
        </w:rPr>
        <w:t>区卫生健康局项目绩效考核、绩效自评结果与项目资金分配挂钩。同时，将针对</w:t>
      </w:r>
      <w:r>
        <w:rPr>
          <w:rFonts w:hint="default" w:ascii="Times New Roman" w:hAnsi="Times New Roman" w:eastAsia="仿宋_GB2312" w:cs="Times New Roman"/>
          <w:color w:val="auto"/>
          <w:sz w:val="32"/>
          <w:szCs w:val="32"/>
          <w:lang w:val="en-US" w:eastAsia="zh-CN"/>
        </w:rPr>
        <w:t>本次自评</w:t>
      </w:r>
      <w:r>
        <w:rPr>
          <w:rFonts w:hint="default" w:ascii="Times New Roman" w:hAnsi="Times New Roman" w:eastAsia="仿宋_GB2312" w:cs="Times New Roman"/>
          <w:color w:val="auto"/>
          <w:sz w:val="32"/>
          <w:szCs w:val="32"/>
        </w:rPr>
        <w:t>提出的问题和意见建议，狠抓整改落实，健全完善相关制度，提高财政资金绩效管理工作水平。</w:t>
      </w:r>
      <w:bookmarkEnd w:id="0"/>
    </w:p>
    <w:p w14:paraId="28E7228D">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2.绩效自评公开情况。</w:t>
      </w:r>
      <w:r>
        <w:rPr>
          <w:rFonts w:hint="default" w:ascii="Times New Roman" w:hAnsi="Times New Roman" w:eastAsia="仿宋_GB2312" w:cs="Times New Roman"/>
          <w:color w:val="auto"/>
          <w:sz w:val="32"/>
          <w:szCs w:val="32"/>
        </w:rPr>
        <w:t>绩效自评报告将根据区财政局统一安排，在</w:t>
      </w:r>
      <w:r>
        <w:rPr>
          <w:rFonts w:hint="default" w:ascii="Times New Roman" w:hAnsi="Times New Roman" w:eastAsia="仿宋_GB2312" w:cs="Times New Roman"/>
          <w:color w:val="auto"/>
          <w:sz w:val="32"/>
          <w:szCs w:val="32"/>
          <w:lang w:val="en-US" w:eastAsia="zh-CN"/>
        </w:rPr>
        <w:t>政府门户网站</w:t>
      </w:r>
      <w:r>
        <w:rPr>
          <w:rFonts w:hint="default" w:ascii="Times New Roman" w:hAnsi="Times New Roman" w:eastAsia="仿宋_GB2312" w:cs="Times New Roman"/>
          <w:color w:val="auto"/>
          <w:sz w:val="32"/>
          <w:szCs w:val="32"/>
        </w:rPr>
        <w:t>，与202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年财政部门决算报表一并公开。</w:t>
      </w:r>
    </w:p>
    <w:p w14:paraId="624293C7">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39C8B701">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 2024年度部门整体支出绩效评价基础数据表</w:t>
      </w:r>
    </w:p>
    <w:p w14:paraId="3E10F145">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1600" w:firstLineChars="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 2024年度部门整体支出绩效自评表</w:t>
      </w:r>
    </w:p>
    <w:p w14:paraId="23014974">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1600" w:firstLineChars="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 2024年度项目支出绩效自评表</w:t>
      </w:r>
    </w:p>
    <w:p w14:paraId="1C5EAEDB">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1600" w:firstLineChars="500"/>
        <w:textAlignment w:val="auto"/>
        <w:rPr>
          <w:rFonts w:hint="default" w:ascii="Times New Roman" w:hAnsi="Times New Roman" w:eastAsia="仿宋_GB2312" w:cs="Times New Roman"/>
          <w:color w:val="auto"/>
          <w:sz w:val="32"/>
          <w:szCs w:val="32"/>
        </w:rPr>
      </w:pPr>
    </w:p>
    <w:p w14:paraId="6CE3B8C3">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1600" w:firstLineChars="500"/>
        <w:textAlignment w:val="auto"/>
        <w:rPr>
          <w:rFonts w:hint="default" w:ascii="Times New Roman" w:hAnsi="Times New Roman" w:eastAsia="仿宋_GB2312" w:cs="Times New Roman"/>
          <w:color w:val="auto"/>
          <w:sz w:val="32"/>
          <w:szCs w:val="32"/>
        </w:rPr>
      </w:pPr>
    </w:p>
    <w:p w14:paraId="0F0D1048">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1600" w:firstLineChars="5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株洲市渌口区卫生健康局</w:t>
      </w:r>
    </w:p>
    <w:p w14:paraId="24A7192B">
      <w:pPr>
        <w:keepNext w:val="0"/>
        <w:keepLines w:val="0"/>
        <w:pageBreakBefore w:val="0"/>
        <w:widowControl w:val="0"/>
        <w:tabs>
          <w:tab w:val="left" w:pos="7560"/>
        </w:tabs>
        <w:kinsoku/>
        <w:wordWrap/>
        <w:overflowPunct/>
        <w:topLinePunct w:val="0"/>
        <w:autoSpaceDE/>
        <w:autoSpaceDN/>
        <w:bidi w:val="0"/>
        <w:adjustRightInd w:val="0"/>
        <w:snapToGrid w:val="0"/>
        <w:spacing w:line="580" w:lineRule="exact"/>
        <w:ind w:firstLine="5440" w:firstLineChars="17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2025年5月21日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2BC45B-6D55-4A02-844F-B0C5E73A08D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2" w:fontKey="{B93E6445-CE0D-4C55-80F2-7537281CA2A7}"/>
  </w:font>
  <w:font w:name="方正小标宋简体">
    <w:altName w:val="方正舒体"/>
    <w:panose1 w:val="02010601030101010101"/>
    <w:charset w:val="86"/>
    <w:family w:val="script"/>
    <w:pitch w:val="default"/>
    <w:sig w:usb0="00000000" w:usb1="00000000" w:usb2="00000010" w:usb3="00000000" w:csb0="00040000" w:csb1="00000000"/>
    <w:embedRegular r:id="rId3" w:fontKey="{156A4E5F-E1AE-4B64-BF95-BA96FC012E88}"/>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4" w:fontKey="{B3F5E30F-8E47-4A37-82E1-43300F2626F3}"/>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5" w:fontKey="{4A2CC574-2C3C-438D-83E9-C07A36B99B2D}"/>
  </w:font>
  <w:font w:name="方正仿宋_GBK">
    <w:panose1 w:val="02000000000000000000"/>
    <w:charset w:val="86"/>
    <w:family w:val="auto"/>
    <w:pitch w:val="default"/>
    <w:sig w:usb0="A00002BF" w:usb1="38CF7CFA" w:usb2="00082016" w:usb3="00000000" w:csb0="00040001" w:csb1="00000000"/>
    <w:embedRegular r:id="rId6" w:fontKey="{04579CD6-1304-4BD3-9322-C2FB240BA9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139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B53C424">
                          <w:pPr>
                            <w:pStyle w:val="4"/>
                          </w:pPr>
                          <w:r>
                            <w:t xml:space="preserve">— </w:t>
                          </w:r>
                          <w:r>
                            <w:fldChar w:fldCharType="begin"/>
                          </w:r>
                          <w:r>
                            <w:instrText xml:space="preserve"> PAGE  \* MERGEFORMAT </w:instrText>
                          </w:r>
                          <w:r>
                            <w:fldChar w:fldCharType="separate"/>
                          </w:r>
                          <w:r>
                            <w:t>18</w:t>
                          </w:r>
                          <w:r>
                            <w:fldChar w:fldCharType="end"/>
                          </w:r>
                          <w: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2B53C424">
                    <w:pPr>
                      <w:pStyle w:val="4"/>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C9890"/>
    <w:multiLevelType w:val="singleLevel"/>
    <w:tmpl w:val="830C9890"/>
    <w:lvl w:ilvl="0" w:tentative="0">
      <w:start w:val="7"/>
      <w:numFmt w:val="chineseCounting"/>
      <w:suff w:val="nothing"/>
      <w:lvlText w:val="%1、"/>
      <w:lvlJc w:val="left"/>
      <w:rPr>
        <w:rFonts w:hint="eastAsia"/>
      </w:rPr>
    </w:lvl>
  </w:abstractNum>
  <w:abstractNum w:abstractNumId="1">
    <w:nsid w:val="CE34EA2A"/>
    <w:multiLevelType w:val="singleLevel"/>
    <w:tmpl w:val="CE34EA2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zExODI0M2QyMWRlNGMxYjMyYTg1ZTEzYWI3NmYifQ=="/>
  </w:docVars>
  <w:rsids>
    <w:rsidRoot w:val="00222CFF"/>
    <w:rsid w:val="00051120"/>
    <w:rsid w:val="00222CFF"/>
    <w:rsid w:val="00384B9C"/>
    <w:rsid w:val="0094708B"/>
    <w:rsid w:val="031217FD"/>
    <w:rsid w:val="03345AEF"/>
    <w:rsid w:val="04155920"/>
    <w:rsid w:val="04EB6681"/>
    <w:rsid w:val="05436869"/>
    <w:rsid w:val="05810D93"/>
    <w:rsid w:val="066F5090"/>
    <w:rsid w:val="067C73E0"/>
    <w:rsid w:val="07F12200"/>
    <w:rsid w:val="09616F12"/>
    <w:rsid w:val="09AD0AE4"/>
    <w:rsid w:val="09DE0562"/>
    <w:rsid w:val="09F064E7"/>
    <w:rsid w:val="0B6251C3"/>
    <w:rsid w:val="0BCF18B9"/>
    <w:rsid w:val="0D564DFD"/>
    <w:rsid w:val="0DB57CB4"/>
    <w:rsid w:val="0E8845BE"/>
    <w:rsid w:val="102951AB"/>
    <w:rsid w:val="10881228"/>
    <w:rsid w:val="12386C7D"/>
    <w:rsid w:val="13D053C0"/>
    <w:rsid w:val="14274190"/>
    <w:rsid w:val="148D7593"/>
    <w:rsid w:val="15940C70"/>
    <w:rsid w:val="1672275E"/>
    <w:rsid w:val="16AF66B2"/>
    <w:rsid w:val="16BA4105"/>
    <w:rsid w:val="17DE4593"/>
    <w:rsid w:val="18D620ED"/>
    <w:rsid w:val="18D97BBF"/>
    <w:rsid w:val="191D7F9E"/>
    <w:rsid w:val="19F94000"/>
    <w:rsid w:val="1BEC4D61"/>
    <w:rsid w:val="1C9A5481"/>
    <w:rsid w:val="1D385D84"/>
    <w:rsid w:val="1EE65901"/>
    <w:rsid w:val="1F134CFA"/>
    <w:rsid w:val="1F397586"/>
    <w:rsid w:val="1F9A5250"/>
    <w:rsid w:val="20221513"/>
    <w:rsid w:val="205E47E3"/>
    <w:rsid w:val="210677A8"/>
    <w:rsid w:val="21C276E9"/>
    <w:rsid w:val="24091CE0"/>
    <w:rsid w:val="248E57F8"/>
    <w:rsid w:val="251A7676"/>
    <w:rsid w:val="267441E6"/>
    <w:rsid w:val="283A2104"/>
    <w:rsid w:val="2AD03A9F"/>
    <w:rsid w:val="2AD520B9"/>
    <w:rsid w:val="2AEA4B61"/>
    <w:rsid w:val="2B95569E"/>
    <w:rsid w:val="2CD07D87"/>
    <w:rsid w:val="2CD5310B"/>
    <w:rsid w:val="2CFA4E04"/>
    <w:rsid w:val="2EFFB905"/>
    <w:rsid w:val="30C3032E"/>
    <w:rsid w:val="30F304E8"/>
    <w:rsid w:val="32500DC3"/>
    <w:rsid w:val="32C739DA"/>
    <w:rsid w:val="33576B0C"/>
    <w:rsid w:val="33CD3694"/>
    <w:rsid w:val="34CD158B"/>
    <w:rsid w:val="351B1DBB"/>
    <w:rsid w:val="366049CF"/>
    <w:rsid w:val="369342FF"/>
    <w:rsid w:val="36F823B4"/>
    <w:rsid w:val="373B5773"/>
    <w:rsid w:val="37A570FA"/>
    <w:rsid w:val="385C4BC4"/>
    <w:rsid w:val="38832151"/>
    <w:rsid w:val="39072F67"/>
    <w:rsid w:val="39E11825"/>
    <w:rsid w:val="3CB60D47"/>
    <w:rsid w:val="3E0C4997"/>
    <w:rsid w:val="3E6A6D4F"/>
    <w:rsid w:val="3E8409D1"/>
    <w:rsid w:val="3E9C0F24"/>
    <w:rsid w:val="3EB14760"/>
    <w:rsid w:val="3FC23B59"/>
    <w:rsid w:val="3FE693AD"/>
    <w:rsid w:val="4035158F"/>
    <w:rsid w:val="403B1563"/>
    <w:rsid w:val="41614FF9"/>
    <w:rsid w:val="4346094B"/>
    <w:rsid w:val="43AF2F64"/>
    <w:rsid w:val="43BB4E95"/>
    <w:rsid w:val="45132057"/>
    <w:rsid w:val="45337B89"/>
    <w:rsid w:val="455137CA"/>
    <w:rsid w:val="46471F8A"/>
    <w:rsid w:val="46647A6A"/>
    <w:rsid w:val="468A5590"/>
    <w:rsid w:val="46A14816"/>
    <w:rsid w:val="46DD3374"/>
    <w:rsid w:val="47484C91"/>
    <w:rsid w:val="483D231C"/>
    <w:rsid w:val="48CF41D9"/>
    <w:rsid w:val="493F0316"/>
    <w:rsid w:val="49BC54C3"/>
    <w:rsid w:val="4A123335"/>
    <w:rsid w:val="4A9A5B32"/>
    <w:rsid w:val="4AF01932"/>
    <w:rsid w:val="4B105AC6"/>
    <w:rsid w:val="4BE24EDF"/>
    <w:rsid w:val="4DD57ADF"/>
    <w:rsid w:val="4F3BD62E"/>
    <w:rsid w:val="4F7B637A"/>
    <w:rsid w:val="4FD572DE"/>
    <w:rsid w:val="50461F8A"/>
    <w:rsid w:val="52366141"/>
    <w:rsid w:val="524C14DA"/>
    <w:rsid w:val="536974C6"/>
    <w:rsid w:val="53A674DD"/>
    <w:rsid w:val="53CB15B5"/>
    <w:rsid w:val="542A1C73"/>
    <w:rsid w:val="561F316F"/>
    <w:rsid w:val="577C6C0C"/>
    <w:rsid w:val="57AA6E55"/>
    <w:rsid w:val="57CE2F91"/>
    <w:rsid w:val="590F614C"/>
    <w:rsid w:val="59E7033A"/>
    <w:rsid w:val="5A132EDD"/>
    <w:rsid w:val="5A6776CD"/>
    <w:rsid w:val="5A6B4731"/>
    <w:rsid w:val="5B8D6CBF"/>
    <w:rsid w:val="5CBE0DF2"/>
    <w:rsid w:val="5DA64068"/>
    <w:rsid w:val="5E0A45F7"/>
    <w:rsid w:val="5E0E4667"/>
    <w:rsid w:val="5E3D48E1"/>
    <w:rsid w:val="5FB32A6C"/>
    <w:rsid w:val="606A1326"/>
    <w:rsid w:val="609E3187"/>
    <w:rsid w:val="6186789B"/>
    <w:rsid w:val="626F653F"/>
    <w:rsid w:val="63B32BC4"/>
    <w:rsid w:val="649D5E63"/>
    <w:rsid w:val="64CB5136"/>
    <w:rsid w:val="66CA3C79"/>
    <w:rsid w:val="67EE0C5C"/>
    <w:rsid w:val="67FF2CF3"/>
    <w:rsid w:val="68CF4DBB"/>
    <w:rsid w:val="69B70C82"/>
    <w:rsid w:val="6B0851D1"/>
    <w:rsid w:val="6B8F0831"/>
    <w:rsid w:val="6CCD3DF5"/>
    <w:rsid w:val="6E700D11"/>
    <w:rsid w:val="70180DF5"/>
    <w:rsid w:val="704A2F79"/>
    <w:rsid w:val="72620A4E"/>
    <w:rsid w:val="73AB1F81"/>
    <w:rsid w:val="73FD1AE5"/>
    <w:rsid w:val="744E128A"/>
    <w:rsid w:val="75280003"/>
    <w:rsid w:val="75564CDF"/>
    <w:rsid w:val="759F65F2"/>
    <w:rsid w:val="776E1C43"/>
    <w:rsid w:val="77B909F0"/>
    <w:rsid w:val="78540864"/>
    <w:rsid w:val="79C618C2"/>
    <w:rsid w:val="7A293BFF"/>
    <w:rsid w:val="7A2C2BCE"/>
    <w:rsid w:val="7BFB68F0"/>
    <w:rsid w:val="7BFFF342"/>
    <w:rsid w:val="7C372603"/>
    <w:rsid w:val="7CFFB774"/>
    <w:rsid w:val="7E024E93"/>
    <w:rsid w:val="7E885398"/>
    <w:rsid w:val="7F363046"/>
    <w:rsid w:val="7F4D52D0"/>
    <w:rsid w:val="7F55F449"/>
    <w:rsid w:val="7FD63DF4"/>
    <w:rsid w:val="9F7F477C"/>
    <w:rsid w:val="B3BDE00E"/>
    <w:rsid w:val="BB96D3B8"/>
    <w:rsid w:val="BEB6EF53"/>
    <w:rsid w:val="DFFB7864"/>
    <w:rsid w:val="E7FFF3A3"/>
    <w:rsid w:val="EDFEBBDF"/>
    <w:rsid w:val="FEFA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line="576" w:lineRule="auto"/>
      <w:outlineLvl w:val="0"/>
    </w:pPr>
    <w:rPr>
      <w:rFonts w:ascii="Calibri" w:hAnsi="Calibri" w:eastAsia="宋体" w:cs="Times New Roman"/>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rPr>
      <w:rFonts w:hint="eastAsia" w:ascii="宋体" w:hAnsi="宋体" w:eastAsia="宋体" w:cs="Times New Roman"/>
      <w:sz w:val="33"/>
      <w:szCs w:val="33"/>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标题 1 Char"/>
    <w:basedOn w:val="8"/>
    <w:link w:val="2"/>
    <w:qFormat/>
    <w:uiPriority w:val="0"/>
    <w:rPr>
      <w:rFonts w:hint="default" w:ascii="Calibri" w:hAnsi="Calibri" w:cs="Calibri"/>
      <w:b/>
      <w:bCs/>
      <w:kern w:val="44"/>
      <w:sz w:val="44"/>
      <w:szCs w:val="44"/>
    </w:rPr>
  </w:style>
  <w:style w:type="paragraph" w:customStyle="1" w:styleId="11">
    <w:name w:val="msolistparagraph"/>
    <w:basedOn w:val="1"/>
    <w:qFormat/>
    <w:uiPriority w:val="0"/>
    <w:pPr>
      <w:ind w:left="1079" w:hanging="309"/>
    </w:pPr>
    <w:rPr>
      <w:rFonts w:hint="eastAsia" w:ascii="宋体" w:hAnsi="宋体" w:eastAsia="宋体" w:cs="Times New Roman"/>
      <w:szCs w:val="22"/>
    </w:rPr>
  </w:style>
  <w:style w:type="character" w:customStyle="1" w:styleId="12">
    <w:name w:val="正文文本 Char"/>
    <w:basedOn w:val="8"/>
    <w:link w:val="3"/>
    <w:qFormat/>
    <w:uiPriority w:val="0"/>
    <w:rPr>
      <w:rFonts w:hint="eastAsia" w:ascii="宋体" w:hAnsi="宋体" w:eastAsia="宋体" w:cs="宋体"/>
      <w:kern w:val="2"/>
      <w:sz w:val="33"/>
      <w:szCs w:val="33"/>
    </w:rPr>
  </w:style>
  <w:style w:type="character" w:customStyle="1" w:styleId="13">
    <w:name w:val="font41"/>
    <w:basedOn w:val="8"/>
    <w:qFormat/>
    <w:uiPriority w:val="0"/>
    <w:rPr>
      <w:rFonts w:hint="default" w:ascii="Calibri" w:hAnsi="Calibri" w:cs="Calibri"/>
      <w:color w:val="000000"/>
      <w:sz w:val="24"/>
      <w:szCs w:val="24"/>
      <w:u w:val="none"/>
    </w:rPr>
  </w:style>
  <w:style w:type="character" w:customStyle="1" w:styleId="14">
    <w:name w:val="font01"/>
    <w:basedOn w:val="8"/>
    <w:qFormat/>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4902</Words>
  <Characters>5254</Characters>
  <Lines>73</Lines>
  <Paragraphs>20</Paragraphs>
  <TotalTime>22</TotalTime>
  <ScaleCrop>false</ScaleCrop>
  <LinksUpToDate>false</LinksUpToDate>
  <CharactersWithSpaces>5261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2021-03-24T07:15:00Z</dcterms:created>
  <dc:creator>Administrator</dc:creator>
  <cp:lastModifiedBy>冰糖葫芦娃</cp:lastModifiedBy>
  <cp:lastPrinted>2025-05-21T03:04:00Z</cp:lastPrinted>
  <dcterms:modified xsi:type="dcterms:W3CDTF">2025-10-10T08:10:44Z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DD30946D3D9B4AA8974C1BF146A1DE7A_13</vt:lpwstr>
  </property>
  <property fmtid="{D5CDD505-2E9C-101B-9397-08002B2CF9AE}" pid="4" name="KSOTemplateDocerSaveRecord">
    <vt:lpwstr>eyJoZGlkIjoiNjMzYTczMTVhMmQwMGVhMTNkMTM3N2M4NjMzM2RiOTEiLCJ1c2VySWQiOiIxMTIwNTAxOTk4In0=</vt:lpwstr>
  </property>
</Properties>
</file>