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28D69">
      <w:pPr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2024年度</w:t>
      </w:r>
      <w:r>
        <w:rPr>
          <w:rFonts w:hint="eastAsia" w:ascii="方正小标宋简体" w:eastAsia="方正小标宋简体"/>
          <w:sz w:val="40"/>
          <w:szCs w:val="32"/>
          <w:lang w:val="en-US" w:eastAsia="zh-CN"/>
        </w:rPr>
        <w:t>株洲市渌口区南洲幼儿园</w:t>
      </w:r>
      <w:r>
        <w:rPr>
          <w:rFonts w:hint="eastAsia" w:ascii="方正小标宋简体" w:eastAsia="方正小标宋简体"/>
          <w:sz w:val="40"/>
          <w:szCs w:val="32"/>
        </w:rPr>
        <w:t>整体支出</w:t>
      </w:r>
    </w:p>
    <w:p w14:paraId="6C1E9021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绩效自评报告</w:t>
      </w:r>
    </w:p>
    <w:p w14:paraId="552CEEFE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left="-10" w:leftChars="0" w:firstLine="640"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部门（单位）基本情况</w:t>
      </w:r>
    </w:p>
    <w:p w14:paraId="17B108A9"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本单位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是</w:t>
      </w:r>
      <w:r>
        <w:rPr>
          <w:rFonts w:hint="eastAsia" w:ascii="仿宋_GB2312" w:hAnsi="仿宋" w:eastAsia="仿宋_GB2312"/>
          <w:sz w:val="32"/>
          <w:szCs w:val="32"/>
        </w:rPr>
        <w:t>渌口区教育局与株洲市幼儿园携手打造的一所全日制公办幼儿园，园所环境优美，配套设施先进齐全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本单位</w:t>
      </w:r>
      <w:r>
        <w:rPr>
          <w:rFonts w:hint="eastAsia" w:ascii="仿宋_GB2312" w:hAnsi="仿宋" w:eastAsia="仿宋_GB2312"/>
          <w:sz w:val="32"/>
          <w:szCs w:val="32"/>
        </w:rPr>
        <w:t>设办公室和四个班级，无其他下设机构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共有编制人员9人，临聘人员7人。</w:t>
      </w:r>
    </w:p>
    <w:p w14:paraId="5076D05C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left="-10" w:leftChars="0" w:firstLine="64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单位主要职能</w:t>
      </w:r>
    </w:p>
    <w:p w14:paraId="63B3EAAC"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从事幼儿保育和教育工作，对3-6岁学龄前儿童实施体、智、德、美、劳诸方面发展的教育及保育，促进其身心健康发展。</w:t>
      </w:r>
    </w:p>
    <w:p w14:paraId="3FD4205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、一般公共预算支出情况</w:t>
      </w:r>
    </w:p>
    <w:p w14:paraId="3720AB7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（一）基本支出情况</w:t>
      </w:r>
    </w:p>
    <w:p w14:paraId="77166F4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本部门2024年一般公共预算支出中基本支出年初预算为41.803909万元，全年预算为88.190348万元，实际支出为88.190348万元。其中人员经费支出为62.644275万元，公用经费支出为25.546073万元。</w:t>
      </w:r>
    </w:p>
    <w:p w14:paraId="27D7DA7F"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项目支出情况</w:t>
      </w:r>
    </w:p>
    <w:p w14:paraId="1C8B4700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600" w:lineRule="exact"/>
        <w:ind w:right="0" w:righ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本年度本部门无项目支出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。</w:t>
      </w:r>
    </w:p>
    <w:p w14:paraId="0C1D52E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、资金使用及绩效情况</w:t>
      </w:r>
    </w:p>
    <w:p w14:paraId="3B50446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（一）整体支出绩效情况</w:t>
      </w:r>
    </w:p>
    <w:p w14:paraId="3E3E4BA5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本部门</w:t>
      </w:r>
      <w:r>
        <w:rPr>
          <w:rFonts w:hint="eastAsia" w:ascii="仿宋_GB2312" w:hAnsi="仿宋" w:eastAsia="仿宋_GB2312"/>
          <w:sz w:val="32"/>
          <w:szCs w:val="32"/>
        </w:rPr>
        <w:t>根据国家方针政策和教育章程，实施优质学前教育，促进基础教育发展，保障辖区内适龄儿童入学及相关社会服务。秉承“传承、创新、研究、示范”的理念，落实“以人为本、以乐为魂”的办园思想，充分发挥示范引领作用，发挥品牌优势，办让社会满意、家长满意、孩子满意的美好教育生态。</w:t>
      </w:r>
    </w:p>
    <w:p w14:paraId="13ADF815">
      <w:pPr>
        <w:pStyle w:val="11"/>
        <w:widowControl/>
        <w:numPr>
          <w:ilvl w:val="0"/>
          <w:numId w:val="0"/>
        </w:numPr>
        <w:spacing w:line="60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预算配置</w:t>
      </w:r>
    </w:p>
    <w:p w14:paraId="0A17A572">
      <w:pPr>
        <w:pStyle w:val="11"/>
        <w:widowControl/>
        <w:numPr>
          <w:ilvl w:val="0"/>
          <w:numId w:val="0"/>
        </w:numPr>
        <w:spacing w:line="600" w:lineRule="exact"/>
        <w:ind w:right="0" w:righ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截至2024年12月31日，本部门核定编制12名，实有在职人员16人（其中财政负担人员9人，临聘人员7人），2024年本部门无“三公经费”预算以及支出。</w:t>
      </w:r>
    </w:p>
    <w:p w14:paraId="7136E6D0">
      <w:pPr>
        <w:pStyle w:val="11"/>
        <w:widowControl/>
        <w:numPr>
          <w:ilvl w:val="0"/>
          <w:numId w:val="0"/>
        </w:numPr>
        <w:spacing w:line="600" w:lineRule="exact"/>
        <w:ind w:left="0" w:leftChars="0" w:right="0" w:righ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预算执行</w:t>
      </w:r>
    </w:p>
    <w:p w14:paraId="1CF4FF8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本部门2024年年初预算为41.803909万元，全年预算为149.165878万元，实际支出为149.165878万元。其中人员经费支出为81.537433万元，公用经费支出为67.628445万元，预算执行率为100%。</w:t>
      </w:r>
    </w:p>
    <w:p w14:paraId="3DF17890">
      <w:pPr>
        <w:pStyle w:val="11"/>
        <w:widowControl/>
        <w:numPr>
          <w:ilvl w:val="0"/>
          <w:numId w:val="0"/>
        </w:numPr>
        <w:spacing w:line="600" w:lineRule="exact"/>
        <w:ind w:left="0" w:leftChars="0" w:right="0" w:righ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（四）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预算管理</w:t>
      </w:r>
    </w:p>
    <w:p w14:paraId="20071D1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，我单位依据国家相关法律法规、财经纪律和财务规章制度，对相关管理制度进行修订和完善，形成《渌口区南洲幼儿园内部控制手册》。在资金使用上，严格遵守各项财经法规和财务管理制度，资金拨付有完整的审批程序和手续，支出符合部门预算批复的用途，无截留、挤占、挪用和虚列开支等情况。我单位按要求在规定时限、规定内容实行预决算公开，基础数据信息和会计信息资料真实、准确、完整。</w:t>
      </w:r>
    </w:p>
    <w:p w14:paraId="3562A1A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、存在的问题及原因分析</w:t>
      </w:r>
    </w:p>
    <w:p w14:paraId="1731E682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right="0" w:firstLine="640" w:firstLineChars="200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1、预算前瞻性不够，因编制人员增加和学生增加等原因，年中预算调整资金较多。2、相关管理制度有待进一步完善。在预算、支出、国有资产管理等方面的制度还不够完善，不便于精准管理。</w:t>
      </w:r>
    </w:p>
    <w:p w14:paraId="46275790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黑体" w:hAnsi="黑体" w:eastAsia="黑体"/>
          <w:sz w:val="32"/>
          <w:szCs w:val="32"/>
        </w:rPr>
        <w:t>下一步改进措施</w:t>
      </w:r>
    </w:p>
    <w:p w14:paraId="0F0CE9DF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600" w:lineRule="exact"/>
        <w:ind w:right="0" w:rightChars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1、科学合理编制预算，严格执行预算。结合上一年度预算执行情况和本年度预算收支变化因素，科学合理的编制本年预算，避免出现预算支出与实际执行出现较大偏差。</w:t>
      </w:r>
    </w:p>
    <w:p w14:paraId="51982DD6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2、完善管理制度，进一步加强管理。加强经费审批和控制，规范支出标准和范围，并严格执行。加强资产管理，厉行节约。</w:t>
      </w:r>
    </w:p>
    <w:p w14:paraId="5558E29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、部门整体支出绩效自评结果拟应用和公开情况</w:t>
      </w:r>
    </w:p>
    <w:p w14:paraId="1579E9D1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本次绩效自评结果在政府门户网公开，并运用到单位整体运行管理中，对不足之处加以改进完善，提高单位整体支出绩效水平。</w:t>
      </w:r>
    </w:p>
    <w:p w14:paraId="4122AC6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 2024年度部门整体支出绩效评价基础数据表</w:t>
      </w:r>
    </w:p>
    <w:p w14:paraId="3BA140A1">
      <w:pPr>
        <w:tabs>
          <w:tab w:val="left" w:pos="7560"/>
        </w:tabs>
        <w:adjustRightInd w:val="0"/>
        <w:snapToGrid w:val="0"/>
        <w:spacing w:line="560" w:lineRule="exac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2024年度部门整体支出绩效自评表</w:t>
      </w:r>
    </w:p>
    <w:p w14:paraId="2022A19F">
      <w:pPr>
        <w:wordWrap w:val="0"/>
        <w:spacing w:line="560" w:lineRule="exact"/>
        <w:rPr>
          <w:rFonts w:ascii="黑体" w:hAnsi="黑体" w:eastAsia="黑体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31" w:right="1531" w:bottom="1814" w:left="1531" w:header="851" w:footer="1588" w:gutter="0"/>
          <w:cols w:space="720" w:num="1"/>
          <w:docGrid w:linePitch="312" w:charSpace="0"/>
        </w:sectPr>
      </w:pPr>
    </w:p>
    <w:p w14:paraId="6F91BF68">
      <w:pPr>
        <w:wordWrap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 w14:paraId="0DB1F0B2">
      <w:pPr>
        <w:spacing w:afterLines="50" w:line="600" w:lineRule="exact"/>
        <w:jc w:val="center"/>
        <w:rPr>
          <w:rFonts w:ascii="方正大标宋简体" w:eastAsia="方正大标宋简体"/>
          <w:sz w:val="24"/>
        </w:rPr>
      </w:pPr>
      <w:r>
        <w:rPr>
          <w:rFonts w:hint="eastAsia" w:ascii="方正大标宋简体" w:eastAsia="方正大标宋简体"/>
          <w:sz w:val="36"/>
          <w:szCs w:val="36"/>
        </w:rPr>
        <w:t>2024年度部门（单位）整体支出绩效评价基础数据表</w:t>
      </w:r>
    </w:p>
    <w:tbl>
      <w:tblPr>
        <w:tblStyle w:val="6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0AEF3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A0A1A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9337D"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3A198"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2024年实际在职人数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AD75D"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控制率</w:t>
            </w:r>
          </w:p>
        </w:tc>
      </w:tr>
      <w:tr w14:paraId="35200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3B1B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24077">
            <w:pPr>
              <w:widowControl/>
              <w:spacing w:line="36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C8DF9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B79FC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75%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 w14:paraId="49FC5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99774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10973D"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2023年决算数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9633416"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2024年预算数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89B941"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2024年决算数</w:t>
            </w:r>
          </w:p>
        </w:tc>
      </w:tr>
      <w:tr w14:paraId="3C7E0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FEFE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39D3713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137915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C29912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 w14:paraId="38F6E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998EB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A78652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EE76E4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E9C247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 w14:paraId="196AC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C590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CF1493C"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B73A7C2"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AC053C"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0</w:t>
            </w:r>
          </w:p>
        </w:tc>
      </w:tr>
      <w:tr w14:paraId="17283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78E21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EED1E3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C80A99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5D9B0F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 w14:paraId="5ABF0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A936A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3BE2F86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B6C863D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8E448AB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 w14:paraId="093C1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2FC54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D0F34E"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3129BF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E4D8C5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 w14:paraId="5CC72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55C20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10B3D5D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2C770C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97341AF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 w14:paraId="5A029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98A57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E7E973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6970112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B0B086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 w14:paraId="1CC62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4D320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0561E42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5D3748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C951F3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 w14:paraId="22C3B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19E6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3、本级专项资金（一个专项一行）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DF54BA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B2BF77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A11325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 w14:paraId="0A362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8DED3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9A7FF1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40.035784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0A40B0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67.628445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B190F6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67.628445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 w14:paraId="4697A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F5E4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A950B0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22.690542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4C99">
            <w:pPr>
              <w:widowControl/>
              <w:spacing w:line="360" w:lineRule="exact"/>
              <w:jc w:val="center"/>
              <w:rPr>
                <w:rFonts w:ascii="仿宋_GB2312" w:eastAsia="仿宋_GB2312" w:hAnsiTheme="minorHAnsi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26.650174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C77FCE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26.650174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 w14:paraId="50026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EDD5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F9D5CD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0.5865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16C2">
            <w:pPr>
              <w:widowControl/>
              <w:spacing w:line="360" w:lineRule="exact"/>
              <w:jc w:val="center"/>
              <w:rPr>
                <w:rFonts w:ascii="仿宋_GB2312" w:eastAsia="仿宋_GB2312" w:hAnsiTheme="minorHAnsi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2.477054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83D812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2.477054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 w14:paraId="2E49F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1F399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2C9801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2.328375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94EB">
            <w:pPr>
              <w:widowControl/>
              <w:spacing w:line="360" w:lineRule="exact"/>
              <w:jc w:val="center"/>
              <w:rPr>
                <w:rFonts w:ascii="仿宋_GB2312" w:eastAsia="仿宋_GB2312" w:hAnsiTheme="minorHAnsi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3.538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6E40824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3.538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 w14:paraId="6DD99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38BF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C55FAD0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E31E">
            <w:pPr>
              <w:widowControl/>
              <w:spacing w:line="360" w:lineRule="exact"/>
              <w:jc w:val="center"/>
              <w:rPr>
                <w:rFonts w:ascii="仿宋_GB2312" w:eastAsia="仿宋_GB2312" w:hAnsiTheme="minorHAnsi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21.74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B83956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21.74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 w14:paraId="63D9F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ECA5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8842498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70C284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E71015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 w14:paraId="4AB3A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E97C1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楼堂馆所控制情况</w:t>
            </w:r>
          </w:p>
          <w:p w14:paraId="0402E86C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（2023年完工项目）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237D7">
            <w:pPr>
              <w:widowControl/>
              <w:spacing w:line="360" w:lineRule="exact"/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t>批复规模</w:t>
            </w:r>
          </w:p>
          <w:p w14:paraId="392A6FE5">
            <w:pPr>
              <w:widowControl/>
              <w:spacing w:line="360" w:lineRule="exact"/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t>（</w:t>
            </w:r>
            <w:r>
              <w:rPr>
                <w:rFonts w:hint="eastAsia" w:ascii="仿宋_GB2312"/>
                <w:bCs/>
                <w:sz w:val="20"/>
                <w:szCs w:val="20"/>
              </w:rPr>
              <w:t>㎡</w:t>
            </w:r>
            <w:r>
              <w:rPr>
                <w:rFonts w:hint="eastAsia" w:ascii="仿宋_GB2312" w:eastAsia="仿宋_GB2312"/>
                <w:bCs/>
                <w:sz w:val="20"/>
                <w:szCs w:val="20"/>
              </w:rPr>
              <w:t>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170C1">
            <w:pPr>
              <w:widowControl/>
              <w:spacing w:line="360" w:lineRule="exact"/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t>实际规模（</w:t>
            </w:r>
            <w:r>
              <w:rPr>
                <w:rFonts w:hint="eastAsia" w:ascii="仿宋_GB2312"/>
                <w:bCs/>
                <w:sz w:val="20"/>
                <w:szCs w:val="20"/>
              </w:rPr>
              <w:t>㎡</w:t>
            </w:r>
            <w:r>
              <w:rPr>
                <w:rFonts w:hint="eastAsia" w:ascii="仿宋_GB2312" w:eastAsia="仿宋_GB2312"/>
                <w:bCs/>
                <w:sz w:val="20"/>
                <w:szCs w:val="20"/>
              </w:rPr>
              <w:t>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F8D97">
            <w:pPr>
              <w:widowControl/>
              <w:spacing w:line="360" w:lineRule="exact"/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DDEB2">
            <w:pPr>
              <w:widowControl/>
              <w:spacing w:line="360" w:lineRule="exact"/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7634B">
            <w:pPr>
              <w:widowControl/>
              <w:spacing w:line="360" w:lineRule="exact"/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3F4D0">
            <w:pPr>
              <w:widowControl/>
              <w:spacing w:line="360" w:lineRule="exact"/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t>投资概算控制率</w:t>
            </w:r>
          </w:p>
        </w:tc>
      </w:tr>
      <w:tr w14:paraId="63090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411B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61496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6E2C0">
            <w:pPr>
              <w:widowControl/>
              <w:spacing w:line="360" w:lineRule="exact"/>
              <w:jc w:val="left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 xml:space="preserve"> 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CB64A">
            <w:pPr>
              <w:widowControl/>
              <w:spacing w:line="360" w:lineRule="exact"/>
              <w:ind w:firstLine="200" w:firstLineChars="100"/>
              <w:jc w:val="left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C3F97">
            <w:pPr>
              <w:widowControl/>
              <w:spacing w:line="360" w:lineRule="exact"/>
              <w:jc w:val="left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41CBE">
            <w:pPr>
              <w:widowControl/>
              <w:spacing w:line="360" w:lineRule="exact"/>
              <w:jc w:val="left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62831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 w14:paraId="308C2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C271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9505D35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</w:tbl>
    <w:p w14:paraId="7E1F4005">
      <w:pPr>
        <w:widowControl/>
        <w:spacing w:line="400" w:lineRule="exact"/>
        <w:jc w:val="left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说明：“项目支出”需要填报基本支出以外的所有项目支出情况，项目支出数与决算数据保持一致。“公用经费”填报基本支出中的一般商品和服务支出。</w:t>
      </w:r>
    </w:p>
    <w:p w14:paraId="2A875BD2">
      <w:pPr>
        <w:tabs>
          <w:tab w:val="left" w:pos="7560"/>
        </w:tabs>
        <w:adjustRightInd w:val="0"/>
        <w:snapToGrid w:val="0"/>
        <w:spacing w:line="560" w:lineRule="exact"/>
        <w:rPr>
          <w:rFonts w:hint="eastAsia"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 xml:space="preserve">填表人： </w:t>
      </w:r>
      <w:r>
        <w:rPr>
          <w:rFonts w:hint="eastAsia" w:ascii="仿宋_GB2312" w:eastAsia="仿宋_GB2312"/>
          <w:sz w:val="22"/>
          <w:lang w:val="en-US" w:eastAsia="zh-CN"/>
        </w:rPr>
        <w:t xml:space="preserve">       </w:t>
      </w:r>
      <w:r>
        <w:rPr>
          <w:rFonts w:hint="eastAsia" w:ascii="仿宋_GB2312" w:eastAsia="仿宋_GB2312"/>
          <w:sz w:val="22"/>
        </w:rPr>
        <w:t>填报日期：</w:t>
      </w:r>
      <w:r>
        <w:rPr>
          <w:rFonts w:hint="eastAsia" w:ascii="仿宋_GB2312" w:eastAsia="仿宋_GB2312"/>
          <w:sz w:val="22"/>
          <w:lang w:val="en-US" w:eastAsia="zh-CN"/>
        </w:rPr>
        <w:t xml:space="preserve">         </w:t>
      </w:r>
      <w:r>
        <w:rPr>
          <w:rFonts w:hint="eastAsia" w:ascii="仿宋_GB2312" w:eastAsia="仿宋_GB2312"/>
          <w:sz w:val="22"/>
        </w:rPr>
        <w:t xml:space="preserve"> 联系电话：</w:t>
      </w:r>
      <w:r>
        <w:rPr>
          <w:rFonts w:hint="eastAsia" w:ascii="仿宋_GB2312" w:eastAsia="仿宋_GB2312"/>
          <w:sz w:val="22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22"/>
        </w:rPr>
        <w:t xml:space="preserve">   单位负责人签字：</w:t>
      </w:r>
    </w:p>
    <w:p w14:paraId="63655B6E">
      <w:pPr>
        <w:tabs>
          <w:tab w:val="left" w:pos="7560"/>
        </w:tabs>
        <w:adjustRightInd w:val="0"/>
        <w:snapToGrid w:val="0"/>
        <w:spacing w:line="560" w:lineRule="exact"/>
        <w:rPr>
          <w:rFonts w:ascii="黑体" w:hAnsi="黑体" w:eastAsia="黑体"/>
          <w:sz w:val="32"/>
          <w:szCs w:val="32"/>
        </w:rPr>
      </w:pPr>
    </w:p>
    <w:p w14:paraId="353B02AB">
      <w:pPr>
        <w:tabs>
          <w:tab w:val="left" w:pos="7560"/>
        </w:tabs>
        <w:adjustRightInd w:val="0"/>
        <w:snapToGrid w:val="0"/>
        <w:spacing w:line="560" w:lineRule="exact"/>
        <w:rPr>
          <w:rFonts w:ascii="黑体" w:hAnsi="黑体" w:eastAsia="黑体"/>
          <w:sz w:val="32"/>
          <w:szCs w:val="32"/>
        </w:rPr>
      </w:pPr>
    </w:p>
    <w:p w14:paraId="1F3CF734">
      <w:pPr>
        <w:tabs>
          <w:tab w:val="left" w:pos="7560"/>
        </w:tabs>
        <w:adjustRightInd w:val="0"/>
        <w:snapToGrid w:val="0"/>
        <w:spacing w:line="560" w:lineRule="exact"/>
        <w:rPr>
          <w:rFonts w:ascii="黑体" w:hAnsi="黑体" w:eastAsia="黑体"/>
          <w:sz w:val="32"/>
          <w:szCs w:val="32"/>
        </w:rPr>
      </w:pPr>
    </w:p>
    <w:p w14:paraId="7B960720">
      <w:pPr>
        <w:tabs>
          <w:tab w:val="left" w:pos="7560"/>
        </w:tabs>
        <w:adjustRightInd w:val="0"/>
        <w:snapToGrid w:val="0"/>
        <w:spacing w:line="560" w:lineRule="exact"/>
        <w:rPr>
          <w:rFonts w:ascii="黑体" w:hAnsi="黑体" w:eastAsia="黑体"/>
          <w:sz w:val="32"/>
          <w:szCs w:val="32"/>
        </w:rPr>
      </w:pPr>
    </w:p>
    <w:p w14:paraId="37B9D462">
      <w:pPr>
        <w:tabs>
          <w:tab w:val="left" w:pos="7560"/>
        </w:tabs>
        <w:adjustRightInd w:val="0"/>
        <w:snapToGrid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 w14:paraId="44773B61">
      <w:pPr>
        <w:widowControl/>
        <w:spacing w:afterLines="50"/>
        <w:jc w:val="center"/>
        <w:rPr>
          <w:rFonts w:ascii="方正大标宋简体" w:eastAsia="方正大标宋简体"/>
          <w:color w:val="000000"/>
          <w:sz w:val="36"/>
          <w:szCs w:val="36"/>
        </w:rPr>
      </w:pPr>
      <w:r>
        <w:rPr>
          <w:rFonts w:hint="eastAsia" w:ascii="方正大标宋简体" w:eastAsia="方正大标宋简体"/>
          <w:color w:val="000000"/>
          <w:sz w:val="36"/>
          <w:szCs w:val="36"/>
        </w:rPr>
        <w:t>2024年度部门（单位）整体支出绩效自评表</w:t>
      </w:r>
    </w:p>
    <w:tbl>
      <w:tblPr>
        <w:tblStyle w:val="6"/>
        <w:tblW w:w="104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945"/>
        <w:gridCol w:w="1110"/>
        <w:gridCol w:w="1900"/>
        <w:gridCol w:w="1130"/>
        <w:gridCol w:w="1185"/>
        <w:gridCol w:w="660"/>
        <w:gridCol w:w="870"/>
        <w:gridCol w:w="1752"/>
      </w:tblGrid>
      <w:tr w14:paraId="727B7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460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市级预算部门（单位）名称</w:t>
            </w:r>
          </w:p>
        </w:tc>
        <w:tc>
          <w:tcPr>
            <w:tcW w:w="74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425B2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株洲市渌口区南州幼儿园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5EA30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D23A6FC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年度预</w:t>
            </w:r>
          </w:p>
          <w:p w14:paraId="0DCF65A7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算申请</w:t>
            </w:r>
          </w:p>
          <w:p w14:paraId="67939CDB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9945A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D3311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年初预算数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F500A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全年预算数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9BD23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全年执行数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C4963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分值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90EBC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执行率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32661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得分</w:t>
            </w:r>
          </w:p>
        </w:tc>
      </w:tr>
      <w:tr w14:paraId="6E640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938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B980E9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6E743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A20C7">
            <w:pPr>
              <w:spacing w:line="24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41.80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E2909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149.16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824E6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149.16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1CBE1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14E76">
            <w:pPr>
              <w:spacing w:line="24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AF82F">
            <w:pPr>
              <w:spacing w:line="24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10</w:t>
            </w:r>
          </w:p>
        </w:tc>
      </w:tr>
      <w:tr w14:paraId="5B818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243FF8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0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F86C3">
            <w:pPr>
              <w:widowControl/>
              <w:spacing w:line="240" w:lineRule="exact"/>
              <w:jc w:val="left"/>
              <w:rPr>
                <w:rFonts w:hint="default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按收入性质分：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149.16</w:t>
            </w:r>
          </w:p>
        </w:tc>
        <w:tc>
          <w:tcPr>
            <w:tcW w:w="44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FEA8D">
            <w:pPr>
              <w:widowControl/>
              <w:spacing w:line="240" w:lineRule="exact"/>
              <w:jc w:val="left"/>
              <w:rPr>
                <w:rFonts w:hint="default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按支出性质分：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149.16</w:t>
            </w:r>
          </w:p>
        </w:tc>
      </w:tr>
      <w:tr w14:paraId="4111F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9E85BA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0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DCCF0">
            <w:pPr>
              <w:widowControl/>
              <w:spacing w:line="240" w:lineRule="exact"/>
              <w:jc w:val="left"/>
              <w:rPr>
                <w:rFonts w:hint="default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88.19</w:t>
            </w:r>
          </w:p>
        </w:tc>
        <w:tc>
          <w:tcPr>
            <w:tcW w:w="44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2FF3C">
            <w:pPr>
              <w:widowControl/>
              <w:spacing w:line="240" w:lineRule="exact"/>
              <w:jc w:val="left"/>
              <w:rPr>
                <w:rFonts w:hint="default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其中：基本支出：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149.16</w:t>
            </w:r>
          </w:p>
        </w:tc>
      </w:tr>
      <w:tr w14:paraId="2B7CF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7EC67E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0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87146"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政府性基金拨款：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4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1E89A">
            <w:pPr>
              <w:widowControl/>
              <w:spacing w:line="240" w:lineRule="exact"/>
              <w:ind w:firstLine="600" w:firstLineChars="300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项目支出：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240F3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8F3DE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0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D418C"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纳入专户管理的非税收入拨款：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4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CDB1B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707CA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40B18B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0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F16A3"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其他资金：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60.97</w:t>
            </w:r>
          </w:p>
        </w:tc>
        <w:tc>
          <w:tcPr>
            <w:tcW w:w="44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376B0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1D71E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DFAEC6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50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3DF9485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43402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 w14:paraId="3BE8E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F83F9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0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D25BAB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秉承“传承、创新、研究、示范”的理念，落实“以人为本、以乐为魂”的办园思想，充分发挥示范引领作用，发挥品牌优势，办让社会满意、家长满意、孩子满意的美好教育生态。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　</w:t>
            </w:r>
          </w:p>
        </w:tc>
        <w:tc>
          <w:tcPr>
            <w:tcW w:w="4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C994C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理念和办园思想深入人心，示范引领作用和品牌效应进一步增强，初步实现社会家长和孩子满意的美好教育生态。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4A19F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DB9A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绩</w:t>
            </w:r>
          </w:p>
          <w:p w14:paraId="5A634A01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效</w:t>
            </w:r>
          </w:p>
          <w:p w14:paraId="6EC53981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指</w:t>
            </w:r>
          </w:p>
          <w:p w14:paraId="3424AE91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标</w:t>
            </w:r>
          </w:p>
          <w:p w14:paraId="68ECC458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77BD7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0943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04ED4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D095C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年度指标值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AD3D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实际完成值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A9F88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分值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C43AA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得分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A2BF7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偏差原因分析及改进措施</w:t>
            </w:r>
          </w:p>
        </w:tc>
      </w:tr>
      <w:tr w14:paraId="457A1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A6553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1091C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产出指标</w:t>
            </w:r>
          </w:p>
          <w:p w14:paraId="1F58C175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14:paraId="20D7DD37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(40分)</w:t>
            </w:r>
          </w:p>
          <w:p w14:paraId="22B592A0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  <w:p w14:paraId="18FFB234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0FC245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数量指标</w:t>
            </w:r>
          </w:p>
          <w:p w14:paraId="35C41535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1C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开设班级数量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9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92EA9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9612D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1A447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52323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43D96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0A92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5DCDF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B8E7B8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1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培育幼儿数量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5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0101">
            <w:pPr>
              <w:widowControl/>
              <w:spacing w:line="240" w:lineRule="exact"/>
              <w:jc w:val="center"/>
              <w:rPr>
                <w:rFonts w:hint="default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142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6C86F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813D7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E5B6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77028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7762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2CE59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957119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4C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预算指标支付率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4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85638">
            <w:pPr>
              <w:widowControl/>
              <w:spacing w:line="240" w:lineRule="exact"/>
              <w:jc w:val="center"/>
              <w:rPr>
                <w:rFonts w:hint="default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98546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F1934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FE243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16D8A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606C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9DA77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98C9F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AC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家长开放日活动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A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E6736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0C1A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3A169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F87A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10EC8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F696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0BB36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5549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85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完成教学论文撰写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FD594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0F592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E286E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A134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4630D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383B3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6E897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D3CACB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质量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1C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幼儿评估合格率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4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421C">
            <w:pPr>
              <w:widowControl/>
              <w:spacing w:line="240" w:lineRule="exact"/>
              <w:jc w:val="center"/>
              <w:rPr>
                <w:rFonts w:hint="default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3B806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18C89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E607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388DE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24566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5CFBB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55C5C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36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教师年度考核合格率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9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6E74">
            <w:pPr>
              <w:widowControl/>
              <w:spacing w:line="240" w:lineRule="exact"/>
              <w:jc w:val="center"/>
              <w:rPr>
                <w:rFonts w:hint="default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5DC4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46965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E737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692BE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2EB0F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CF8F0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88C8B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7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项目完成合格率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52902">
            <w:pPr>
              <w:widowControl/>
              <w:spacing w:line="240" w:lineRule="exact"/>
              <w:jc w:val="center"/>
              <w:rPr>
                <w:rFonts w:hint="default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490B2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D473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AFE89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6387B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7B60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76FD0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839F">
            <w:pPr>
              <w:widowControl/>
              <w:spacing w:line="240" w:lineRule="exact"/>
              <w:jc w:val="both"/>
              <w:rPr>
                <w:rFonts w:hint="default" w:ascii="仿宋_GB2312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时效指标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0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人员经费按期支付率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4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2F684">
            <w:pPr>
              <w:widowControl/>
              <w:spacing w:line="240" w:lineRule="exact"/>
              <w:jc w:val="center"/>
              <w:rPr>
                <w:rFonts w:hint="default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96F4D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30753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C5841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5FA24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FDAD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D20C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效益指标</w:t>
            </w:r>
          </w:p>
          <w:p w14:paraId="47308CC5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14:paraId="51A37601"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（20分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16067D">
            <w:pPr>
              <w:widowControl/>
              <w:spacing w:line="240" w:lineRule="exact"/>
              <w:jc w:val="center"/>
              <w:rPr>
                <w:rFonts w:hint="default" w:ascii="仿宋_GB2312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A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学校教育教学质量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D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稳步提升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BA283">
            <w:pPr>
              <w:widowControl/>
              <w:spacing w:line="240" w:lineRule="exact"/>
              <w:jc w:val="center"/>
              <w:rPr>
                <w:rFonts w:hint="default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稳步提升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80FD4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39540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F870B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2EF1B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92B4B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424A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EBA6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8A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学校安全运转，无各项违规现象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C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达到考核要求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E995">
            <w:pPr>
              <w:widowControl/>
              <w:spacing w:line="240" w:lineRule="exact"/>
              <w:jc w:val="center"/>
              <w:rPr>
                <w:rFonts w:hint="default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达到考核要求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41F95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F8901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040EA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78CEC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9CE59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606F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AB32B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B7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学校教育教研及创新氛围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1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有效形成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C454B">
            <w:pPr>
              <w:widowControl/>
              <w:spacing w:line="240" w:lineRule="exact"/>
              <w:jc w:val="center"/>
              <w:rPr>
                <w:rFonts w:hint="default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有效形成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3D95">
            <w:pPr>
              <w:widowControl/>
              <w:spacing w:line="240" w:lineRule="exact"/>
              <w:jc w:val="center"/>
              <w:rPr>
                <w:rFonts w:hint="default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B884">
            <w:pPr>
              <w:widowControl/>
              <w:spacing w:line="240" w:lineRule="exact"/>
              <w:jc w:val="center"/>
              <w:rPr>
                <w:rFonts w:hint="default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0A51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26A3D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041E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94A91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满意度</w:t>
            </w:r>
          </w:p>
          <w:p w14:paraId="45DFAEC6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指标</w:t>
            </w:r>
          </w:p>
          <w:p w14:paraId="7C615E82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ACCB3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AE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3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4C04">
            <w:pPr>
              <w:widowControl/>
              <w:spacing w:line="240" w:lineRule="exact"/>
              <w:jc w:val="center"/>
              <w:rPr>
                <w:rFonts w:hint="default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96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3A54C">
            <w:pPr>
              <w:widowControl/>
              <w:spacing w:line="240" w:lineRule="exact"/>
              <w:jc w:val="center"/>
              <w:rPr>
                <w:rFonts w:hint="default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40B43">
            <w:pPr>
              <w:widowControl/>
              <w:spacing w:line="240" w:lineRule="exact"/>
              <w:jc w:val="center"/>
              <w:rPr>
                <w:rFonts w:hint="default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9AFA5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65B41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B5446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5011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923FC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1F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主管部门满意度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84CA">
            <w:pPr>
              <w:widowControl/>
              <w:spacing w:line="240" w:lineRule="exact"/>
              <w:jc w:val="center"/>
              <w:rPr>
                <w:rFonts w:hint="default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B623">
            <w:pPr>
              <w:widowControl/>
              <w:spacing w:line="240" w:lineRule="exact"/>
              <w:jc w:val="center"/>
              <w:rPr>
                <w:rFonts w:hint="default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4CF0">
            <w:pPr>
              <w:widowControl/>
              <w:spacing w:line="240" w:lineRule="exact"/>
              <w:jc w:val="center"/>
              <w:rPr>
                <w:rFonts w:hint="default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78357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15198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29CC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BCBE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成本指标（20分）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FC5E4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经济成本指标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93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D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40.772644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44F6">
            <w:pPr>
              <w:widowControl/>
              <w:spacing w:line="240" w:lineRule="exact"/>
              <w:jc w:val="center"/>
              <w:rPr>
                <w:rFonts w:hint="default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81.5374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8957">
            <w:pPr>
              <w:widowControl/>
              <w:spacing w:line="240" w:lineRule="exact"/>
              <w:jc w:val="center"/>
              <w:rPr>
                <w:rFonts w:hint="default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63883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7C93C">
            <w:pPr>
              <w:widowControl/>
              <w:spacing w:line="240" w:lineRule="exact"/>
              <w:jc w:val="center"/>
              <w:rPr>
                <w:rFonts w:hint="default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0"/>
                <w:szCs w:val="10"/>
                <w:lang w:val="en-US" w:eastAsia="zh-CN"/>
              </w:rPr>
              <w:t>人员增加，开支增加，后期核算更及时准确</w:t>
            </w:r>
          </w:p>
        </w:tc>
      </w:tr>
      <w:tr w14:paraId="5EE78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AD47C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B5769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A8C2E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51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公用经费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6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1.031265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61964">
            <w:pPr>
              <w:widowControl/>
              <w:spacing w:line="240" w:lineRule="exact"/>
              <w:jc w:val="center"/>
              <w:rPr>
                <w:rFonts w:hint="default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67.6284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9FC2D">
            <w:pPr>
              <w:widowControl/>
              <w:spacing w:line="240" w:lineRule="exact"/>
              <w:jc w:val="center"/>
              <w:rPr>
                <w:rFonts w:hint="default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5E220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B7C4">
            <w:pPr>
              <w:widowControl/>
              <w:spacing w:line="240" w:lineRule="exact"/>
              <w:jc w:val="center"/>
              <w:rPr>
                <w:rFonts w:hint="default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0"/>
                <w:szCs w:val="10"/>
                <w:lang w:val="en-US" w:eastAsia="zh-CN"/>
              </w:rPr>
              <w:t>年初只预算了工会经费和福利费实际完成值包括其他公用经费项目</w:t>
            </w:r>
          </w:p>
        </w:tc>
      </w:tr>
      <w:tr w14:paraId="0317B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3F680E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BCEF9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BEF24">
            <w:pPr>
              <w:widowControl/>
              <w:spacing w:line="240" w:lineRule="exact"/>
              <w:jc w:val="left"/>
              <w:rPr>
                <w:rFonts w:hint="default" w:ascii="仿宋_GB2312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905EB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</w:tbl>
    <w:p w14:paraId="48AFFC29">
      <w:pPr>
        <w:tabs>
          <w:tab w:val="left" w:pos="7560"/>
        </w:tabs>
        <w:adjustRightInd w:val="0"/>
        <w:snapToGrid w:val="0"/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eastAsia="仿宋_GB2312"/>
          <w:sz w:val="22"/>
          <w:szCs w:val="22"/>
        </w:rPr>
        <w:t xml:space="preserve">填表人：   </w:t>
      </w:r>
      <w:r>
        <w:rPr>
          <w:rFonts w:hint="eastAsia" w:eastAsia="仿宋_GB2312"/>
          <w:sz w:val="22"/>
          <w:szCs w:val="22"/>
          <w:lang w:val="en-US" w:eastAsia="zh-CN"/>
        </w:rPr>
        <w:t xml:space="preserve">  </w:t>
      </w:r>
      <w:r>
        <w:rPr>
          <w:rFonts w:eastAsia="仿宋_GB2312"/>
          <w:sz w:val="22"/>
          <w:szCs w:val="22"/>
        </w:rPr>
        <w:t xml:space="preserve">  填报日期：         联系电话：     </w:t>
      </w:r>
      <w:r>
        <w:rPr>
          <w:rFonts w:hint="eastAsia" w:eastAsia="仿宋_GB2312"/>
          <w:sz w:val="22"/>
          <w:szCs w:val="22"/>
        </w:rPr>
        <w:t xml:space="preserve">           </w:t>
      </w:r>
      <w:r>
        <w:rPr>
          <w:rFonts w:eastAsia="仿宋_GB2312"/>
          <w:sz w:val="22"/>
          <w:szCs w:val="22"/>
        </w:rPr>
        <w:t>单位负责人签字：</w:t>
      </w:r>
      <w:bookmarkStart w:id="0" w:name="_GoBack"/>
      <w:bookmarkEnd w:id="0"/>
    </w:p>
    <w:sectPr>
      <w:footerReference r:id="rId5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49D8D0-556D-4914-86D7-66CC365735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B73B1D7-20F1-4FBE-A8D2-3AFE00D9C8A2}"/>
  </w:font>
  <w:font w:name="方正书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E52BBC63-C64C-4DAF-8F4A-3D1966FABB1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9A1362D2-10AB-4DC1-8D99-BCDA99E7210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38C82CF-221D-4569-998C-9403C1A13CB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5681AED9-E162-4BE1-9DD8-8C8457439AB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7" w:fontKey="{C6C10E0E-B5E5-49CF-AB41-5900032A1D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E2420">
    <w:pPr>
      <w:pStyle w:val="4"/>
      <w:framePr w:wrap="around" w:vAnchor="text" w:hAnchor="margin" w:xAlign="outside" w:y="1"/>
      <w:rPr>
        <w:rStyle w:val="9"/>
        <w:rFonts w:ascii="宋体"/>
        <w:sz w:val="28"/>
        <w:szCs w:val="28"/>
      </w:rPr>
    </w:pPr>
    <w:r>
      <w:rPr>
        <w:rStyle w:val="9"/>
        <w:rFonts w:hint="eastAsia" w:ascii="宋体"/>
        <w:color w:val="FFFFFF"/>
        <w:sz w:val="28"/>
        <w:szCs w:val="28"/>
      </w:rPr>
      <w:t>—</w:t>
    </w:r>
    <w:r>
      <w:rPr>
        <w:rStyle w:val="9"/>
        <w:rFonts w:hint="eastAsia" w:ascii="宋体"/>
        <w:sz w:val="28"/>
        <w:szCs w:val="28"/>
      </w:rPr>
      <w:t xml:space="preserve">— </w:t>
    </w:r>
    <w:r>
      <w:rPr>
        <w:rStyle w:val="9"/>
        <w:rFonts w:hint="eastAsia" w:ascii="宋体"/>
        <w:sz w:val="28"/>
        <w:szCs w:val="28"/>
      </w:rPr>
      <w:fldChar w:fldCharType="begin"/>
    </w:r>
    <w:r>
      <w:rPr>
        <w:rStyle w:val="9"/>
        <w:rFonts w:hint="eastAsia" w:ascii="宋体"/>
        <w:sz w:val="28"/>
        <w:szCs w:val="28"/>
      </w:rPr>
      <w:instrText xml:space="preserve">PAGE  </w:instrText>
    </w:r>
    <w:r>
      <w:rPr>
        <w:rStyle w:val="9"/>
        <w:rFonts w:hint="eastAsia" w:ascii="宋体"/>
        <w:sz w:val="28"/>
        <w:szCs w:val="28"/>
      </w:rPr>
      <w:fldChar w:fldCharType="separate"/>
    </w:r>
    <w:r>
      <w:rPr>
        <w:rStyle w:val="9"/>
        <w:rFonts w:ascii="宋体"/>
        <w:sz w:val="28"/>
        <w:szCs w:val="28"/>
      </w:rPr>
      <w:t>7</w:t>
    </w:r>
    <w:r>
      <w:rPr>
        <w:rStyle w:val="9"/>
        <w:rFonts w:hint="eastAsia" w:ascii="宋体"/>
        <w:sz w:val="28"/>
        <w:szCs w:val="28"/>
      </w:rPr>
      <w:fldChar w:fldCharType="end"/>
    </w:r>
    <w:r>
      <w:rPr>
        <w:rStyle w:val="9"/>
        <w:rFonts w:hint="eastAsia" w:ascii="宋体"/>
        <w:sz w:val="28"/>
        <w:szCs w:val="28"/>
      </w:rPr>
      <w:t xml:space="preserve"> —</w:t>
    </w:r>
    <w:r>
      <w:rPr>
        <w:rStyle w:val="9"/>
        <w:rFonts w:hint="eastAsia" w:ascii="宋体"/>
        <w:color w:val="FFFFFF"/>
        <w:sz w:val="28"/>
        <w:szCs w:val="28"/>
      </w:rPr>
      <w:t>—</w:t>
    </w:r>
  </w:p>
  <w:p w14:paraId="35B5A6DE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F4F01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 xml:space="preserve"> </w:t>
    </w:r>
    <w:r>
      <w:rPr>
        <w:rStyle w:val="9"/>
      </w:rPr>
      <w:fldChar w:fldCharType="end"/>
    </w:r>
  </w:p>
  <w:p w14:paraId="51373D42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3923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3F405F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3F405F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14B1C4"/>
    <w:multiLevelType w:val="singleLevel"/>
    <w:tmpl w:val="3F14B1C4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1">
    <w:nsid w:val="6E33216E"/>
    <w:multiLevelType w:val="singleLevel"/>
    <w:tmpl w:val="6E33216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jYzExODI0M2QyMWRlNGMxYjMyYTg1ZTEzYWI3NmYifQ=="/>
  </w:docVars>
  <w:rsids>
    <w:rsidRoot w:val="00222CFF"/>
    <w:rsid w:val="00051120"/>
    <w:rsid w:val="00222CFF"/>
    <w:rsid w:val="0094708B"/>
    <w:rsid w:val="05436869"/>
    <w:rsid w:val="0D564DFD"/>
    <w:rsid w:val="0DB57CB4"/>
    <w:rsid w:val="0E8845BE"/>
    <w:rsid w:val="11F52809"/>
    <w:rsid w:val="14274190"/>
    <w:rsid w:val="18D620ED"/>
    <w:rsid w:val="18D97BBF"/>
    <w:rsid w:val="1C9A5481"/>
    <w:rsid w:val="1EE65901"/>
    <w:rsid w:val="1F397586"/>
    <w:rsid w:val="20221513"/>
    <w:rsid w:val="20D3551B"/>
    <w:rsid w:val="21C276E9"/>
    <w:rsid w:val="2AB16E74"/>
    <w:rsid w:val="2B3A3086"/>
    <w:rsid w:val="2B95569E"/>
    <w:rsid w:val="2EFFB905"/>
    <w:rsid w:val="37A570FA"/>
    <w:rsid w:val="3E6A6D4F"/>
    <w:rsid w:val="3FE693AD"/>
    <w:rsid w:val="4035158F"/>
    <w:rsid w:val="455137CA"/>
    <w:rsid w:val="487E38BF"/>
    <w:rsid w:val="4A9A5B32"/>
    <w:rsid w:val="4AF01932"/>
    <w:rsid w:val="4D64534B"/>
    <w:rsid w:val="4DD57ADF"/>
    <w:rsid w:val="4F3BD62E"/>
    <w:rsid w:val="4F7B637A"/>
    <w:rsid w:val="52404BF1"/>
    <w:rsid w:val="524C14DA"/>
    <w:rsid w:val="536974C6"/>
    <w:rsid w:val="53CB15B5"/>
    <w:rsid w:val="577C6C0C"/>
    <w:rsid w:val="590F614C"/>
    <w:rsid w:val="5E3D48E1"/>
    <w:rsid w:val="6186789B"/>
    <w:rsid w:val="63B32BC4"/>
    <w:rsid w:val="64CB5136"/>
    <w:rsid w:val="6B0851D1"/>
    <w:rsid w:val="73FD1AE5"/>
    <w:rsid w:val="77B909F0"/>
    <w:rsid w:val="78540864"/>
    <w:rsid w:val="7BFFF342"/>
    <w:rsid w:val="7CC578AC"/>
    <w:rsid w:val="7CFFB774"/>
    <w:rsid w:val="7F4D52D0"/>
    <w:rsid w:val="7F55F449"/>
    <w:rsid w:val="9F7F477C"/>
    <w:rsid w:val="B3BDE00E"/>
    <w:rsid w:val="BB96D3B8"/>
    <w:rsid w:val="BEB6EF53"/>
    <w:rsid w:val="DFFB7864"/>
    <w:rsid w:val="E7FFF3A3"/>
    <w:rsid w:val="EDFEBBDF"/>
    <w:rsid w:val="FEFA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576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0"/>
    <w:rPr>
      <w:rFonts w:hint="eastAsia" w:ascii="宋体" w:hAnsi="宋体" w:eastAsia="宋体" w:cs="Times New Roman"/>
      <w:sz w:val="33"/>
      <w:szCs w:val="33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标题 1 Char"/>
    <w:basedOn w:val="8"/>
    <w:link w:val="2"/>
    <w:qFormat/>
    <w:uiPriority w:val="0"/>
    <w:rPr>
      <w:rFonts w:hint="default" w:ascii="Calibri" w:hAnsi="Calibri" w:cs="Calibri"/>
      <w:b/>
      <w:bCs/>
      <w:kern w:val="44"/>
      <w:sz w:val="44"/>
      <w:szCs w:val="44"/>
    </w:rPr>
  </w:style>
  <w:style w:type="paragraph" w:customStyle="1" w:styleId="11">
    <w:name w:val="msolistparagraph"/>
    <w:basedOn w:val="1"/>
    <w:qFormat/>
    <w:uiPriority w:val="0"/>
    <w:pPr>
      <w:ind w:left="1079" w:hanging="309"/>
    </w:pPr>
    <w:rPr>
      <w:rFonts w:hint="eastAsia" w:ascii="宋体" w:hAnsi="宋体" w:eastAsia="宋体" w:cs="Times New Roman"/>
      <w:szCs w:val="22"/>
    </w:rPr>
  </w:style>
  <w:style w:type="character" w:customStyle="1" w:styleId="12">
    <w:name w:val="正文文本 Char"/>
    <w:basedOn w:val="8"/>
    <w:link w:val="3"/>
    <w:qFormat/>
    <w:uiPriority w:val="0"/>
    <w:rPr>
      <w:rFonts w:hint="eastAsia" w:ascii="宋体" w:hAnsi="宋体" w:eastAsia="宋体" w:cs="宋体"/>
      <w:kern w:val="2"/>
      <w:sz w:val="33"/>
      <w:szCs w:val="33"/>
    </w:rPr>
  </w:style>
  <w:style w:type="character" w:customStyle="1" w:styleId="13">
    <w:name w:val="font41"/>
    <w:basedOn w:val="8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4">
    <w:name w:val="font01"/>
    <w:basedOn w:val="8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2243</Words>
  <Characters>2582</Characters>
  <Lines>73</Lines>
  <Paragraphs>20</Paragraphs>
  <TotalTime>2</TotalTime>
  <ScaleCrop>false</ScaleCrop>
  <LinksUpToDate>false</LinksUpToDate>
  <CharactersWithSpaces>2773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2021-03-24T07:15:00Z</dcterms:created>
  <dc:creator>Administrator</dc:creator>
  <cp:lastModifiedBy>妈妈说我长高了</cp:lastModifiedBy>
  <cp:lastPrinted>2025-05-22T02:56:00Z</cp:lastPrinted>
  <dcterms:modified xsi:type="dcterms:W3CDTF">2025-10-16T23:33:44Z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EC7E8028A2C04230A657404E08FAEC19_13</vt:lpwstr>
  </property>
  <property fmtid="{D5CDD505-2E9C-101B-9397-08002B2CF9AE}" pid="4" name="KSOTemplateDocerSaveRecord">
    <vt:lpwstr>eyJoZGlkIjoiMGI0MDVmYzdhOTdlYjA1ZjY5MTBiNDY4MGMzYjAxYzMiLCJ1c2VySWQiOiIxNzkzNTg1NCJ9</vt:lpwstr>
  </property>
</Properties>
</file>