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6C112">
      <w:pPr>
        <w:jc w:val="center"/>
        <w:rPr>
          <w:rFonts w:ascii="方正小标宋简体" w:eastAsia="方正小标宋简体"/>
          <w:sz w:val="40"/>
          <w:szCs w:val="32"/>
        </w:rPr>
      </w:pPr>
      <w:r>
        <w:rPr>
          <w:rFonts w:hint="eastAsia" w:ascii="方正小标宋简体" w:eastAsia="方正小标宋简体"/>
          <w:sz w:val="40"/>
          <w:szCs w:val="32"/>
        </w:rPr>
        <w:t>2024年度株洲市渌口区文化旅游广</w:t>
      </w:r>
    </w:p>
    <w:p w14:paraId="501C81C9">
      <w:pPr>
        <w:jc w:val="center"/>
        <w:rPr>
          <w:rFonts w:ascii="方正小标宋简体" w:eastAsia="方正小标宋简体"/>
          <w:sz w:val="40"/>
          <w:szCs w:val="32"/>
        </w:rPr>
      </w:pPr>
      <w:r>
        <w:rPr>
          <w:rFonts w:hint="eastAsia" w:ascii="方正小标宋简体" w:eastAsia="方正小标宋简体"/>
          <w:sz w:val="40"/>
          <w:szCs w:val="32"/>
        </w:rPr>
        <w:t>电体育局部门整体支出</w:t>
      </w:r>
    </w:p>
    <w:p w14:paraId="57463528">
      <w:pPr>
        <w:jc w:val="center"/>
        <w:rPr>
          <w:rFonts w:ascii="仿宋_GB2312" w:eastAsia="仿宋_GB2312"/>
          <w:sz w:val="32"/>
          <w:szCs w:val="32"/>
        </w:rPr>
      </w:pPr>
      <w:r>
        <w:rPr>
          <w:rFonts w:hint="eastAsia" w:ascii="方正小标宋简体" w:eastAsia="方正小标宋简体"/>
          <w:sz w:val="40"/>
          <w:szCs w:val="32"/>
        </w:rPr>
        <w:t>绩效自评报告</w:t>
      </w:r>
    </w:p>
    <w:p w14:paraId="55A4A1A1">
      <w:pPr>
        <w:tabs>
          <w:tab w:val="left" w:pos="7560"/>
        </w:tabs>
        <w:adjustRightInd w:val="0"/>
        <w:snapToGrid w:val="0"/>
        <w:spacing w:line="560" w:lineRule="exact"/>
        <w:ind w:firstLine="640" w:firstLineChars="200"/>
        <w:rPr>
          <w:rFonts w:hint="eastAsia" w:ascii="黑体" w:hAnsi="黑体" w:eastAsia="黑体"/>
          <w:sz w:val="32"/>
          <w:szCs w:val="32"/>
        </w:rPr>
      </w:pPr>
    </w:p>
    <w:p w14:paraId="46E6E15D">
      <w:pPr>
        <w:tabs>
          <w:tab w:val="left" w:pos="7560"/>
        </w:tabs>
        <w:adjustRightInd w:val="0"/>
        <w:snapToGrid w:val="0"/>
        <w:spacing w:line="560" w:lineRule="exact"/>
        <w:ind w:firstLine="640" w:firstLineChars="200"/>
        <w:rPr>
          <w:rFonts w:ascii="黑体" w:hAnsi="黑体" w:eastAsia="黑体"/>
          <w:sz w:val="32"/>
          <w:szCs w:val="32"/>
        </w:rPr>
      </w:pPr>
      <w:bookmarkStart w:id="2" w:name="_GoBack"/>
      <w:bookmarkEnd w:id="2"/>
      <w:r>
        <w:rPr>
          <w:rFonts w:hint="eastAsia" w:ascii="黑体" w:hAnsi="黑体" w:eastAsia="黑体"/>
          <w:sz w:val="32"/>
          <w:szCs w:val="32"/>
        </w:rPr>
        <w:t>一、部门（单位）基本情况</w:t>
      </w:r>
    </w:p>
    <w:p w14:paraId="496F973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（一）基本情况。</w:t>
      </w:r>
    </w:p>
    <w:p w14:paraId="7C76169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1．主要职能。</w:t>
      </w:r>
    </w:p>
    <w:p w14:paraId="39902C45">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（一）贯彻执行党和国家、省、市有关文化、旅游、广播电视、体育的方针政策和法律法规；组织拟订并实施全区文化旅游广播电视体育事业发展规划。</w:t>
      </w:r>
    </w:p>
    <w:p w14:paraId="107EE9AC">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二）管理、指导全区性的文化、旅游、广播电视、体育活动，协调、指导全区重点文化、旅游、广播电视及体育基础设施建设，负责组织全区文化旅游整体形象宣传推广，拟订旅游市场开发营销战略并组织实施，指导、推进全域旅游。</w:t>
      </w:r>
    </w:p>
    <w:p w14:paraId="5DBB4DA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（三）指导全区文化、旅游、广播电视、体育市场发展，负责对全区文化、旅游、广播电视、体育市场经营活动的监督管理。</w:t>
      </w:r>
    </w:p>
    <w:p w14:paraId="1C803B3F">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四）负责全区公共文化、旅游、广播电视、体育事业发展，推进全区公共文化、旅游、广播电视、体育服务体系建设，负责全区公共文化、体育设施监督管理，深入实施相关惠民工程，统筹推进基本公共服务标准化、均等化。</w:t>
      </w:r>
    </w:p>
    <w:p w14:paraId="4CD4AEA7">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（五）统筹规划全区文化、旅游、广播电视、体育产业，组织实施文化和旅游、广播电视、体育资源普查、挖掘、保护和利用工作，促进各门类产业发展工作。</w:t>
      </w:r>
    </w:p>
    <w:p w14:paraId="2D4B08A1">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（六）指导、推进全区文化、旅游、广播电视、体育与科技创新发展，推进行业信息化、标准化建设。推动智慧文化、旅游、广播电视、体育发展。</w:t>
      </w:r>
    </w:p>
    <w:p w14:paraId="20A89D1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（七）指导、管理全区文艺事业，指导艺术创作生产，扶持体现社会主义核心价值观、具有导向性代表性示范性的文艺作品，推动各门类艺术、各艺术品种发展。</w:t>
      </w:r>
    </w:p>
    <w:p w14:paraId="22422DA7">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（八）负责全区非物质文化遗产保护，推动非物质文化遗产发掘、保护、传承、普及、弘扬和振兴。</w:t>
      </w:r>
    </w:p>
    <w:p w14:paraId="5F6635E0">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九）负责全区文物保护和考古工作。指导和管理全区文物调查、申报、保护、抢救、维修和利用工作；组织全区考古调查勘探发掘项目及发掘单位和领队人员资格的申报及考古项目的管理；组织国家考古遗址公园的申报；依据《株洲市工业遗产保护条例》开展全区工业遗产调查、认定、申报、保护和利用工作；协同有关部门开展历史文化名城（镇、村）和传统村落的保护和监督管理工作。</w:t>
      </w:r>
    </w:p>
    <w:p w14:paraId="074860A2">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（十）负责全区博物馆、纪念馆和社会文物流通市场工作。负责申报文物商店和文物拍卖公司的设立和注销；负责依法管理社会文物流通市场；负责全区行业博物馆和民办博物馆的申报。</w:t>
      </w:r>
    </w:p>
    <w:p w14:paraId="1C05A8ED">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（十一）负责全区文化市场综合执法。组织查处全区文化、文物、出版、广播电视、电影、旅游、体育等市场的违法行为，督察督办大案要案，维护市场秩序。配合相关部门协助做好“扫黄打非”工作。</w:t>
      </w:r>
    </w:p>
    <w:p w14:paraId="302C8A7F">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（十二）指导电视剧行业发展和电视剧创作生产。监督管理、审查广播电视节目、网络视听节目的内容和质量。指导监督广播电视广告播放。</w:t>
      </w:r>
    </w:p>
    <w:p w14:paraId="5755C40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（十三）负责对各类广播电视机构进行业务指导和行业监管。负责对广播电视节目传输覆盖、监测和安全播出进行监管，指导、推进应急广播体系建设。</w:t>
      </w:r>
    </w:p>
    <w:p w14:paraId="2050C3F8">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十四）统筹规划群众体育发展，组织推行全民健身计划，指导全区群众性体育活动的开展；监督实施国家体育锻炼标准，开展国民体质监测和社会体育指导工作队伍制度建设。指导管理业余体校。负责全区体育彩票的发行管理工作。</w:t>
      </w:r>
    </w:p>
    <w:p w14:paraId="64B964FF">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（十五）统筹规划竞技体育发展，组织管理体育训练、体育竞赛、运动队伍建设；指导和推进青少年体育工作，协调体育后备人才基地建设工作；负责全区青少年竞技体育人才的培训和输送。</w:t>
      </w:r>
    </w:p>
    <w:p w14:paraId="2D063E37">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（十六）负责全区文化、旅游、广播电视、体育领域的行政审核、审批等工作。</w:t>
      </w:r>
    </w:p>
    <w:p w14:paraId="74A361F3">
      <w:pPr>
        <w:tabs>
          <w:tab w:val="left" w:pos="7560"/>
        </w:tabs>
        <w:adjustRightInd w:val="0"/>
        <w:snapToGrid w:val="0"/>
        <w:spacing w:line="560" w:lineRule="exact"/>
        <w:rPr>
          <w:rFonts w:ascii="仿宋_GB2312" w:eastAsia="仿宋_GB2312"/>
          <w:sz w:val="32"/>
          <w:szCs w:val="32"/>
        </w:rPr>
      </w:pPr>
      <w:r>
        <w:rPr>
          <w:rFonts w:hint="eastAsia" w:ascii="仿宋_GB2312" w:eastAsia="仿宋_GB2312"/>
          <w:sz w:val="32"/>
          <w:szCs w:val="32"/>
        </w:rPr>
        <w:t>　 （十七）负责全区文化、旅游、广播电视、体育领域的行政被复议和行政应诉工作。</w:t>
      </w:r>
    </w:p>
    <w:p w14:paraId="716D313A">
      <w:pPr>
        <w:tabs>
          <w:tab w:val="left" w:pos="7560"/>
        </w:tabs>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（十八）承办区委、区人民政府交办的其他事项。</w:t>
      </w:r>
    </w:p>
    <w:p w14:paraId="125CB4D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2．机构情况，包括当年变动情况及原因。</w:t>
      </w:r>
    </w:p>
    <w:p w14:paraId="2870F69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株洲市渌口区文化旅游广电体育局是区人民政府工作部门，主管文化旅游、广播电视、体育工作的正科级行政机关，属区财政全额拨款一级预算单位。现有股室7个，分别是：办公室、文化艺术股、广播电视股、文物股、旅游管理股、体育股、行政审批股。</w:t>
      </w:r>
    </w:p>
    <w:p w14:paraId="66056C1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级机构5个：即文化市场综合执法大队（副科级）、图书馆、文化馆、体校、杨得志故居管理所等5个全额拨款事业单位。（原属于我局二级机构的电影公司，于2020年7月改制，不再属于渌口区文化旅游广电体育局二级机构，由自收自支事业单位改革为国有独资企业，但是人员工作经费都由财政拨付）。</w:t>
      </w:r>
    </w:p>
    <w:p w14:paraId="2041B35F">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3.人员情况，包括当年变动情况及原因。</w:t>
      </w:r>
    </w:p>
    <w:p w14:paraId="558F4B3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株洲市渌口区文化旅游广电体育局2024年初财政全额拨款在职36人,年末财政全额拨款在职36人。本年中退休2人、调出3人，调进5个。其中行政编制10人、全额拨款事业编制30人，工勤2个。全系统年末退休27人、年初退休26人，原因是2024年新增退休2人，退休死亡1人。年初离休1人，年末1人。</w:t>
      </w:r>
    </w:p>
    <w:p w14:paraId="04CC8F1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（2020年7月由于电影公司改制，不再属于本单位二级机构，由自收自支事业单位改革为国有独资企业，但202</w:t>
      </w:r>
      <w:r>
        <w:rPr>
          <w:rFonts w:ascii="仿宋_GB2312" w:eastAsia="仿宋_GB2312"/>
          <w:sz w:val="32"/>
          <w:szCs w:val="32"/>
        </w:rPr>
        <w:t>4</w:t>
      </w:r>
      <w:r>
        <w:rPr>
          <w:rFonts w:hint="eastAsia" w:ascii="仿宋_GB2312" w:eastAsia="仿宋_GB2312"/>
          <w:sz w:val="32"/>
          <w:szCs w:val="32"/>
        </w:rPr>
        <w:t>年有在职7人养老保险、职业年金要求仍按原事业单位性质继续上缴，改制后本项工作挂靠本单位。）</w:t>
      </w:r>
    </w:p>
    <w:p w14:paraId="4A1CE4A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6A9082F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14:paraId="3C0DEFB2">
      <w:pPr>
        <w:pStyle w:val="19"/>
        <w:widowControl/>
        <w:spacing w:line="500" w:lineRule="exact"/>
        <w:ind w:firstLine="640"/>
        <w:rPr>
          <w:rFonts w:ascii="Times New Roman" w:hAnsi="Times New Roman" w:eastAsia="仿宋_GB2312"/>
          <w:b/>
          <w:sz w:val="32"/>
          <w:szCs w:val="32"/>
        </w:rPr>
      </w:pPr>
      <w:r>
        <w:rPr>
          <w:rFonts w:hint="eastAsia" w:ascii="仿宋_GB2312" w:hAnsi="仿宋" w:eastAsia="仿宋_GB2312" w:cs="仿宋"/>
          <w:sz w:val="32"/>
          <w:szCs w:val="32"/>
        </w:rPr>
        <w:t>202</w:t>
      </w:r>
      <w:r>
        <w:rPr>
          <w:rFonts w:ascii="仿宋_GB2312" w:hAnsi="仿宋" w:eastAsia="仿宋_GB2312" w:cs="仿宋"/>
          <w:sz w:val="32"/>
          <w:szCs w:val="32"/>
        </w:rPr>
        <w:t>4</w:t>
      </w:r>
      <w:r>
        <w:rPr>
          <w:rFonts w:hint="eastAsia" w:ascii="仿宋_GB2312" w:hAnsi="仿宋" w:eastAsia="仿宋_GB2312" w:cs="仿宋"/>
          <w:sz w:val="32"/>
          <w:szCs w:val="32"/>
        </w:rPr>
        <w:t>年单位本年度实际收到的</w:t>
      </w:r>
      <w:r>
        <w:rPr>
          <w:rFonts w:hint="eastAsia" w:ascii="仿宋_GB2312" w:hAnsi="仿宋" w:eastAsia="仿宋_GB2312" w:cs="仿宋"/>
          <w:bCs/>
          <w:sz w:val="32"/>
          <w:szCs w:val="32"/>
        </w:rPr>
        <w:t>一般</w:t>
      </w:r>
      <w:r>
        <w:rPr>
          <w:rFonts w:hint="eastAsia" w:ascii="仿宋_GB2312" w:hAnsi="仿宋" w:eastAsia="仿宋_GB2312" w:cs="仿宋"/>
          <w:sz w:val="32"/>
          <w:szCs w:val="32"/>
        </w:rPr>
        <w:t>公共预算财政拨款收入</w:t>
      </w:r>
      <w:r>
        <w:rPr>
          <w:rFonts w:hint="eastAsia" w:ascii="仿宋_GB2312" w:eastAsia="仿宋_GB2312" w:cs="Times New Roman"/>
          <w:sz w:val="32"/>
          <w:szCs w:val="32"/>
        </w:rPr>
        <w:t> </w:t>
      </w:r>
      <w:r>
        <w:rPr>
          <w:rFonts w:hint="eastAsia" w:ascii="仿宋_GB2312" w:eastAsia="仿宋_GB2312" w:cs="Times New Roman"/>
          <w:sz w:val="32"/>
          <w:szCs w:val="32"/>
          <w:lang w:val="en-US" w:eastAsia="zh-CN"/>
        </w:rPr>
        <w:t>1132.13</w:t>
      </w:r>
      <w:r>
        <w:rPr>
          <w:rFonts w:hint="eastAsia" w:ascii="仿宋_GB2312" w:hAnsi="仿宋" w:eastAsia="仿宋_GB2312" w:cs="仿宋"/>
          <w:sz w:val="32"/>
          <w:szCs w:val="32"/>
        </w:rPr>
        <w:t>万元，基本支出</w:t>
      </w:r>
      <w:r>
        <w:rPr>
          <w:rFonts w:hint="eastAsia" w:ascii="仿宋_GB2312" w:hAnsi="仿宋" w:eastAsia="仿宋_GB2312" w:cs="仿宋"/>
          <w:sz w:val="32"/>
          <w:szCs w:val="32"/>
          <w:lang w:val="en-US" w:eastAsia="zh-CN"/>
        </w:rPr>
        <w:t>1074.13</w:t>
      </w:r>
      <w:r>
        <w:rPr>
          <w:rFonts w:hint="eastAsia" w:ascii="仿宋_GB2312" w:hAnsi="仿宋" w:eastAsia="仿宋_GB2312" w:cs="仿宋"/>
          <w:sz w:val="32"/>
          <w:szCs w:val="32"/>
        </w:rPr>
        <w:t>万元。系保障文旅广体局机关正常运转，完成日常工作任务而发生的各项支出，其中：</w:t>
      </w:r>
      <w:r>
        <w:rPr>
          <w:rFonts w:hint="eastAsia" w:ascii="仿宋_GB2312" w:hAnsi="仿宋" w:eastAsia="仿宋_GB2312" w:cs="仿宋"/>
          <w:sz w:val="32"/>
          <w:szCs w:val="32"/>
          <w:lang w:val="en-US" w:eastAsia="zh-CN"/>
        </w:rPr>
        <w:t>人员经费支出551.53万元，公用经费支出522.60万元</w:t>
      </w:r>
      <w:r>
        <w:rPr>
          <w:rFonts w:hint="eastAsia" w:ascii="仿宋_GB2312" w:hAnsi="仿宋" w:eastAsia="仿宋_GB2312" w:cs="仿宋"/>
          <w:sz w:val="32"/>
          <w:szCs w:val="32"/>
        </w:rPr>
        <w:t>。</w:t>
      </w:r>
    </w:p>
    <w:p w14:paraId="4A315FEF">
      <w:pPr>
        <w:pStyle w:val="19"/>
        <w:widowControl/>
        <w:spacing w:line="500" w:lineRule="exact"/>
        <w:ind w:firstLine="640"/>
        <w:rPr>
          <w:rFonts w:ascii="仿宋_GB2312" w:eastAsia="仿宋_GB2312"/>
          <w:sz w:val="32"/>
          <w:szCs w:val="32"/>
        </w:rPr>
      </w:pPr>
      <w:r>
        <w:rPr>
          <w:rFonts w:hint="eastAsia" w:ascii="仿宋_GB2312" w:eastAsia="仿宋_GB2312"/>
          <w:sz w:val="32"/>
          <w:szCs w:val="32"/>
        </w:rPr>
        <w:t>（二）项目支出情况</w:t>
      </w:r>
    </w:p>
    <w:p w14:paraId="234B456F">
      <w:pPr>
        <w:pStyle w:val="19"/>
        <w:widowControl/>
        <w:spacing w:line="500" w:lineRule="exact"/>
        <w:ind w:firstLine="640"/>
        <w:rPr>
          <w:rFonts w:ascii="仿宋_GB2312" w:hAnsi="仿宋" w:eastAsia="仿宋_GB2312" w:cs="仿宋"/>
          <w:sz w:val="32"/>
          <w:szCs w:val="32"/>
        </w:rPr>
      </w:pPr>
      <w:r>
        <w:rPr>
          <w:rFonts w:hint="eastAsia" w:ascii="仿宋_GB2312" w:hAnsi="仿宋" w:eastAsia="仿宋_GB2312" w:cs="仿宋"/>
          <w:sz w:val="32"/>
          <w:szCs w:val="32"/>
        </w:rPr>
        <w:t>202</w:t>
      </w:r>
      <w:r>
        <w:rPr>
          <w:rFonts w:ascii="仿宋_GB2312" w:hAnsi="仿宋" w:eastAsia="仿宋_GB2312" w:cs="仿宋"/>
          <w:sz w:val="32"/>
          <w:szCs w:val="32"/>
        </w:rPr>
        <w:t>4</w:t>
      </w:r>
      <w:r>
        <w:rPr>
          <w:rFonts w:hint="eastAsia" w:ascii="仿宋_GB2312" w:hAnsi="仿宋" w:eastAsia="仿宋_GB2312" w:cs="仿宋"/>
          <w:sz w:val="32"/>
          <w:szCs w:val="32"/>
        </w:rPr>
        <w:t>年一般公共预算安排的项目支出</w:t>
      </w:r>
      <w:r>
        <w:rPr>
          <w:rFonts w:ascii="仿宋_GB2312" w:hAnsi="仿宋" w:eastAsia="仿宋_GB2312" w:cs="仿宋"/>
          <w:sz w:val="32"/>
          <w:szCs w:val="32"/>
        </w:rPr>
        <w:t>162.39</w:t>
      </w:r>
      <w:r>
        <w:rPr>
          <w:rFonts w:hint="eastAsia" w:ascii="仿宋_GB2312" w:hAnsi="仿宋" w:eastAsia="仿宋_GB2312" w:cs="仿宋"/>
          <w:sz w:val="32"/>
          <w:szCs w:val="32"/>
        </w:rPr>
        <w:t>万元。分别是伏波庙保养维护和现状整修工程2</w:t>
      </w:r>
      <w:r>
        <w:rPr>
          <w:rFonts w:ascii="仿宋_GB2312" w:hAnsi="仿宋" w:eastAsia="仿宋_GB2312" w:cs="仿宋"/>
          <w:sz w:val="32"/>
          <w:szCs w:val="32"/>
        </w:rPr>
        <w:t>4.64</w:t>
      </w:r>
      <w:r>
        <w:rPr>
          <w:rFonts w:hint="eastAsia" w:ascii="仿宋_GB2312" w:hAnsi="仿宋" w:eastAsia="仿宋_GB2312" w:cs="仿宋"/>
          <w:sz w:val="32"/>
          <w:szCs w:val="32"/>
        </w:rPr>
        <w:t>万元，杨得志故居景区标识牌标准化项目</w:t>
      </w:r>
      <w:r>
        <w:rPr>
          <w:rFonts w:ascii="仿宋_GB2312" w:hAnsi="仿宋" w:eastAsia="仿宋_GB2312" w:cs="仿宋"/>
          <w:sz w:val="32"/>
          <w:szCs w:val="32"/>
        </w:rPr>
        <w:t>3</w:t>
      </w:r>
      <w:r>
        <w:rPr>
          <w:rFonts w:hint="eastAsia" w:ascii="仿宋_GB2312" w:hAnsi="仿宋" w:eastAsia="仿宋_GB2312" w:cs="仿宋"/>
          <w:sz w:val="32"/>
          <w:szCs w:val="32"/>
        </w:rPr>
        <w:t>万元，朱亭古码头修缮</w:t>
      </w:r>
      <w:r>
        <w:rPr>
          <w:rFonts w:ascii="仿宋_GB2312" w:hAnsi="仿宋" w:eastAsia="仿宋_GB2312" w:cs="仿宋"/>
          <w:sz w:val="32"/>
          <w:szCs w:val="32"/>
        </w:rPr>
        <w:t>15.36</w:t>
      </w:r>
      <w:r>
        <w:rPr>
          <w:rFonts w:hint="eastAsia" w:ascii="仿宋_GB2312" w:hAnsi="仿宋" w:eastAsia="仿宋_GB2312" w:cs="仿宋"/>
          <w:sz w:val="32"/>
          <w:szCs w:val="32"/>
        </w:rPr>
        <w:t>万元。杨得志故居展示工程1</w:t>
      </w:r>
      <w:r>
        <w:rPr>
          <w:rFonts w:ascii="仿宋_GB2312" w:hAnsi="仿宋" w:eastAsia="仿宋_GB2312" w:cs="仿宋"/>
          <w:sz w:val="32"/>
          <w:szCs w:val="32"/>
        </w:rPr>
        <w:t>5</w:t>
      </w:r>
      <w:r>
        <w:rPr>
          <w:rFonts w:hint="eastAsia" w:ascii="仿宋_GB2312" w:hAnsi="仿宋" w:eastAsia="仿宋_GB2312" w:cs="仿宋"/>
          <w:sz w:val="32"/>
          <w:szCs w:val="32"/>
        </w:rPr>
        <w:t>万元。电影事业发展专项资金5万元，体彩专项支出9</w:t>
      </w:r>
      <w:r>
        <w:rPr>
          <w:rFonts w:ascii="仿宋_GB2312" w:hAnsi="仿宋" w:eastAsia="仿宋_GB2312" w:cs="仿宋"/>
          <w:sz w:val="32"/>
          <w:szCs w:val="32"/>
        </w:rPr>
        <w:t>9.39</w:t>
      </w:r>
      <w:r>
        <w:rPr>
          <w:rFonts w:hint="eastAsia" w:ascii="仿宋_GB2312" w:hAnsi="仿宋" w:eastAsia="仿宋_GB2312" w:cs="仿宋"/>
          <w:sz w:val="32"/>
          <w:szCs w:val="32"/>
        </w:rPr>
        <w:t>万元。</w:t>
      </w:r>
    </w:p>
    <w:p w14:paraId="7CDC605C">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14:paraId="52C2AF55">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体彩情况; 一方面是用于体育事业的彩票公益金支出（2296003）99.39万元，主要用于</w:t>
      </w:r>
    </w:p>
    <w:p w14:paraId="036DC5D4">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株财综【2021】53号、市财政局下达2021年本级体彩公益金项目资金（第四批39万）支出合计20万元：拨付古岳峰中学体育设备建设和器材购置资金3万元、拨古岳峰镇红旗村健身广场建设资金5万元、拨古岳峰中学体育器材购置余款2万元、拨南洲镇将军村文化体育广场建设资金3万元、暂拨朱亭镇浦湾村森林骑行沿江绿道建设资金2万、拨浦湾村森林骑行绿道建设资金2万、拨将军村文化广场建设资金3万。</w:t>
      </w:r>
    </w:p>
    <w:p w14:paraId="0103A835">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湘财综指2022.22号、湖南省财政厅提前下达2023年市县分成体彩公益金113万元，专款专用。支出合计22.60万元，支出明细：株洲市第一届神农庙会“龙王争霸赛”渌口区预选赛经费0.84万元、动感单车和电竞比赛活动经费4.88万元、湖南省第二届风筝邀请赛系列活动经费暂付8万、湖南省第二届风筝邀请赛系列活动经费5万元、湖南省第五届社区运动会相关费用2.05万元、气排球比赛相关费用1.44万元、龙舟邀请赛事活动服务0.39万元。</w:t>
      </w:r>
    </w:p>
    <w:p w14:paraId="7056725A">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2022年市县分成体彩公益金（湘财综指2022.5号，52.79万元）本年度支出合计10.79万元，支出明细：渌口区体育场地定位统计调查及信息录入服务费4万元、乒乓球比赛活动经费0.79万元、接龙桥社区健身器材添补购置1万元、2023年“珠江农商银行”杯男子篮球邀请赛赛事经费2万元、拨九都湖村公共体育场地建设资金1万元、拨古岳峰镇翟家桥村体育场地建设资金2万元。</w:t>
      </w:r>
    </w:p>
    <w:p w14:paraId="33A5A6A5">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4、湘财综指2023.23#2024年市县分成体彩公益金,根据领导指示用于体育活动龙舟赛，专款专用渌口龙舟邀请赛赛事服务支出23万元。</w:t>
      </w:r>
    </w:p>
    <w:p w14:paraId="44E870D7">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5、株财综【2024】47号2024年市级分成体彩公益金，渌口区文旅广体局10万元，专款专用。龙舟邀请赛事活动服务支出10万元。</w:t>
      </w:r>
    </w:p>
    <w:p w14:paraId="1946F2FF">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6、株财综2022.49号、株洲市财政局下达2022年度市县分成体彩公益金（30万）专款专用，2024年支出合计8万元，为拨龙船镇金华村文化健身设施补助余款3万、拨淦田镇中学体教结合经费（拳击、武术）5万。</w:t>
      </w:r>
    </w:p>
    <w:p w14:paraId="732FD043">
      <w:pPr>
        <w:tabs>
          <w:tab w:val="left" w:pos="7560"/>
        </w:tabs>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7、株财综指2020．30#2020年市级分成体彩公益金项目资金（65万）2024年支出5万，支出为拨朱亭镇浦湾村健身广场建设余款5万。</w:t>
      </w:r>
    </w:p>
    <w:p w14:paraId="3458E75A">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四、国有资本经营预算支出情况。无</w:t>
      </w:r>
    </w:p>
    <w:p w14:paraId="3A2EBDD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五、社会保险基金预算支出情况。无</w:t>
      </w:r>
    </w:p>
    <w:p w14:paraId="2E36F5A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448C13DE">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676F03E9">
      <w:pPr>
        <w:pStyle w:val="20"/>
        <w:spacing w:line="500" w:lineRule="exac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我局圆满完成各项重点工作和业务工作，基础设施不断夯实、文化艺术工作可圈可点、市场监管服务有序有效、全域旅游构建卓有成效、全民健身和竞技体育创新发展、文化旅游产业成绩斐然、驻村帮扶工作善始善终、党的建设工作全面加强，取得了好的社会效益，行政效能高，社会公众和服务对象比较满意。</w:t>
      </w:r>
    </w:p>
    <w:p w14:paraId="1FE8446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1．运行成本：本年度总支出</w:t>
      </w:r>
      <w:r>
        <w:rPr>
          <w:rFonts w:ascii="仿宋_GB2312" w:eastAsia="仿宋_GB2312"/>
          <w:sz w:val="32"/>
          <w:szCs w:val="32"/>
        </w:rPr>
        <w:t>1307.75</w:t>
      </w:r>
      <w:r>
        <w:rPr>
          <w:rFonts w:hint="eastAsia" w:ascii="仿宋_GB2312" w:eastAsia="仿宋_GB2312"/>
          <w:sz w:val="32"/>
          <w:szCs w:val="32"/>
        </w:rPr>
        <w:t>万元，</w:t>
      </w:r>
    </w:p>
    <w:p w14:paraId="5A7C521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功能分类：一般公共服务支出19.9万元，占1.52%；文化旅游体育与传媒支出1011.42万元，占77.34%；社会保障和就业支出59.50万元，占4.55%；商业服务业等支出2.5万元，占0.19%；住房保障支出43.81万元，占3.35%。其他支出170.62万元，占13.05%。</w:t>
      </w:r>
    </w:p>
    <w:p w14:paraId="65AC0B40">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按经济分类：工资福利支出534.53万元，占40.87%；商品和服务支出688.47万元，占52.65%；对个人和家庭补助支出53.46万元，占4.09%；资本性支出（基本建设）24.64万元，占1.88%；资本性支出6.65万元，占0.51%；</w:t>
      </w:r>
    </w:p>
    <w:p w14:paraId="40E62A2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按支出性质分类：基本支出1145.36万元，占87.58%。其中人员经费587.98万元，日常公用经费557.38万元；项目支出162.39万元，占12.42%。</w:t>
      </w:r>
    </w:p>
    <w:p w14:paraId="6CC48C3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管理效率：根据《中华人民共和国预算法》、《中华人民共和国会计法》及本单位制定的《渌口区文旅广体局机关财务管理制度》、《文旅广体局机关政府采购内部控制管理制度》等相关规章制度，规范部门预算收支核算、制定和完善基本支出、项目支出等各项支出标准，严格按项目和进度执行预算，增强预算的约束力和严肃性，及时了解预算执行差异，合理调整，切实提高部门预算收支水平，尽可能做到决算与预算相衔接。</w:t>
      </w:r>
    </w:p>
    <w:p w14:paraId="512126E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履职效能：一是加强固定资产管理，严格执行固定资产增减变动、清查盘点和报损报废等有关规定，定期开展资产清查，确保帐帐、帐实相符，提高资产使用效率和行政效能，降低行政成本；二是规范财务管理，提高财务信息质量。严格按照《预算法》、《会计法》等规定，严格执行单位经费支出制度，规范财务核算，使账清账实、账账相符、账表相符，确保披露信息的完整性。</w:t>
      </w:r>
    </w:p>
    <w:p w14:paraId="5876B7E6">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4．社会效益：</w:t>
      </w:r>
      <w:r>
        <w:rPr>
          <w:rFonts w:hint="eastAsia" w:ascii="仿宋_GB2312" w:hAnsi="仿宋" w:eastAsia="仿宋_GB2312"/>
          <w:sz w:val="32"/>
          <w:szCs w:val="32"/>
        </w:rPr>
        <w:t>1、基础设施建设加快推进。向上争取体育设施建设项目，共争取全民健身路径13套，农民建设工程设施3套，助力我区全民健身事业发展。区文化馆已装修完工，文化新馆功能布局健全，将实现文化服务全覆盖。渌口博物馆历史文化展厅于五一期间实现对外开放，游客服务中心主体由南洲集团负责建设，建筑主体已完工，正在做装饰工程，预计2025年上半年投入使用。2、品牌推广工作佳绩连连。2024年第一季度全市竞赛评比中获得季军，今年端午龙舟赛再次划上央视，并首次获中央新闻联播栏目报导。3、文化惠民活动有声有色。</w:t>
      </w:r>
      <w:bookmarkStart w:id="0" w:name="OLE_LINK56"/>
      <w:bookmarkStart w:id="1" w:name="OLE_LINK55"/>
      <w:r>
        <w:rPr>
          <w:rFonts w:hint="eastAsia" w:ascii="仿宋_GB2312" w:hAnsi="仿宋" w:eastAsia="仿宋_GB2312"/>
          <w:sz w:val="32"/>
          <w:szCs w:val="32"/>
        </w:rPr>
        <w:t>全年举办来渌口过小年系列活动、元宵节系列活动、第二届湖南省风筝邀请赛、油菜花文化节、街头艺术站“五一晚会”、“五月的鲜花”寻找文物秘宝活动、“5.18国际博物馆日”主题活动、朱亭端午龙舟赛、全国青少年传统校篮球联赛、来渌口庆国庆系列活动、“杨得志将军逝世30周年”纪念活动、“蓬源仙杯”围棋赛等大型节会赛事活动12场次，完成“送戏下乡”演出32场、农村公益电影放映1548场。区图书馆服务到馆群众26712人次，图书借阅量达2961余册；渌口博物馆今年国庆实现全面对外开放，全年累计接待游客15万人次，接待省内外来访团队500余批次，已成为渌口区红色旅游打卡地，株洲对外宣传重要窗口</w:t>
      </w:r>
      <w:bookmarkEnd w:id="0"/>
      <w:bookmarkEnd w:id="1"/>
      <w:r>
        <w:rPr>
          <w:rFonts w:hint="eastAsia" w:ascii="仿宋_GB2312" w:hAnsi="仿宋" w:eastAsia="仿宋_GB2312"/>
          <w:sz w:val="32"/>
          <w:szCs w:val="32"/>
        </w:rPr>
        <w:t>。4、全力做好争资引项。全年签约王家洲农文旅开发项目、田家湾村和美乡村项目、百合科技小院等5个重大项目，总投资5.5亿元，其中株洲渌口崖壁野奢酒店旅居综合体项目已进场施工，4名乡贤进驻投资。成功打造王家洲乡村美术馆（主体在建）、经世·文创水仙湖宿集、龙门花冲云由水居民宿等12个文旅新场景，累计投资规模达9000万元。区文旅广体局主动跑部进厅，新增3个文旅体项目，分别为朱亭古镇文旅保护开发项目、渌口博物馆智慧景区建设项目、渌江岸体育公园项目，项目规模累计达4400万元。5、应急广播建设项目稳步开展。根据湖南省广电局应急广播体系建设有关文件精神，3月底完成渌口区应急广播建设项目技术方案设计，5月6日采购意向挂网，9月完成招投标，11月底完成建设，12月申请市局初验。6、竞技体育再创佳绩。3月份参加了由市局组织举办的株洲市第四届青少年田径春季赛并获得1银1铜的好成绩。7月份有一名运动员代表株洲市参加了今年在邵阳市举行的湖南省青少年田径锦标赛并获得U16女子组跳远全能第二名的好成绩。2024年11月1一3日，在株洲市体育中心举行的株洲市“三好杯”中小学生田径运动会，我局业余体校培养的3名学生获得3金1银二铜的好成绩并获得男子初中组团体总分第六名，为渌口区争得荣誉。7、2024年株洲·渌口“蓬源仙杯”围棋邀请赛暨长株潭弈星围棋公开赛。10月26-27日在龙潭镇蓬源仙及渌口区锦江都城酒店召开。此次围棋邀请赛以省、市围棋协会为单位组队报名，吸引了来自全国7个省份的8支精英队伍以及长株潭地区的高水平少儿棋手，共计一百二十余人参加。本次赛事荣幸地邀请到中国围棋界的杰出代表、首位特批职业九段棋手刘小光亲临现场指导；湘潭大学教授、中国首位围棋博士何云波就“蓬源仙弈--围棋与湖湘文化传统”这一主题进行专题讲座。8、“挽手一生  风雨同洲”2024 相约芦苇季暨环挽洲岛欢乐跑活动。11月10日在龙船镇挽洲岛，采用环岛漫步打卡的形式，开幕式后，游客可自由漫步赏花拍照、特色景点打卡或露营休憩。岛头岛尾有芦苇花海，岛中部有同心爱情树、浪漫灯塔、系舟樟古树，村主路设置小吃点、农产品展销点等。芦苇花季观赏持续一个半月，吸引大批游客登岛游玩。9、2024年株洲市渌口区南洲忆山塘鱼钓鱼大赛。11月23日在淦田镇紫湖园归心谷召开南洲忆山塘鱼钓鱼大赛。本次比赛吸引100支队伍200名钓友参加，通过称重统分的比赛规则，决出冠亚季军和单尾最重奖。</w:t>
      </w:r>
    </w:p>
    <w:p w14:paraId="24A9060E">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5．可持续性：推动全市文旅广体事业和产业创新发展、转型发展、融合发展、高质量发展，不断满足人民日益增长的美好生活需要，为全面建设制造名称，幸福株洲，美丽渌口开好局、起好步。</w:t>
      </w:r>
    </w:p>
    <w:p w14:paraId="08FE8CB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6．社会公众满意度：202</w:t>
      </w:r>
      <w:r>
        <w:rPr>
          <w:rFonts w:ascii="仿宋_GB2312" w:eastAsia="仿宋_GB2312"/>
          <w:sz w:val="32"/>
          <w:szCs w:val="32"/>
        </w:rPr>
        <w:t>4</w:t>
      </w:r>
      <w:r>
        <w:rPr>
          <w:rFonts w:hint="eastAsia" w:ascii="仿宋_GB2312" w:eastAsia="仿宋_GB2312"/>
          <w:sz w:val="32"/>
          <w:szCs w:val="32"/>
        </w:rPr>
        <w:t>年，通过完善公共文化体育设施，加强旅游基础设施建设，举办丰富多彩的文体活动，从广大市民的参与度来看，社会公众满意度达95%以上。</w:t>
      </w:r>
    </w:p>
    <w:p w14:paraId="73F40F39">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年，区绩效办对我局绩效评估考核结果为一类。根据202</w:t>
      </w:r>
      <w:r>
        <w:rPr>
          <w:rFonts w:ascii="仿宋_GB2312" w:eastAsia="仿宋_GB2312"/>
          <w:sz w:val="32"/>
          <w:szCs w:val="32"/>
        </w:rPr>
        <w:t>4</w:t>
      </w:r>
      <w:r>
        <w:rPr>
          <w:rFonts w:hint="eastAsia" w:ascii="仿宋_GB2312" w:eastAsia="仿宋_GB2312"/>
          <w:sz w:val="32"/>
          <w:szCs w:val="32"/>
        </w:rPr>
        <w:t>年度部门整体支出绩效评价指标评价标准，自评得分9</w:t>
      </w:r>
      <w:r>
        <w:rPr>
          <w:rFonts w:ascii="仿宋_GB2312" w:eastAsia="仿宋_GB2312"/>
          <w:sz w:val="32"/>
          <w:szCs w:val="32"/>
        </w:rPr>
        <w:t>7</w:t>
      </w:r>
      <w:r>
        <w:rPr>
          <w:rFonts w:hint="eastAsia" w:ascii="仿宋_GB2312" w:eastAsia="仿宋_GB2312"/>
          <w:sz w:val="32"/>
          <w:szCs w:val="32"/>
        </w:rPr>
        <w:t>分，具体得分情况详见202</w:t>
      </w:r>
      <w:r>
        <w:rPr>
          <w:rFonts w:ascii="仿宋_GB2312" w:eastAsia="仿宋_GB2312"/>
          <w:sz w:val="32"/>
          <w:szCs w:val="32"/>
        </w:rPr>
        <w:t>4</w:t>
      </w:r>
      <w:r>
        <w:rPr>
          <w:rFonts w:hint="eastAsia" w:ascii="仿宋_GB2312" w:eastAsia="仿宋_GB2312"/>
          <w:sz w:val="32"/>
          <w:szCs w:val="32"/>
        </w:rPr>
        <w:t>年度部门整体支出绩效自评表。</w:t>
      </w:r>
    </w:p>
    <w:p w14:paraId="7481F06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78DA685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对应年初预算申报及年中预算调整的子项目与决算范畴保持一致，没有本级资金项目，故不作公开评价。涉及上级资金项目1</w:t>
      </w:r>
      <w:r>
        <w:rPr>
          <w:rFonts w:ascii="仿宋_GB2312" w:eastAsia="仿宋_GB2312"/>
          <w:sz w:val="32"/>
          <w:szCs w:val="32"/>
        </w:rPr>
        <w:t>62.39</w:t>
      </w:r>
      <w:r>
        <w:rPr>
          <w:rFonts w:hint="eastAsia" w:ascii="仿宋_GB2312" w:eastAsia="仿宋_GB2312"/>
          <w:sz w:val="32"/>
          <w:szCs w:val="32"/>
        </w:rPr>
        <w:t>万元，分别为：杨得志故居景区标识标牌标准化项目3万，伏波庙保养维护和现状整修工程2</w:t>
      </w:r>
      <w:r>
        <w:rPr>
          <w:rFonts w:ascii="仿宋_GB2312" w:eastAsia="仿宋_GB2312"/>
          <w:sz w:val="32"/>
          <w:szCs w:val="32"/>
        </w:rPr>
        <w:t>4.64</w:t>
      </w:r>
      <w:r>
        <w:rPr>
          <w:rFonts w:hint="eastAsia" w:ascii="仿宋_GB2312" w:eastAsia="仿宋_GB2312"/>
          <w:sz w:val="32"/>
          <w:szCs w:val="32"/>
        </w:rPr>
        <w:t>万元，杨得志故居展示工程1</w:t>
      </w:r>
      <w:r>
        <w:rPr>
          <w:rFonts w:ascii="仿宋_GB2312" w:eastAsia="仿宋_GB2312"/>
          <w:sz w:val="32"/>
          <w:szCs w:val="32"/>
        </w:rPr>
        <w:t>5</w:t>
      </w:r>
      <w:r>
        <w:rPr>
          <w:rFonts w:hint="eastAsia" w:ascii="仿宋_GB2312" w:eastAsia="仿宋_GB2312"/>
          <w:sz w:val="32"/>
          <w:szCs w:val="32"/>
        </w:rPr>
        <w:t>万，朱亭古码头保护修缮工程1</w:t>
      </w:r>
      <w:r>
        <w:rPr>
          <w:rFonts w:ascii="仿宋_GB2312" w:eastAsia="仿宋_GB2312"/>
          <w:sz w:val="32"/>
          <w:szCs w:val="32"/>
        </w:rPr>
        <w:t>5.36</w:t>
      </w:r>
      <w:r>
        <w:rPr>
          <w:rFonts w:hint="eastAsia" w:ascii="仿宋_GB2312" w:eastAsia="仿宋_GB2312"/>
          <w:sz w:val="32"/>
          <w:szCs w:val="32"/>
        </w:rPr>
        <w:t>万元，电影事业发展专项5万，上级体彩支出9</w:t>
      </w:r>
      <w:r>
        <w:rPr>
          <w:rFonts w:ascii="仿宋_GB2312" w:eastAsia="仿宋_GB2312"/>
          <w:sz w:val="32"/>
          <w:szCs w:val="32"/>
        </w:rPr>
        <w:t>9.39</w:t>
      </w:r>
      <w:r>
        <w:rPr>
          <w:rFonts w:hint="eastAsia" w:ascii="仿宋_GB2312" w:eastAsia="仿宋_GB2312"/>
          <w:sz w:val="32"/>
          <w:szCs w:val="32"/>
        </w:rPr>
        <w:t>万元。</w:t>
      </w:r>
    </w:p>
    <w:p w14:paraId="21BA9F2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七、存在的问题及原因分析</w:t>
      </w:r>
    </w:p>
    <w:p w14:paraId="2CF33D2E">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是在市对区绩效考核排名中，我区旅游总收入排名第9，成绩很不理想。由于我区没有星级宾馆和收费景区，旅游业体量在全市最小，与其他县市区相比，旅游总收入差距较大，排名会比较靠后，但是全年旅游收入增速在全市排名预计能进前五。</w:t>
      </w:r>
    </w:p>
    <w:p w14:paraId="72F4696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二是高质量发展绩效评估指标中“人均接受公共文化场馆服务次数”， 由于区文化馆正在建设当中，暂无场馆开展活动，镇、村（社区）公共文化场所活动偏少，部分小型活动的资料收集整理工作不到位，我区此项数值指标偏低。</w:t>
      </w:r>
    </w:p>
    <w:p w14:paraId="66300BD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三是由于基础设施及配套建设不完善、缺乏投资主体，今年我区无法完成创建龙门国家3A级旅游景区、杨得志故居国家4A级旅游景区的目标。</w:t>
      </w:r>
    </w:p>
    <w:p w14:paraId="07FD350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四是专业人才匮乏，系统内缺乏文旅专业人才和文旅产业经营人才，与当前担负的工作任务不相适应。以上原因可能导致各种预算支出执行偏离绩效目标的情况。</w:t>
      </w:r>
    </w:p>
    <w:p w14:paraId="714EE319">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268B772C">
      <w:pPr>
        <w:pStyle w:val="20"/>
        <w:spacing w:line="500" w:lineRule="exact"/>
        <w:ind w:firstLine="320"/>
        <w:rPr>
          <w:rStyle w:val="21"/>
          <w:rFonts w:ascii="Times New Roman" w:hAnsi="方正仿宋_GBK" w:eastAsia="方正仿宋_GBK"/>
          <w:sz w:val="32"/>
          <w:szCs w:val="32"/>
        </w:rPr>
      </w:pPr>
      <w:r>
        <w:rPr>
          <w:rStyle w:val="21"/>
          <w:rFonts w:hint="eastAsia" w:ascii="Times New Roman" w:hAnsi="方正仿宋_GBK" w:eastAsia="方正仿宋_GBK"/>
          <w:sz w:val="32"/>
          <w:szCs w:val="32"/>
        </w:rPr>
        <w:t>1、结合单位实际，加强专项资金预算管理，按轻重缓急统筹安排编制预算，做到事前有计划、事中进行控制、事后总结提高，提高预算编制科学性和合理性，优化资金结构，充分体现资金投向的目标和效益。2、加强预算约束力，细化预算编制工作，加强本单位各股室的预算管理意识，严格按照预算编制的相关制度和要求，合理编制年初预算，并将绩效管理理念贯穿于预算制定、执行全过程，做到年初有绩效目标、年中有绩效跟踪分析、年末有绩效评价和结果运用。3、进一步提高绩效管理水平，由于目前的预算管理在编制和实施中还存在预算调整较多、追加预算比较重大等问题，在今后的工作中，我单位将加强与财政部门的紧密配合，开展好整体支出及项目资金的绩效管理工作。</w:t>
      </w:r>
    </w:p>
    <w:p w14:paraId="5B3EF570">
      <w:pPr>
        <w:tabs>
          <w:tab w:val="left" w:pos="7560"/>
        </w:tabs>
        <w:adjustRightInd w:val="0"/>
        <w:snapToGrid w:val="0"/>
        <w:spacing w:line="560" w:lineRule="exact"/>
        <w:ind w:firstLine="640" w:firstLineChars="200"/>
        <w:rPr>
          <w:rFonts w:ascii="黑体" w:hAnsi="黑体" w:eastAsia="黑体"/>
          <w:sz w:val="32"/>
          <w:szCs w:val="32"/>
        </w:rPr>
      </w:pPr>
    </w:p>
    <w:p w14:paraId="73A6F7D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1E45F45A">
      <w:pPr>
        <w:snapToGrid w:val="0"/>
        <w:spacing w:line="500" w:lineRule="exact"/>
        <w:ind w:firstLine="640" w:firstLineChars="200"/>
        <w:rPr>
          <w:rStyle w:val="21"/>
          <w:rFonts w:ascii="Times New Roman" w:hAnsi="方正仿宋_GBK" w:eastAsia="方正仿宋_GBK"/>
          <w:sz w:val="32"/>
          <w:szCs w:val="32"/>
        </w:rPr>
      </w:pPr>
      <w:r>
        <w:rPr>
          <w:rStyle w:val="21"/>
          <w:rFonts w:hint="eastAsia" w:ascii="Times New Roman" w:hAnsi="方正仿宋_GBK" w:eastAsia="方正仿宋_GBK" w:cs="Times New Roman"/>
          <w:sz w:val="32"/>
          <w:szCs w:val="32"/>
        </w:rPr>
        <w:t>我单位将以此次绩效自评结果作为本部门完善政策和改进管理的重要依据，并将绩效自评工作转化为提高本部门预算资金使用绩效的具体工作措施，本单位对决算及绩效信息公开工作按规定认真执行，该填制及时填制，该公开及时公开，该上报及时上报，在区政府门户网站及单位网站都予以公开，接受社会监督。</w:t>
      </w:r>
    </w:p>
    <w:p w14:paraId="355328CB">
      <w:pPr>
        <w:tabs>
          <w:tab w:val="left" w:pos="7560"/>
        </w:tabs>
        <w:adjustRightInd w:val="0"/>
        <w:snapToGrid w:val="0"/>
        <w:spacing w:line="560" w:lineRule="exact"/>
        <w:ind w:firstLine="640" w:firstLineChars="200"/>
        <w:rPr>
          <w:rFonts w:ascii="黑体" w:hAnsi="黑体" w:eastAsia="黑体"/>
          <w:sz w:val="32"/>
          <w:szCs w:val="32"/>
        </w:rPr>
      </w:pPr>
      <w:r>
        <w:rPr>
          <w:rFonts w:hint="eastAsia" w:ascii="仿宋_GB2312" w:eastAsia="仿宋_GB2312"/>
          <w:sz w:val="32"/>
          <w:szCs w:val="32"/>
        </w:rPr>
        <w:t xml:space="preserve">其他需要说明的情况 </w:t>
      </w:r>
      <w:r>
        <w:rPr>
          <w:rFonts w:ascii="仿宋_GB2312" w:eastAsia="仿宋_GB2312"/>
          <w:sz w:val="32"/>
          <w:szCs w:val="32"/>
        </w:rPr>
        <w:t xml:space="preserve"> </w:t>
      </w:r>
      <w:r>
        <w:rPr>
          <w:rFonts w:hint="eastAsia" w:ascii="仿宋_GB2312" w:eastAsia="仿宋_GB2312"/>
          <w:sz w:val="32"/>
          <w:szCs w:val="32"/>
        </w:rPr>
        <w:t>无</w:t>
      </w:r>
    </w:p>
    <w:p w14:paraId="731116AA">
      <w:pPr>
        <w:tabs>
          <w:tab w:val="left" w:pos="7560"/>
        </w:tabs>
        <w:adjustRightInd w:val="0"/>
        <w:snapToGrid w:val="0"/>
        <w:spacing w:line="560" w:lineRule="exact"/>
        <w:rPr>
          <w:rFonts w:ascii="黑体" w:hAnsi="黑体" w:eastAsia="黑体"/>
          <w:sz w:val="32"/>
          <w:szCs w:val="32"/>
        </w:rPr>
      </w:pPr>
    </w:p>
    <w:p w14:paraId="43FCC47D">
      <w:pPr>
        <w:tabs>
          <w:tab w:val="left" w:pos="7560"/>
        </w:tabs>
        <w:adjustRightInd w:val="0"/>
        <w:snapToGrid w:val="0"/>
        <w:spacing w:line="560" w:lineRule="exact"/>
        <w:rPr>
          <w:rFonts w:ascii="黑体" w:hAnsi="黑体" w:eastAsia="黑体"/>
          <w:sz w:val="32"/>
          <w:szCs w:val="32"/>
        </w:rPr>
      </w:pPr>
    </w:p>
    <w:p w14:paraId="3AD5FA04">
      <w:pPr>
        <w:tabs>
          <w:tab w:val="left" w:pos="7560"/>
        </w:tabs>
        <w:adjustRightInd w:val="0"/>
        <w:snapToGrid w:val="0"/>
        <w:spacing w:line="560" w:lineRule="exact"/>
        <w:rPr>
          <w:rFonts w:ascii="黑体" w:hAnsi="黑体" w:eastAsia="黑体"/>
          <w:sz w:val="32"/>
          <w:szCs w:val="32"/>
        </w:rPr>
      </w:pPr>
    </w:p>
    <w:p w14:paraId="2B8BC594">
      <w:pPr>
        <w:tabs>
          <w:tab w:val="left" w:pos="7560"/>
        </w:tabs>
        <w:adjustRightInd w:val="0"/>
        <w:snapToGrid w:val="0"/>
        <w:spacing w:line="560" w:lineRule="exact"/>
        <w:rPr>
          <w:rFonts w:ascii="黑体" w:hAnsi="黑体" w:eastAsia="黑体"/>
          <w:sz w:val="32"/>
          <w:szCs w:val="32"/>
        </w:rPr>
      </w:pPr>
    </w:p>
    <w:p w14:paraId="2F7F664C">
      <w:pPr>
        <w:tabs>
          <w:tab w:val="left" w:pos="7560"/>
        </w:tabs>
        <w:adjustRightInd w:val="0"/>
        <w:snapToGrid w:val="0"/>
        <w:spacing w:line="560" w:lineRule="exact"/>
        <w:rPr>
          <w:rFonts w:ascii="黑体" w:hAnsi="黑体" w:eastAsia="黑体"/>
          <w:sz w:val="32"/>
          <w:szCs w:val="32"/>
        </w:rPr>
      </w:pPr>
    </w:p>
    <w:p w14:paraId="25F5CADB">
      <w:pPr>
        <w:tabs>
          <w:tab w:val="left" w:pos="7560"/>
        </w:tabs>
        <w:adjustRightInd w:val="0"/>
        <w:snapToGrid w:val="0"/>
        <w:spacing w:line="560" w:lineRule="exact"/>
        <w:rPr>
          <w:rFonts w:ascii="黑体" w:hAnsi="黑体" w:eastAsia="黑体"/>
          <w:sz w:val="32"/>
          <w:szCs w:val="32"/>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7735">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14:paraId="1349FFC7">
                <w:pPr>
                  <w:pStyle w:val="5"/>
                </w:pPr>
                <w:r>
                  <w:t xml:space="preserve">— </w:t>
                </w:r>
                <w:r>
                  <w:fldChar w:fldCharType="begin"/>
                </w:r>
                <w:r>
                  <w:instrText xml:space="preserve"> PAGE  \* MERGEFORMAT </w:instrText>
                </w:r>
                <w:r>
                  <w:fldChar w:fldCharType="separate"/>
                </w:r>
                <w:r>
                  <w:t>22</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NjYzExODI0M2QyMWRlNGMxYjMyYTg1ZTEzYWI3NmYifQ=="/>
  </w:docVars>
  <w:rsids>
    <w:rsidRoot w:val="00222CFF"/>
    <w:rsid w:val="0000323C"/>
    <w:rsid w:val="00005DA1"/>
    <w:rsid w:val="000103D3"/>
    <w:rsid w:val="00013BED"/>
    <w:rsid w:val="00023CC2"/>
    <w:rsid w:val="00032A37"/>
    <w:rsid w:val="000349B2"/>
    <w:rsid w:val="00035432"/>
    <w:rsid w:val="00051120"/>
    <w:rsid w:val="00066560"/>
    <w:rsid w:val="00067B9A"/>
    <w:rsid w:val="0009098F"/>
    <w:rsid w:val="000A4A28"/>
    <w:rsid w:val="000A6D4F"/>
    <w:rsid w:val="000B653C"/>
    <w:rsid w:val="000C3F5A"/>
    <w:rsid w:val="000D1CA4"/>
    <w:rsid w:val="000E4360"/>
    <w:rsid w:val="00123830"/>
    <w:rsid w:val="001238D0"/>
    <w:rsid w:val="0012778B"/>
    <w:rsid w:val="00150D0D"/>
    <w:rsid w:val="0015126A"/>
    <w:rsid w:val="00151ECE"/>
    <w:rsid w:val="00162FEA"/>
    <w:rsid w:val="00181B25"/>
    <w:rsid w:val="00183151"/>
    <w:rsid w:val="0018444D"/>
    <w:rsid w:val="00192880"/>
    <w:rsid w:val="001C5AD3"/>
    <w:rsid w:val="001D6796"/>
    <w:rsid w:val="001E4599"/>
    <w:rsid w:val="001E4CE0"/>
    <w:rsid w:val="0020376E"/>
    <w:rsid w:val="00204679"/>
    <w:rsid w:val="00207B65"/>
    <w:rsid w:val="00215A41"/>
    <w:rsid w:val="00222CFF"/>
    <w:rsid w:val="00230BF7"/>
    <w:rsid w:val="00265B23"/>
    <w:rsid w:val="002864D5"/>
    <w:rsid w:val="002C7D29"/>
    <w:rsid w:val="002D64C5"/>
    <w:rsid w:val="002F6FE1"/>
    <w:rsid w:val="003244C7"/>
    <w:rsid w:val="00330501"/>
    <w:rsid w:val="00332179"/>
    <w:rsid w:val="00336AE4"/>
    <w:rsid w:val="00336DD2"/>
    <w:rsid w:val="00347408"/>
    <w:rsid w:val="00356F3A"/>
    <w:rsid w:val="00371B96"/>
    <w:rsid w:val="00375E20"/>
    <w:rsid w:val="00380F11"/>
    <w:rsid w:val="00385B1A"/>
    <w:rsid w:val="003904F9"/>
    <w:rsid w:val="003C03C0"/>
    <w:rsid w:val="003D0F0B"/>
    <w:rsid w:val="003F2989"/>
    <w:rsid w:val="004108C8"/>
    <w:rsid w:val="00432EEA"/>
    <w:rsid w:val="004345D4"/>
    <w:rsid w:val="0043651D"/>
    <w:rsid w:val="00463C8A"/>
    <w:rsid w:val="00467665"/>
    <w:rsid w:val="00481C77"/>
    <w:rsid w:val="004B49A0"/>
    <w:rsid w:val="004B7084"/>
    <w:rsid w:val="004C26CA"/>
    <w:rsid w:val="004C317F"/>
    <w:rsid w:val="004C4960"/>
    <w:rsid w:val="004C5DE1"/>
    <w:rsid w:val="004D3238"/>
    <w:rsid w:val="004D6A97"/>
    <w:rsid w:val="004E52B3"/>
    <w:rsid w:val="004E70EC"/>
    <w:rsid w:val="004E7B66"/>
    <w:rsid w:val="004F3A37"/>
    <w:rsid w:val="0051602D"/>
    <w:rsid w:val="005416A3"/>
    <w:rsid w:val="00546155"/>
    <w:rsid w:val="0054796F"/>
    <w:rsid w:val="00553EC0"/>
    <w:rsid w:val="005805E3"/>
    <w:rsid w:val="00582FAC"/>
    <w:rsid w:val="00590A03"/>
    <w:rsid w:val="005B0E79"/>
    <w:rsid w:val="005C33E5"/>
    <w:rsid w:val="005D336A"/>
    <w:rsid w:val="005D346E"/>
    <w:rsid w:val="005E431B"/>
    <w:rsid w:val="005F300B"/>
    <w:rsid w:val="005F3D7C"/>
    <w:rsid w:val="00616EF8"/>
    <w:rsid w:val="00620823"/>
    <w:rsid w:val="00644939"/>
    <w:rsid w:val="006516EB"/>
    <w:rsid w:val="006617C9"/>
    <w:rsid w:val="006704E8"/>
    <w:rsid w:val="0068117A"/>
    <w:rsid w:val="0068713B"/>
    <w:rsid w:val="006A06F9"/>
    <w:rsid w:val="006A1F4C"/>
    <w:rsid w:val="006A5CA9"/>
    <w:rsid w:val="006E51C5"/>
    <w:rsid w:val="006E59EB"/>
    <w:rsid w:val="007054D2"/>
    <w:rsid w:val="00710798"/>
    <w:rsid w:val="007127E1"/>
    <w:rsid w:val="00714762"/>
    <w:rsid w:val="00730EDE"/>
    <w:rsid w:val="007441B1"/>
    <w:rsid w:val="0076469D"/>
    <w:rsid w:val="00770278"/>
    <w:rsid w:val="00770B27"/>
    <w:rsid w:val="00771247"/>
    <w:rsid w:val="007765D2"/>
    <w:rsid w:val="00776B6F"/>
    <w:rsid w:val="00792509"/>
    <w:rsid w:val="007A5BC0"/>
    <w:rsid w:val="007A7F3D"/>
    <w:rsid w:val="007C37F1"/>
    <w:rsid w:val="007D14CF"/>
    <w:rsid w:val="007F42EC"/>
    <w:rsid w:val="008028E9"/>
    <w:rsid w:val="00842C26"/>
    <w:rsid w:val="00846C83"/>
    <w:rsid w:val="00850210"/>
    <w:rsid w:val="0085160A"/>
    <w:rsid w:val="0085671C"/>
    <w:rsid w:val="008612EB"/>
    <w:rsid w:val="00864563"/>
    <w:rsid w:val="008742F7"/>
    <w:rsid w:val="00896DCB"/>
    <w:rsid w:val="008B26C6"/>
    <w:rsid w:val="008B5CF2"/>
    <w:rsid w:val="008C44CC"/>
    <w:rsid w:val="008E5554"/>
    <w:rsid w:val="00933AA1"/>
    <w:rsid w:val="0093514E"/>
    <w:rsid w:val="0094708B"/>
    <w:rsid w:val="0097430F"/>
    <w:rsid w:val="009B2B7E"/>
    <w:rsid w:val="009C69A8"/>
    <w:rsid w:val="009D6D99"/>
    <w:rsid w:val="009F261B"/>
    <w:rsid w:val="00A01616"/>
    <w:rsid w:val="00A11950"/>
    <w:rsid w:val="00A2436F"/>
    <w:rsid w:val="00A263A1"/>
    <w:rsid w:val="00A34546"/>
    <w:rsid w:val="00A352FE"/>
    <w:rsid w:val="00A47177"/>
    <w:rsid w:val="00A47951"/>
    <w:rsid w:val="00A61256"/>
    <w:rsid w:val="00A630B9"/>
    <w:rsid w:val="00A679E4"/>
    <w:rsid w:val="00A73A05"/>
    <w:rsid w:val="00AB4295"/>
    <w:rsid w:val="00AC177F"/>
    <w:rsid w:val="00AD1A83"/>
    <w:rsid w:val="00AD2CFB"/>
    <w:rsid w:val="00AD4038"/>
    <w:rsid w:val="00AF6902"/>
    <w:rsid w:val="00B04319"/>
    <w:rsid w:val="00B10FC8"/>
    <w:rsid w:val="00B32C80"/>
    <w:rsid w:val="00B350B4"/>
    <w:rsid w:val="00B360D9"/>
    <w:rsid w:val="00B4105C"/>
    <w:rsid w:val="00B43C14"/>
    <w:rsid w:val="00B60C2F"/>
    <w:rsid w:val="00B665B5"/>
    <w:rsid w:val="00B71CAC"/>
    <w:rsid w:val="00B9070B"/>
    <w:rsid w:val="00B94FCA"/>
    <w:rsid w:val="00BA02AE"/>
    <w:rsid w:val="00BC12F6"/>
    <w:rsid w:val="00BC1C3B"/>
    <w:rsid w:val="00BC6997"/>
    <w:rsid w:val="00BE03A1"/>
    <w:rsid w:val="00BE6064"/>
    <w:rsid w:val="00BE6598"/>
    <w:rsid w:val="00C06339"/>
    <w:rsid w:val="00C11BE4"/>
    <w:rsid w:val="00C13F52"/>
    <w:rsid w:val="00C16818"/>
    <w:rsid w:val="00C42308"/>
    <w:rsid w:val="00C67079"/>
    <w:rsid w:val="00C815EE"/>
    <w:rsid w:val="00CA3249"/>
    <w:rsid w:val="00CB19F1"/>
    <w:rsid w:val="00CB64AF"/>
    <w:rsid w:val="00CE09DD"/>
    <w:rsid w:val="00D00904"/>
    <w:rsid w:val="00D03792"/>
    <w:rsid w:val="00D064C0"/>
    <w:rsid w:val="00D06CBB"/>
    <w:rsid w:val="00D227D2"/>
    <w:rsid w:val="00D267C4"/>
    <w:rsid w:val="00D41231"/>
    <w:rsid w:val="00D54492"/>
    <w:rsid w:val="00D5479D"/>
    <w:rsid w:val="00D63000"/>
    <w:rsid w:val="00D63557"/>
    <w:rsid w:val="00D63731"/>
    <w:rsid w:val="00D81F84"/>
    <w:rsid w:val="00D91E25"/>
    <w:rsid w:val="00DA61C7"/>
    <w:rsid w:val="00DB0823"/>
    <w:rsid w:val="00DB1BAB"/>
    <w:rsid w:val="00DC18DC"/>
    <w:rsid w:val="00DD5F62"/>
    <w:rsid w:val="00DE6BFB"/>
    <w:rsid w:val="00E3528B"/>
    <w:rsid w:val="00E4312D"/>
    <w:rsid w:val="00E528E3"/>
    <w:rsid w:val="00E6671C"/>
    <w:rsid w:val="00E748E8"/>
    <w:rsid w:val="00E85088"/>
    <w:rsid w:val="00E85AD8"/>
    <w:rsid w:val="00EB603A"/>
    <w:rsid w:val="00EC5CF2"/>
    <w:rsid w:val="00EC7005"/>
    <w:rsid w:val="00ED2B60"/>
    <w:rsid w:val="00EE12DB"/>
    <w:rsid w:val="00F16693"/>
    <w:rsid w:val="00F4662B"/>
    <w:rsid w:val="00F5103C"/>
    <w:rsid w:val="00F549F8"/>
    <w:rsid w:val="00F82E9B"/>
    <w:rsid w:val="00F851B3"/>
    <w:rsid w:val="00F95BDF"/>
    <w:rsid w:val="00FA400A"/>
    <w:rsid w:val="00FB5091"/>
    <w:rsid w:val="00FB642F"/>
    <w:rsid w:val="00FF73DC"/>
    <w:rsid w:val="02663C42"/>
    <w:rsid w:val="02777BFD"/>
    <w:rsid w:val="05436869"/>
    <w:rsid w:val="0CBD4DA7"/>
    <w:rsid w:val="0D564DFD"/>
    <w:rsid w:val="0DB57CB4"/>
    <w:rsid w:val="0E8845BE"/>
    <w:rsid w:val="0FCE72CB"/>
    <w:rsid w:val="105228C0"/>
    <w:rsid w:val="14274190"/>
    <w:rsid w:val="18D620ED"/>
    <w:rsid w:val="18D97BBF"/>
    <w:rsid w:val="19FD48D6"/>
    <w:rsid w:val="1C9A5481"/>
    <w:rsid w:val="1D622137"/>
    <w:rsid w:val="1EE65901"/>
    <w:rsid w:val="1F397586"/>
    <w:rsid w:val="20221513"/>
    <w:rsid w:val="20A83220"/>
    <w:rsid w:val="21C276E9"/>
    <w:rsid w:val="297D349C"/>
    <w:rsid w:val="2AC1385C"/>
    <w:rsid w:val="2B95569E"/>
    <w:rsid w:val="2BF00318"/>
    <w:rsid w:val="2EFFB905"/>
    <w:rsid w:val="36B6623F"/>
    <w:rsid w:val="37A570FA"/>
    <w:rsid w:val="39216B01"/>
    <w:rsid w:val="3D7A1A73"/>
    <w:rsid w:val="3E6A6D4F"/>
    <w:rsid w:val="3FE693AD"/>
    <w:rsid w:val="4035158F"/>
    <w:rsid w:val="455137CA"/>
    <w:rsid w:val="4A9A5B32"/>
    <w:rsid w:val="4AF01932"/>
    <w:rsid w:val="4B2E61BF"/>
    <w:rsid w:val="4B8A16FD"/>
    <w:rsid w:val="4DD57ADF"/>
    <w:rsid w:val="4F3BD62E"/>
    <w:rsid w:val="4F7B637A"/>
    <w:rsid w:val="50F639B0"/>
    <w:rsid w:val="524C14DA"/>
    <w:rsid w:val="529A65BD"/>
    <w:rsid w:val="536974C6"/>
    <w:rsid w:val="53C31CF5"/>
    <w:rsid w:val="53CB15B5"/>
    <w:rsid w:val="568B6949"/>
    <w:rsid w:val="577C6C0C"/>
    <w:rsid w:val="590925F5"/>
    <w:rsid w:val="590F614C"/>
    <w:rsid w:val="5D227715"/>
    <w:rsid w:val="5E3D48E1"/>
    <w:rsid w:val="6186789B"/>
    <w:rsid w:val="63B32BC4"/>
    <w:rsid w:val="64CB5136"/>
    <w:rsid w:val="65600223"/>
    <w:rsid w:val="6B0851D1"/>
    <w:rsid w:val="6CAD71C1"/>
    <w:rsid w:val="6D967C55"/>
    <w:rsid w:val="6F457B85"/>
    <w:rsid w:val="704C7C07"/>
    <w:rsid w:val="71B7463E"/>
    <w:rsid w:val="73FD1AE5"/>
    <w:rsid w:val="777C7EBC"/>
    <w:rsid w:val="77B909F0"/>
    <w:rsid w:val="78540864"/>
    <w:rsid w:val="7ADD10F5"/>
    <w:rsid w:val="7BFFF342"/>
    <w:rsid w:val="7CFFB774"/>
    <w:rsid w:val="7E1D7C91"/>
    <w:rsid w:val="7E97658E"/>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0"/>
    <w:rPr>
      <w:rFonts w:hint="eastAsia" w:ascii="宋体" w:hAnsi="宋体" w:eastAsia="宋体" w:cs="Times New Roman"/>
      <w:sz w:val="33"/>
      <w:szCs w:val="33"/>
    </w:rPr>
  </w:style>
  <w:style w:type="paragraph" w:styleId="4">
    <w:name w:val="Balloon Text"/>
    <w:basedOn w:val="1"/>
    <w:link w:val="17"/>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1 字符"/>
    <w:basedOn w:val="10"/>
    <w:link w:val="2"/>
    <w:qFormat/>
    <w:uiPriority w:val="0"/>
    <w:rPr>
      <w:rFonts w:hint="default" w:ascii="Calibri" w:hAnsi="Calibri" w:cs="Calibri"/>
      <w:b/>
      <w:bCs/>
      <w:kern w:val="44"/>
      <w:sz w:val="44"/>
      <w:szCs w:val="44"/>
    </w:rPr>
  </w:style>
  <w:style w:type="paragraph" w:customStyle="1" w:styleId="13">
    <w:name w:val="msolistparagraph"/>
    <w:basedOn w:val="1"/>
    <w:qFormat/>
    <w:uiPriority w:val="0"/>
    <w:pPr>
      <w:ind w:left="1079" w:hanging="309"/>
    </w:pPr>
    <w:rPr>
      <w:rFonts w:hint="eastAsia" w:ascii="宋体" w:hAnsi="宋体" w:eastAsia="宋体" w:cs="Times New Roman"/>
      <w:szCs w:val="22"/>
    </w:rPr>
  </w:style>
  <w:style w:type="character" w:customStyle="1" w:styleId="14">
    <w:name w:val="正文文本 字符"/>
    <w:basedOn w:val="10"/>
    <w:link w:val="3"/>
    <w:qFormat/>
    <w:uiPriority w:val="0"/>
    <w:rPr>
      <w:rFonts w:hint="eastAsia" w:ascii="宋体" w:hAnsi="宋体" w:eastAsia="宋体" w:cs="宋体"/>
      <w:kern w:val="2"/>
      <w:sz w:val="33"/>
      <w:szCs w:val="33"/>
    </w:rPr>
  </w:style>
  <w:style w:type="character" w:customStyle="1" w:styleId="15">
    <w:name w:val="font41"/>
    <w:basedOn w:val="10"/>
    <w:qFormat/>
    <w:uiPriority w:val="0"/>
    <w:rPr>
      <w:rFonts w:hint="default" w:ascii="Calibri" w:hAnsi="Calibri" w:cs="Calibri"/>
      <w:color w:val="000000"/>
      <w:sz w:val="24"/>
      <w:szCs w:val="24"/>
      <w:u w:val="none"/>
    </w:rPr>
  </w:style>
  <w:style w:type="character" w:customStyle="1" w:styleId="16">
    <w:name w:val="font01"/>
    <w:basedOn w:val="10"/>
    <w:qFormat/>
    <w:uiPriority w:val="0"/>
    <w:rPr>
      <w:rFonts w:ascii="方正书宋_GBK" w:hAnsi="方正书宋_GBK" w:eastAsia="方正书宋_GBK" w:cs="方正书宋_GBK"/>
      <w:color w:val="000000"/>
      <w:sz w:val="24"/>
      <w:szCs w:val="24"/>
      <w:u w:val="none"/>
    </w:rPr>
  </w:style>
  <w:style w:type="character" w:customStyle="1" w:styleId="17">
    <w:name w:val="批注框文本 字符"/>
    <w:basedOn w:val="10"/>
    <w:link w:val="4"/>
    <w:semiHidden/>
    <w:qFormat/>
    <w:uiPriority w:val="0"/>
    <w:rPr>
      <w:rFonts w:asciiTheme="minorHAnsi" w:hAnsiTheme="minorHAnsi" w:eastAsiaTheme="minorEastAsia" w:cstheme="minorBidi"/>
      <w:kern w:val="2"/>
      <w:sz w:val="18"/>
      <w:szCs w:val="18"/>
    </w:rPr>
  </w:style>
  <w:style w:type="character" w:customStyle="1" w:styleId="18">
    <w:name w:val="标题 字符"/>
    <w:basedOn w:val="10"/>
    <w:link w:val="7"/>
    <w:qFormat/>
    <w:uiPriority w:val="0"/>
    <w:rPr>
      <w:rFonts w:asciiTheme="majorHAnsi" w:hAnsiTheme="majorHAnsi" w:eastAsiaTheme="majorEastAsia" w:cstheme="majorBidi"/>
      <w:b/>
      <w:bCs/>
      <w:kern w:val="2"/>
      <w:sz w:val="32"/>
      <w:szCs w:val="32"/>
    </w:rPr>
  </w:style>
  <w:style w:type="paragraph" w:styleId="19">
    <w:name w:val="List Paragraph"/>
    <w:basedOn w:val="1"/>
    <w:unhideWhenUsed/>
    <w:qFormat/>
    <w:uiPriority w:val="99"/>
    <w:pPr>
      <w:ind w:firstLine="420" w:firstLineChars="200"/>
    </w:pPr>
  </w:style>
  <w:style w:type="paragraph" w:customStyle="1" w:styleId="20">
    <w:name w:val="BodyText1I"/>
    <w:basedOn w:val="1"/>
    <w:qFormat/>
    <w:uiPriority w:val="99"/>
    <w:pPr>
      <w:snapToGrid w:val="0"/>
      <w:spacing w:line="360" w:lineRule="auto"/>
      <w:ind w:firstLine="420" w:firstLineChars="100"/>
    </w:pPr>
    <w:rPr>
      <w:rFonts w:ascii="Calibri" w:hAnsi="Calibri" w:eastAsia="宋体" w:cs="Times New Roman"/>
      <w:sz w:val="28"/>
      <w:szCs w:val="20"/>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C1CC8-8726-407D-9A4A-84DFDC56E95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1791</Words>
  <Characters>2040</Characters>
  <Lines>132</Lines>
  <Paragraphs>37</Paragraphs>
  <TotalTime>876</TotalTime>
  <ScaleCrop>false</ScaleCrop>
  <LinksUpToDate>false</LinksUpToDate>
  <CharactersWithSpaces>2213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俏俏</cp:lastModifiedBy>
  <cp:lastPrinted>2025-08-20T02:39:00Z</cp:lastPrinted>
  <dcterms:modified xsi:type="dcterms:W3CDTF">2025-10-16T08:56:35Z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EED5D6D83E0944EF85A4087E4EA8D0A2</vt:lpwstr>
  </property>
  <property fmtid="{D5CDD505-2E9C-101B-9397-08002B2CF9AE}" pid="4" name="KSOTemplateDocerSaveRecord">
    <vt:lpwstr>eyJoZGlkIjoiNTM5Yzk2OTYxMzcyYmZkOGUxMWY5YzBlYjhkNmJiZmQiLCJ1c2VySWQiOiIzNjE1NDk1MDMifQ==</vt:lpwstr>
  </property>
</Properties>
</file>