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9E35F"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2024年度青龙湾小学整体支出</w:t>
      </w:r>
    </w:p>
    <w:p w14:paraId="6C70D32D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绩效自评报告</w:t>
      </w:r>
    </w:p>
    <w:p w14:paraId="2F4EBCA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一、部门（单位）基本情况</w:t>
      </w:r>
    </w:p>
    <w:p w14:paraId="07D77C89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我单位性质为事业单位，按照规定执行《事业单位会计制度》。经机构编制管理部门核定，其中:事业编制人员75人。在校学生1692人。</w:t>
      </w:r>
    </w:p>
    <w:p w14:paraId="6F457651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主要职能：</w:t>
      </w:r>
    </w:p>
    <w:p w14:paraId="62E51B48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、党支部：坚持二中“追求治学品位，优化教育生态，落实立德树人，锻造卓越先锋”的党建特色文化和二中青小“争当创业先锋，培育教育品牌”的党建理念，发挥政治核心作用，把握学校发展方向，领导学校德育和思想政治工作，培育和践行社会主义核心价值观，推动学校健康发展。</w:t>
      </w:r>
    </w:p>
    <w:p w14:paraId="130F282C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、校长室：坚持贯彻党的教育方针，全面落实立德树人根本任务，传承株洲市二中办学文化，按照“没有围墙的学校，学生站在正中央”的办学主张，高品质完成国家课程，建设富有特色的校本课程，促进教师专业发展和学生核心素养提升，办人民满意的教育。</w:t>
      </w:r>
    </w:p>
    <w:p w14:paraId="77E56F93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3、办公室：高度重视安全、消防、财务、人事等工作，积极谋划，防范风险，确保学校教育教学正常运行、高效运行。</w:t>
      </w:r>
    </w:p>
    <w:p w14:paraId="53FE38F8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4、学生发展部：坚持立德树人，落实五育并重，积极推进德育课程建设，创新德育活动形式，做好少先队阵地建设，始终把握“培养社会主义合格建设者和接班人”的主旋律。</w:t>
      </w:r>
    </w:p>
    <w:p w14:paraId="776CCB4D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、教学教研部：根据中国学生核心素养的要求，确定二中青龙湾小学学生核心素雅的校本化表达——“身心健康、审美雅趣、知识底蕴、科学精神、家国情怀、国际理解”，建设与之相适应的校本课程体系，与国家课程整合实施。</w:t>
      </w:r>
    </w:p>
    <w:p w14:paraId="16ED8EAC">
      <w:pPr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机构设置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下设党支部、校长室、办公室、学生发展部、教育教研部。</w:t>
      </w:r>
    </w:p>
    <w:p w14:paraId="6DEDBFF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二、一般公共预算支出情况</w:t>
      </w:r>
    </w:p>
    <w:p w14:paraId="3EB50FE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（一）基本支出情况</w:t>
      </w:r>
    </w:p>
    <w:p w14:paraId="317359D0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我单位2024年总支出为</w:t>
      </w:r>
      <w:r>
        <w:rPr>
          <w:rFonts w:ascii="Times New Roman" w:hAnsi="Times New Roman" w:eastAsia="仿宋_GB2312" w:cs="仿宋_GB2312"/>
          <w:sz w:val="32"/>
          <w:szCs w:val="32"/>
        </w:rPr>
        <w:t>1546.77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万元，其中基本支出</w:t>
      </w:r>
      <w:r>
        <w:rPr>
          <w:rFonts w:ascii="Times New Roman" w:hAnsi="Times New Roman" w:eastAsia="仿宋_GB2312" w:cs="仿宋_GB2312"/>
          <w:sz w:val="32"/>
          <w:szCs w:val="32"/>
        </w:rPr>
        <w:t>1546.77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万元、项目支出0元。</w:t>
      </w:r>
    </w:p>
    <w:p w14:paraId="346D12F5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基本支出</w:t>
      </w:r>
      <w:r>
        <w:rPr>
          <w:rFonts w:ascii="Times New Roman" w:hAnsi="Times New Roman" w:eastAsia="仿宋_GB2312" w:cs="仿宋_GB2312"/>
          <w:sz w:val="32"/>
          <w:szCs w:val="32"/>
        </w:rPr>
        <w:t>1546.77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万元，其中:工资福利支出921.51万元、商品和服务支出625.26万元。</w:t>
      </w:r>
    </w:p>
    <w:p w14:paraId="661449B8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项目支出情况</w:t>
      </w:r>
    </w:p>
    <w:p w14:paraId="6153318E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我单位2024年无项目支出。</w:t>
      </w:r>
    </w:p>
    <w:p w14:paraId="265E7B5F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政府性基金预算支出情况</w:t>
      </w:r>
    </w:p>
    <w:p w14:paraId="6C366229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我单位2024年无政府性基金预算支出。</w:t>
      </w:r>
    </w:p>
    <w:p w14:paraId="48082EB3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国有资本经营预算支出情况</w:t>
      </w:r>
    </w:p>
    <w:p w14:paraId="7BEE0CBC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我单位2024年无国有资本经营预算支出。</w:t>
      </w:r>
    </w:p>
    <w:p w14:paraId="4155C00E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社会保险基金预算支出情况</w:t>
      </w:r>
    </w:p>
    <w:p w14:paraId="71A0F980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我单位2024年无社会保险基金预算支出。</w:t>
      </w:r>
    </w:p>
    <w:p w14:paraId="0FD9F86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六、资金使用及绩效情况</w:t>
      </w:r>
    </w:p>
    <w:p w14:paraId="5C1307E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（一）整体支出绩效情况</w:t>
      </w:r>
    </w:p>
    <w:p w14:paraId="1508A936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2024年，我单位积极履职，强化管理，较好的完成了年度工作目标。通过加强预算收支管理，不断建立健全内部管理制度,梳理内部管理流程，部门整体支出管理水平得到提升。根据部门整体支出绩效评价指标体系，我单位2024年度评价得分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97.71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分。部门整体支出绩效情况如下:</w:t>
      </w:r>
    </w:p>
    <w:p w14:paraId="137D7D3E">
      <w:pPr>
        <w:numPr>
          <w:ilvl w:val="0"/>
          <w:numId w:val="3"/>
        </w:num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预算管理较为理想，制度执行总体较为有效，但仍需进一步强化。</w:t>
      </w:r>
    </w:p>
    <w:p w14:paraId="69C371F0">
      <w:pPr>
        <w:numPr>
          <w:ilvl w:val="0"/>
          <w:numId w:val="3"/>
        </w:num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荣誉</w:t>
      </w:r>
    </w:p>
    <w:p w14:paraId="3A75FBC5">
      <w:pPr>
        <w:numPr>
          <w:ilvl w:val="0"/>
          <w:numId w:val="4"/>
        </w:numPr>
        <w:spacing w:line="60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全国青少年校园足球特色学校</w:t>
      </w:r>
    </w:p>
    <w:p w14:paraId="03E5D891">
      <w:pPr>
        <w:numPr>
          <w:ilvl w:val="0"/>
          <w:numId w:val="4"/>
        </w:numPr>
        <w:spacing w:line="60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湖南省中小学实验教学改革实验校</w:t>
      </w:r>
    </w:p>
    <w:p w14:paraId="09FE6116">
      <w:pPr>
        <w:numPr>
          <w:ilvl w:val="0"/>
          <w:numId w:val="4"/>
        </w:numPr>
        <w:spacing w:line="60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湖南省义务教育教学改革实验校</w:t>
      </w:r>
    </w:p>
    <w:p w14:paraId="088DAFBF">
      <w:pPr>
        <w:numPr>
          <w:ilvl w:val="0"/>
          <w:numId w:val="4"/>
        </w:numPr>
        <w:spacing w:line="60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株洲市家校共育示范校</w:t>
      </w:r>
      <w:bookmarkStart w:id="0" w:name="_GoBack"/>
      <w:bookmarkEnd w:id="0"/>
    </w:p>
    <w:p w14:paraId="3A028C9F">
      <w:pPr>
        <w:numPr>
          <w:ilvl w:val="0"/>
          <w:numId w:val="4"/>
        </w:numPr>
        <w:spacing w:line="60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株洲市“深度学习 教学改进”项目实验校</w:t>
      </w:r>
    </w:p>
    <w:p w14:paraId="3CBB822A">
      <w:pPr>
        <w:numPr>
          <w:ilvl w:val="0"/>
          <w:numId w:val="4"/>
        </w:numPr>
        <w:spacing w:line="60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株洲市集体备课大赛最佳组织奖</w:t>
      </w:r>
    </w:p>
    <w:p w14:paraId="6F138D42">
      <w:pPr>
        <w:numPr>
          <w:ilvl w:val="0"/>
          <w:numId w:val="4"/>
        </w:numPr>
        <w:spacing w:line="60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株洲市第一届小学生数学“三会”讲题比赛优秀组织奖</w:t>
      </w:r>
    </w:p>
    <w:p w14:paraId="196DEDE5">
      <w:pPr>
        <w:numPr>
          <w:ilvl w:val="0"/>
          <w:numId w:val="4"/>
        </w:numPr>
        <w:spacing w:line="60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株洲市中小学生运动会跆拳道比赛优秀组织奖</w:t>
      </w:r>
    </w:p>
    <w:p w14:paraId="2ADA54D0">
      <w:pPr>
        <w:numPr>
          <w:ilvl w:val="0"/>
          <w:numId w:val="4"/>
        </w:numPr>
        <w:spacing w:line="60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株洲市中小学阳光体育大课间视频评比二等奖</w:t>
      </w:r>
    </w:p>
    <w:p w14:paraId="5D8B66F2">
      <w:pPr>
        <w:numPr>
          <w:ilvl w:val="0"/>
          <w:numId w:val="4"/>
        </w:numPr>
        <w:spacing w:line="60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株洲市“三好杯”中小学生运动会篮球比赛小学男子组第七名</w:t>
      </w:r>
    </w:p>
    <w:p w14:paraId="0CEFE622">
      <w:pPr>
        <w:numPr>
          <w:ilvl w:val="0"/>
          <w:numId w:val="4"/>
        </w:numPr>
        <w:spacing w:line="60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株洲市德育案例征评一等奖（主持人：王倩、江双凤、曾玉珺）</w:t>
      </w:r>
    </w:p>
    <w:p w14:paraId="035D1B59">
      <w:pPr>
        <w:numPr>
          <w:ilvl w:val="0"/>
          <w:numId w:val="4"/>
        </w:numPr>
        <w:spacing w:line="60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株洲市中小学心理健康主题活动案例评比二等奖（主持人：言榕倩、凌思、王诗、江双凤、黄成德）</w:t>
      </w:r>
    </w:p>
    <w:p w14:paraId="4E7F09D7">
      <w:pPr>
        <w:numPr>
          <w:ilvl w:val="0"/>
          <w:numId w:val="4"/>
        </w:numPr>
        <w:spacing w:line="60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株洲市德育案例征评三等奖（主持人：王诗）</w:t>
      </w:r>
    </w:p>
    <w:p w14:paraId="779E11A7">
      <w:pPr>
        <w:numPr>
          <w:ilvl w:val="0"/>
          <w:numId w:val="4"/>
        </w:numPr>
        <w:spacing w:line="60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渌口区科普教育“双走进”示范校</w:t>
      </w:r>
    </w:p>
    <w:p w14:paraId="03A9282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（二）项目支出绩效情况</w:t>
      </w:r>
    </w:p>
    <w:p w14:paraId="15F3E284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我单位2024年无项目支出。</w:t>
      </w:r>
    </w:p>
    <w:p w14:paraId="07C3C26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七、存在的问题及原因分析</w:t>
      </w:r>
    </w:p>
    <w:p w14:paraId="23A38C13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师资引进带来的持续性投入</w:t>
      </w:r>
      <w:r>
        <w:rPr>
          <w:rFonts w:hint="default" w:ascii="Times New Roman" w:hAnsi="Times New Roman" w:eastAsia="仿宋_GB2312" w:cs="仿宋_GB2312"/>
          <w:sz w:val="32"/>
          <w:szCs w:val="32"/>
        </w:rPr>
        <w:t>：由于学校正处在扩容提质的关键发展阶段，为保障教学水准并满足扩班需求，必须招聘大量新教师。此举直接导致了人员经费的快速增长，成为经费支出的重要组成部分。</w:t>
      </w:r>
    </w:p>
    <w:p w14:paraId="2D358D7E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仿宋_GB2312"/>
          <w:sz w:val="32"/>
          <w:szCs w:val="32"/>
        </w:rPr>
        <w:t>学生规模扩大带来的资源消耗：在校学生数量的逐年递增，不仅意味着学费收入的有限增加，更对学校的承载能力提出了全方位挑战。为了满足更多学生的就学需求，学校必须在教学楼宇、实验设备、体育场馆、生活设施等方面进行扩建或升级，并持续投入更多的日常运维经费，这些都在急剧加大学校的财务压力。</w:t>
      </w:r>
    </w:p>
    <w:p w14:paraId="21336A6D">
      <w:pPr>
        <w:spacing w:line="600" w:lineRule="exact"/>
        <w:ind w:firstLine="640" w:firstLineChars="200"/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仿宋_GB2312"/>
          <w:sz w:val="32"/>
          <w:szCs w:val="32"/>
        </w:rPr>
        <w:t>收支不平衡的结构性矛盾：一方面，师资和学生数量增长带来的支出具有刚性和即时性；另一方面，学校的资金来源渠道相对有限，其增长幅度往往滞后于实际需求的扩张速度。这种收入与支出在速度和规模上的不匹配，最终形成了阶段性的经费短缺局面。</w:t>
      </w:r>
    </w:p>
    <w:p w14:paraId="1807854A">
      <w:pPr>
        <w:numPr>
          <w:ilvl w:val="0"/>
          <w:numId w:val="5"/>
        </w:num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下一步改进措施</w:t>
      </w:r>
    </w:p>
    <w:p w14:paraId="043B545E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强化预算精准编制与刚性约束</w:t>
      </w:r>
      <w:r>
        <w:rPr>
          <w:rFonts w:hint="default" w:ascii="Times New Roman" w:hAnsi="Times New Roman" w:eastAsia="仿宋_GB2312" w:cs="仿宋_GB2312"/>
          <w:sz w:val="32"/>
          <w:szCs w:val="32"/>
        </w:rPr>
        <w:t>：推行“零基预算”理念，打破基数依赖，一切从实际需求和项目出发。要求各部门协同参与，科学预测年度收支，细化支出科目与绩效目标，确保预算编制既全面又精准，从源头上提高资金使用效益，杜绝无预算、超预算支出。</w:t>
      </w:r>
    </w:p>
    <w:p w14:paraId="0EB93F8F"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仿宋_GB2312"/>
          <w:sz w:val="32"/>
          <w:szCs w:val="32"/>
        </w:rPr>
        <w:t>健全财务内控与审核机制：修订并严格执行财务报销与审批流程，明确各级审批权限与责任。加强对各项支出的合规性、真实性和必要性审核，重点管控大额支出。推行财务信息公开，定期进行财务分析，为决策提供数据支持，确保每一笔资金都用在刀刃上。</w:t>
      </w:r>
    </w:p>
    <w:p w14:paraId="20A70E91">
      <w:pPr>
        <w:spacing w:line="600" w:lineRule="exact"/>
        <w:ind w:firstLine="640" w:firstLineChars="200"/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仿宋_GB2312"/>
          <w:sz w:val="32"/>
          <w:szCs w:val="32"/>
        </w:rPr>
        <w:t>建立全生命周期资产管理体系：对各类资产进行清盘建账，明确管理责任人。建立从采购论证、入账登记、日常使用维护到报废处置的全流程管理制度。探索共享共用机制，提高设备利用率，防止重复购置和资产流失，确保国有资产安全完整和保值增值。</w:t>
      </w:r>
    </w:p>
    <w:p w14:paraId="56004E97">
      <w:pPr>
        <w:numPr>
          <w:ilvl w:val="0"/>
          <w:numId w:val="5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部门整体支出绩效自评结果拟应用和公开情况</w:t>
      </w:r>
    </w:p>
    <w:p w14:paraId="1D10389C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通过本次绩效测评，本单位对2024年的工作完成情况有了更加深入的了解，在实际操作中我们能较好的完成学校财务以及各项工作。我校将在职工大会将本次自评结果进行如实通报。</w:t>
      </w:r>
    </w:p>
    <w:p w14:paraId="1E233377">
      <w:pPr>
        <w:tabs>
          <w:tab w:val="left" w:pos="7560"/>
        </w:tabs>
        <w:adjustRightInd w:val="0"/>
        <w:snapToGrid w:val="0"/>
        <w:spacing w:line="560" w:lineRule="exact"/>
        <w:ind w:left="420" w:leftChars="200"/>
        <w:rPr>
          <w:rFonts w:ascii="黑体" w:hAnsi="黑体" w:eastAsia="黑体"/>
          <w:sz w:val="32"/>
          <w:szCs w:val="32"/>
        </w:rPr>
      </w:pPr>
    </w:p>
    <w:p w14:paraId="040D7DC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 2024年度部门整体支出绩效评价基础数据表</w:t>
      </w:r>
    </w:p>
    <w:p w14:paraId="4261682B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 2024年度部门整体支出绩效自评表</w:t>
      </w:r>
    </w:p>
    <w:p w14:paraId="6A09080B"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2024年度项目支出绩效自评表</w:t>
      </w:r>
    </w:p>
    <w:p w14:paraId="3FB353D7">
      <w:pPr>
        <w:tabs>
          <w:tab w:val="left" w:pos="7560"/>
        </w:tabs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</w:p>
    <w:p w14:paraId="2EBD0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872780-613C-4AF2-901C-583FDCFE86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ECFC594-D4FB-4B9B-B79B-BEB6BBD4806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7BC130D5-5D8F-4B74-96B6-82ED022352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3E9344"/>
    <w:multiLevelType w:val="singleLevel"/>
    <w:tmpl w:val="833E9344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A1C0F74"/>
    <w:multiLevelType w:val="singleLevel"/>
    <w:tmpl w:val="AA1C0F7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D1984B4"/>
    <w:multiLevelType w:val="singleLevel"/>
    <w:tmpl w:val="CD1984B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E26A9A0"/>
    <w:multiLevelType w:val="singleLevel"/>
    <w:tmpl w:val="0E26A9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97D0A0E"/>
    <w:multiLevelType w:val="singleLevel"/>
    <w:tmpl w:val="297D0A0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6079053A"/>
    <w:rsid w:val="002413D6"/>
    <w:rsid w:val="003F79B0"/>
    <w:rsid w:val="004E5B9B"/>
    <w:rsid w:val="006C501B"/>
    <w:rsid w:val="006D6494"/>
    <w:rsid w:val="1D5A1AB7"/>
    <w:rsid w:val="20791DB5"/>
    <w:rsid w:val="4FF4363A"/>
    <w:rsid w:val="6079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987</Words>
  <Characters>1065</Characters>
  <Lines>1</Lines>
  <Paragraphs>2</Paragraphs>
  <TotalTime>7</TotalTime>
  <ScaleCrop>false</ScaleCrop>
  <LinksUpToDate>false</LinksUpToDate>
  <CharactersWithSpaces>1069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2025-06-03T08:23:00Z</dcterms:created>
  <dc:creator>企业用户_311118686</dc:creator>
  <cp:lastModifiedBy>企业用户_311118686</cp:lastModifiedBy>
  <cp:lastPrinted>2025-06-04T02:17:00Z</cp:lastPrinted>
  <dcterms:modified xsi:type="dcterms:W3CDTF">2025-09-18T03:01:38Z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7FBC115326A948E9A9F9B42E92AD70B1_11</vt:lpwstr>
  </property>
  <property fmtid="{D5CDD505-2E9C-101B-9397-08002B2CF9AE}" pid="4" name="KSOTemplateDocerSaveRecord">
    <vt:lpwstr>eyJoZGlkIjoiYmNlODE0MGYwZWQzODQ2NGE4Mzc1OGZiZWI5ZDgzOTYiLCJ1c2VySWQiOiIxNTQ5NjQyNTE4In0=</vt:lpwstr>
  </property>
</Properties>
</file>