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5D" w:rsidRDefault="002F64A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E3485D" w:rsidRDefault="002F64AF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202</w:t>
      </w:r>
      <w:r>
        <w:rPr>
          <w:rFonts w:ascii="方正小标宋简体" w:eastAsia="方正小标宋简体" w:hint="eastAsia"/>
          <w:sz w:val="40"/>
          <w:szCs w:val="32"/>
        </w:rPr>
        <w:t>4</w:t>
      </w:r>
      <w:r>
        <w:rPr>
          <w:rFonts w:ascii="方正小标宋简体" w:eastAsia="方正小标宋简体" w:hint="eastAsia"/>
          <w:sz w:val="40"/>
          <w:szCs w:val="32"/>
        </w:rPr>
        <w:t>年度</w:t>
      </w:r>
      <w:r>
        <w:rPr>
          <w:rFonts w:ascii="方正小标宋简体" w:eastAsia="方正小标宋简体" w:hint="eastAsia"/>
          <w:sz w:val="40"/>
          <w:szCs w:val="32"/>
        </w:rPr>
        <w:t>株洲市</w:t>
      </w:r>
      <w:r w:rsidR="004829DE">
        <w:rPr>
          <w:rFonts w:ascii="宋体" w:eastAsia="宋体" w:hAnsi="宋体" w:cs="宋体" w:hint="eastAsia"/>
          <w:sz w:val="40"/>
          <w:szCs w:val="32"/>
        </w:rPr>
        <w:t>龙船镇中心</w:t>
      </w:r>
      <w:r w:rsidR="004829DE">
        <w:rPr>
          <w:rFonts w:ascii="___WRD_EMBED_SUB_42" w:eastAsia="___WRD_EMBED_SUB_42" w:hAnsi="___WRD_EMBED_SUB_42" w:cs="___WRD_EMBED_SUB_42" w:hint="eastAsia"/>
          <w:sz w:val="40"/>
          <w:szCs w:val="32"/>
        </w:rPr>
        <w:t>学</w:t>
      </w:r>
      <w:r w:rsidR="004829DE">
        <w:rPr>
          <w:rFonts w:ascii="宋体" w:eastAsia="宋体" w:hAnsi="宋体" w:cs="宋体" w:hint="eastAsia"/>
          <w:sz w:val="40"/>
          <w:szCs w:val="32"/>
        </w:rPr>
        <w:t>校</w:t>
      </w:r>
      <w:r>
        <w:rPr>
          <w:rFonts w:ascii="方正小标宋简体" w:eastAsia="方正小标宋简体" w:hint="eastAsia"/>
          <w:sz w:val="40"/>
          <w:szCs w:val="32"/>
        </w:rPr>
        <w:t>整体支出</w:t>
      </w:r>
    </w:p>
    <w:p w:rsidR="00E3485D" w:rsidRDefault="002F64A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绩效自评报告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一、部门（单位）基本情况</w:t>
      </w:r>
    </w:p>
    <w:p w:rsidR="00E3485D" w:rsidRDefault="002F64AF">
      <w:pPr>
        <w:numPr>
          <w:ilvl w:val="0"/>
          <w:numId w:val="1"/>
        </w:num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主要职能</w:t>
      </w:r>
    </w:p>
    <w:p w:rsidR="00E3485D" w:rsidRDefault="002F64AF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严格按照教育法组织教育教学工作，加强教育教学管理，提高教育教学质量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、加强教师队伍建设，提升教师业务水平完善教师自身素养，强化师德师风建设。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、宣传贯彻执行党和国家的教育方针、教育政策、教育法律和教育法规，贯彻执行上级教育行政部门的行政规章。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、按照上级教育行政部门课程计划开齐课程开足课时，认真实施中小学的教育教学管理，全面推进素质教育。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、完成上级部门交给的其他任务。</w:t>
      </w:r>
    </w:p>
    <w:p w:rsidR="00E3485D" w:rsidRDefault="002F64A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（二）机构情况</w:t>
      </w:r>
    </w:p>
    <w:p w:rsidR="00E3485D" w:rsidRDefault="002F64AF">
      <w:pPr>
        <w:spacing w:line="600" w:lineRule="exact"/>
        <w:ind w:firstLineChars="200" w:firstLine="560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本单位为株洲市</w:t>
      </w:r>
      <w:r w:rsidR="004829DE">
        <w:rPr>
          <w:rFonts w:ascii="宋体" w:eastAsia="宋体" w:hAnsi="宋体" w:cs="宋体" w:hint="eastAsia"/>
          <w:bCs/>
          <w:color w:val="000000"/>
          <w:sz w:val="28"/>
          <w:szCs w:val="28"/>
        </w:rPr>
        <w:t>龙船镇中心学校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，所属</w:t>
      </w:r>
      <w:r w:rsidR="004829DE">
        <w:rPr>
          <w:rFonts w:ascii="宋体" w:eastAsia="宋体" w:hAnsi="宋体" w:cs="宋体" w:hint="eastAsia"/>
          <w:bCs/>
          <w:color w:val="000000"/>
          <w:sz w:val="28"/>
          <w:szCs w:val="28"/>
        </w:rPr>
        <w:t>一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级</w:t>
      </w:r>
      <w:r>
        <w:rPr>
          <w:rFonts w:ascii="宋体" w:eastAsia="宋体" w:hAnsi="宋体" w:cs="宋体" w:hint="eastAsia"/>
          <w:bCs/>
          <w:color w:val="000000"/>
          <w:spacing w:val="14"/>
          <w:sz w:val="28"/>
          <w:szCs w:val="28"/>
        </w:rPr>
        <w:t>预算单位，单位性质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为财政补助事业单位。现有在编专任教师</w:t>
      </w:r>
      <w:r w:rsidR="004829DE">
        <w:rPr>
          <w:rFonts w:ascii="宋体" w:eastAsia="宋体" w:hAnsi="宋体" w:cs="宋体" w:hint="eastAsia"/>
          <w:bCs/>
          <w:color w:val="000000"/>
          <w:sz w:val="28"/>
          <w:szCs w:val="28"/>
        </w:rPr>
        <w:t>97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名，事业单位工勤人员</w:t>
      </w:r>
      <w:r w:rsidR="004829DE">
        <w:rPr>
          <w:rFonts w:ascii="宋体" w:eastAsia="宋体" w:hAnsi="宋体" w:cs="宋体" w:hint="eastAsia"/>
          <w:bCs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名，退休教师</w:t>
      </w:r>
      <w:r w:rsidR="004829DE">
        <w:rPr>
          <w:rFonts w:ascii="宋体" w:eastAsia="宋体" w:hAnsi="宋体" w:cs="宋体" w:hint="eastAsia"/>
          <w:bCs/>
          <w:color w:val="000000"/>
          <w:sz w:val="28"/>
          <w:szCs w:val="28"/>
        </w:rPr>
        <w:t>169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人。</w:t>
      </w:r>
    </w:p>
    <w:p w:rsidR="00E3485D" w:rsidRDefault="00E3485D">
      <w:pPr>
        <w:spacing w:line="600" w:lineRule="exact"/>
        <w:ind w:firstLineChars="200" w:firstLine="560"/>
        <w:rPr>
          <w:rFonts w:ascii="宋体" w:eastAsia="宋体" w:hAnsi="宋体" w:cs="宋体"/>
          <w:bCs/>
          <w:color w:val="000000"/>
          <w:sz w:val="28"/>
          <w:szCs w:val="28"/>
        </w:rPr>
      </w:pP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二、一般公共预算支出情况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（一）基本支出情况</w:t>
      </w:r>
    </w:p>
    <w:p w:rsidR="004829DE" w:rsidRDefault="004829DE" w:rsidP="004829DE">
      <w:pPr>
        <w:pStyle w:val="a3"/>
        <w:tabs>
          <w:tab w:val="left" w:pos="3381"/>
          <w:tab w:val="left" w:pos="3864"/>
          <w:tab w:val="left" w:pos="6248"/>
          <w:tab w:val="left" w:pos="7386"/>
        </w:tabs>
        <w:overflowPunct w:val="0"/>
        <w:spacing w:beforeLines="5" w:before="15"/>
        <w:ind w:leftChars="200" w:left="420" w:rightChars="74" w:right="155" w:firstLineChars="200" w:firstLine="66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lastRenderedPageBreak/>
        <w:t>2024年度支出合计2323.2万元，其中：基本支出1823.53万元，占78.49%；项目支出499.67万元，占21.51%；上缴上级支出0万元，占0.00%；经营支出0万元，占0.00%；对附属单位补助支出0万元，占0.00 %。</w:t>
      </w:r>
    </w:p>
    <w:p w:rsidR="00E3485D" w:rsidRPr="004829DE" w:rsidRDefault="00E3485D" w:rsidP="004829DE">
      <w:pPr>
        <w:widowControl/>
        <w:spacing w:line="600" w:lineRule="exact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</w:p>
    <w:p w:rsidR="00E3485D" w:rsidRDefault="00E3485D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E3485D" w:rsidRDefault="002F64AF">
      <w:pPr>
        <w:pStyle w:val="a6"/>
        <w:widowControl/>
        <w:numPr>
          <w:ilvl w:val="0"/>
          <w:numId w:val="1"/>
        </w:numPr>
        <w:spacing w:before="100" w:after="10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政府性基金预算支出情况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国有资本经营预算支出情况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社会保险基金预算支出情况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六、资金使用及绩效情况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（一）整体支出绩效情况</w:t>
      </w:r>
    </w:p>
    <w:p w:rsidR="004829DE" w:rsidRDefault="004829DE" w:rsidP="004829DE">
      <w:pPr>
        <w:pStyle w:val="a3"/>
        <w:tabs>
          <w:tab w:val="left" w:pos="3381"/>
          <w:tab w:val="left" w:pos="3864"/>
          <w:tab w:val="left" w:pos="6248"/>
          <w:tab w:val="left" w:pos="7386"/>
        </w:tabs>
        <w:overflowPunct w:val="0"/>
        <w:spacing w:beforeLines="5" w:before="15"/>
        <w:ind w:leftChars="200" w:left="420" w:rightChars="74" w:right="155" w:firstLineChars="200" w:firstLine="66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2024年度支出合计2323.2万元，其中：基本支出1823.53万元，占78.49%；项目支出499.67万元，占21.51%；上缴上级支出0万元，占0.00%；经营支出0万元，占0.00%；对附属单位补助支出0万元，占0.00 %。</w:t>
      </w:r>
    </w:p>
    <w:p w:rsidR="00E3485D" w:rsidRPr="004829DE" w:rsidRDefault="00E3485D" w:rsidP="004829DE">
      <w:pPr>
        <w:widowControl/>
        <w:spacing w:line="600" w:lineRule="exact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（二）项目支出绩效情况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七、存在的问题及原因分析</w:t>
      </w:r>
    </w:p>
    <w:p w:rsidR="00E3485D" w:rsidRDefault="002F64AF" w:rsidP="004829DE">
      <w:pPr>
        <w:pStyle w:val="msolistparagraph0"/>
        <w:widowControl/>
        <w:spacing w:line="360" w:lineRule="auto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1</w:t>
      </w:r>
      <w:r>
        <w:rPr>
          <w:rFonts w:cs="宋体"/>
          <w:sz w:val="28"/>
          <w:szCs w:val="28"/>
        </w:rPr>
        <w:t>、</w:t>
      </w:r>
      <w:r>
        <w:rPr>
          <w:rFonts w:cs="宋体"/>
          <w:sz w:val="28"/>
          <w:szCs w:val="28"/>
        </w:rPr>
        <w:t>绩效评价管理体制不健全</w:t>
      </w:r>
      <w:r>
        <w:rPr>
          <w:rFonts w:cs="宋体"/>
          <w:sz w:val="28"/>
          <w:szCs w:val="28"/>
        </w:rPr>
        <w:t>很多制度与管理方式还不够完善；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财务人员非专业，财务内部控制制度不健全，对财务风险的防范能力较弱。</w:t>
      </w:r>
    </w:p>
    <w:p w:rsidR="00E3485D" w:rsidRDefault="002F64AF">
      <w:pPr>
        <w:pStyle w:val="msolistparagraph0"/>
        <w:widowControl/>
        <w:spacing w:line="360" w:lineRule="auto"/>
        <w:ind w:left="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3</w:t>
      </w:r>
      <w:r>
        <w:rPr>
          <w:rFonts w:cs="宋体"/>
          <w:color w:val="000000"/>
          <w:sz w:val="28"/>
          <w:szCs w:val="28"/>
        </w:rPr>
        <w:t>、绩效管理体系设立不够完善，缺乏相关规章制度，对于绩效评价的反馈机制不清晰，不能及时发现问题并及时改进。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4</w:t>
      </w:r>
      <w:r>
        <w:rPr>
          <w:rFonts w:cs="宋体"/>
          <w:color w:val="000000"/>
          <w:sz w:val="28"/>
          <w:szCs w:val="28"/>
        </w:rPr>
        <w:t>、固定资产购置、验收、登记、保管、处置等环节缺乏规范的管理制度，存在资产流失、闲置浪费等问题。部分资产长期闲置未得到有效利用，而一些急需的资产却未能及时购置，影响了部门的正常工作开展。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5</w:t>
      </w:r>
      <w:r>
        <w:rPr>
          <w:rFonts w:cs="宋体"/>
          <w:color w:val="000000"/>
          <w:sz w:val="28"/>
          <w:szCs w:val="28"/>
        </w:rPr>
        <w:t>、政府采购预算编制不完整、不准确，存在无预算采购、超预算采购等现象。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原因分析：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1</w:t>
      </w:r>
      <w:r>
        <w:rPr>
          <w:rFonts w:cs="宋体"/>
          <w:color w:val="000000"/>
          <w:sz w:val="28"/>
          <w:szCs w:val="28"/>
        </w:rPr>
        <w:t>、绩效管理能力不足：部门绩效管理团队专业素质不高，缺乏必要的绩效管理知识和技能，难以对预算支出的绩效进行科学的评价和分析。绩效评价指标体系不完善，未能全面、准确地反映项目的绩效情况，影响了绩效评价结果的科学性和公正性。</w:t>
      </w:r>
    </w:p>
    <w:p w:rsidR="00E3485D" w:rsidRDefault="002F64AF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下一步改进措施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建立预算编制与部门年度工作任务、发展规划的联动机制，在编制前全面调研实际需求，充分考虑物价变动、政策调整等因素。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科学设定绩效目标，确保目标清晰、可衡量、可实现、相关性强、有时间限制。加强绩效评价结果的运用，将评价结果与下一年度预算编制、部门绩效考核等挂钩，建立激励和约束机制</w:t>
      </w:r>
      <w:r>
        <w:rPr>
          <w:rFonts w:ascii="宋体" w:eastAsia="宋体" w:hAnsi="宋体" w:cs="宋体" w:hint="eastAsia"/>
          <w:sz w:val="28"/>
          <w:szCs w:val="28"/>
        </w:rPr>
        <w:t>，充分发挥绩效管理的导向作用。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梳理部门各岗位职责，明确工作任务和责任主体，严格执行资金使用的相关规定，严禁挤占、挪用、截留资金。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建立健全固定资产购置、验收、登记、保管、处置等环节的管理制度，明确各环节的责任和流程。定期对固定资产进行清查盘点，及时处置闲置资产，提高资产使用效率。加强对资产购置的审核和管理，确保资产购置与部门工作需求相匹配。</w:t>
      </w:r>
    </w:p>
    <w:p w:rsidR="00E3485D" w:rsidRDefault="002F64AF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部门整体支出绩效自评结果拟应用和公开情况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</w:t>
      </w:r>
      <w:r>
        <w:rPr>
          <w:rFonts w:ascii="宋体" w:eastAsia="宋体" w:hAnsi="宋体" w:cs="宋体" w:hint="eastAsia"/>
          <w:sz w:val="28"/>
          <w:szCs w:val="28"/>
        </w:rPr>
        <w:t>202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年度的财政资金使用情况进行了公示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300" w:firstLine="8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其他需要说明的情况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  <w:r>
        <w:rPr>
          <w:rFonts w:ascii="宋体" w:eastAsia="宋体" w:hAnsi="宋体" w:cs="宋体" w:hint="eastAsia"/>
          <w:sz w:val="28"/>
          <w:szCs w:val="28"/>
        </w:rPr>
        <w:t>1. 202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年度部门整体支出绩效自评表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E3485D" w:rsidRDefault="00E3485D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E3485D" w:rsidRDefault="002F64AF">
      <w:pPr>
        <w:spacing w:line="360" w:lineRule="auto"/>
        <w:ind w:leftChars="284" w:left="4796" w:hangingChars="1500" w:hanging="420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株洲市</w:t>
      </w:r>
      <w:r w:rsidR="004829DE">
        <w:rPr>
          <w:rFonts w:ascii="宋体" w:eastAsia="宋体" w:hAnsi="宋体" w:cs="宋体" w:hint="eastAsia"/>
          <w:sz w:val="28"/>
          <w:szCs w:val="28"/>
        </w:rPr>
        <w:t>龙船镇中心学校</w:t>
      </w:r>
    </w:p>
    <w:p w:rsidR="00E3485D" w:rsidRDefault="002F64AF">
      <w:pPr>
        <w:spacing w:line="360" w:lineRule="auto"/>
        <w:ind w:firstLineChars="1700" w:firstLine="47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4829DE">
        <w:rPr>
          <w:rFonts w:ascii="宋体" w:eastAsia="宋体" w:hAnsi="宋体" w:cs="宋体" w:hint="eastAsia"/>
          <w:sz w:val="28"/>
          <w:szCs w:val="28"/>
        </w:rPr>
        <w:t>10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E3485D" w:rsidRDefault="00E3485D"/>
    <w:p w:rsidR="00E3485D" w:rsidRDefault="00E3485D"/>
    <w:p w:rsidR="00E3485D" w:rsidRDefault="00E3485D">
      <w:pPr>
        <w:tabs>
          <w:tab w:val="left" w:pos="756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sectPr w:rsidR="00E3485D"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F" w:rsidRDefault="002F64AF">
      <w:r>
        <w:separator/>
      </w:r>
    </w:p>
  </w:endnote>
  <w:endnote w:type="continuationSeparator" w:id="0">
    <w:p w:rsidR="002F64AF" w:rsidRDefault="002F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465F4B3-95F6-480F-887E-FBF2DC95FC37}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9D49DAF-FFCC-4E2C-8FA5-F447B7FB4F1A}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  <w:embedRegular r:id="rId3" w:subsetted="1" w:fontKey="{C0BE7361-6E01-488F-9753-132EDB624302}"/>
  </w:font>
  <w:font w:name="___WRD_EMBED_SUB_42">
    <w:altName w:val="Arial Unicode MS"/>
    <w:panose1 w:val="02010600030101010101"/>
    <w:charset w:val="86"/>
    <w:family w:val="script"/>
    <w:pitch w:val="default"/>
    <w:sig w:usb0="00000000" w:usb1="080E0000" w:usb2="0000001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654F841-9225-4460-9F18-218460F6B49E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85D" w:rsidRDefault="002F64A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3485D" w:rsidRDefault="002F64AF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829D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E3485D" w:rsidRDefault="002F64AF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829D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F" w:rsidRDefault="002F64AF">
      <w:r>
        <w:separator/>
      </w:r>
    </w:p>
  </w:footnote>
  <w:footnote w:type="continuationSeparator" w:id="0">
    <w:p w:rsidR="002F64AF" w:rsidRDefault="002F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999E4"/>
    <w:multiLevelType w:val="singleLevel"/>
    <w:tmpl w:val="B9E999E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0156F4"/>
    <w:multiLevelType w:val="singleLevel"/>
    <w:tmpl w:val="CE0156F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5D8140"/>
    <w:multiLevelType w:val="singleLevel"/>
    <w:tmpl w:val="DE5D814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F369572"/>
    <w:multiLevelType w:val="singleLevel"/>
    <w:tmpl w:val="FF369572"/>
    <w:lvl w:ilvl="0">
      <w:start w:val="1"/>
      <w:numFmt w:val="decimal"/>
      <w:suff w:val="nothing"/>
      <w:lvlText w:val="%1、"/>
      <w:lvlJc w:val="left"/>
      <w:rPr>
        <w:rFonts w:ascii="宋体" w:eastAsia="宋体" w:hAnsi="宋体" w:cs="宋体" w:hint="default"/>
      </w:rPr>
    </w:lvl>
  </w:abstractNum>
  <w:abstractNum w:abstractNumId="4">
    <w:nsid w:val="3AFFF8D3"/>
    <w:multiLevelType w:val="singleLevel"/>
    <w:tmpl w:val="3AFFF8D3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YzExODI0M2QyMWRlNGMxYjMyYTg1ZTEzYWI3NmYifQ=="/>
  </w:docVars>
  <w:rsids>
    <w:rsidRoot w:val="00222CFF"/>
    <w:rsid w:val="DFFB7864"/>
    <w:rsid w:val="E7FFF3A3"/>
    <w:rsid w:val="EDFEBBDF"/>
    <w:rsid w:val="FEFA6A1B"/>
    <w:rsid w:val="00051120"/>
    <w:rsid w:val="00222CFF"/>
    <w:rsid w:val="002F64AF"/>
    <w:rsid w:val="004829DE"/>
    <w:rsid w:val="0094708B"/>
    <w:rsid w:val="00E3485D"/>
    <w:rsid w:val="01620834"/>
    <w:rsid w:val="049006D3"/>
    <w:rsid w:val="04E92909"/>
    <w:rsid w:val="05436869"/>
    <w:rsid w:val="07B34BFF"/>
    <w:rsid w:val="09992A1A"/>
    <w:rsid w:val="0B143885"/>
    <w:rsid w:val="0C283110"/>
    <w:rsid w:val="0D564DFD"/>
    <w:rsid w:val="0DB57CB4"/>
    <w:rsid w:val="0E8845BE"/>
    <w:rsid w:val="14274190"/>
    <w:rsid w:val="14E90AAD"/>
    <w:rsid w:val="156A35F2"/>
    <w:rsid w:val="18D620ED"/>
    <w:rsid w:val="18D97BBF"/>
    <w:rsid w:val="1C9A5481"/>
    <w:rsid w:val="1EE65901"/>
    <w:rsid w:val="1F397586"/>
    <w:rsid w:val="20221513"/>
    <w:rsid w:val="20641D75"/>
    <w:rsid w:val="21C276E9"/>
    <w:rsid w:val="24577429"/>
    <w:rsid w:val="2A0D1C4E"/>
    <w:rsid w:val="2A6752F3"/>
    <w:rsid w:val="2B95569E"/>
    <w:rsid w:val="2BC76C50"/>
    <w:rsid w:val="2EFFB905"/>
    <w:rsid w:val="32880FD1"/>
    <w:rsid w:val="374D77F6"/>
    <w:rsid w:val="37A570FA"/>
    <w:rsid w:val="38A71B8B"/>
    <w:rsid w:val="3AF70BD4"/>
    <w:rsid w:val="3C065573"/>
    <w:rsid w:val="3E6A6D4F"/>
    <w:rsid w:val="3FE693AD"/>
    <w:rsid w:val="4035158F"/>
    <w:rsid w:val="406A0A51"/>
    <w:rsid w:val="455137CA"/>
    <w:rsid w:val="4A9A5B32"/>
    <w:rsid w:val="4AF01932"/>
    <w:rsid w:val="4DD57ADF"/>
    <w:rsid w:val="4F3BD62E"/>
    <w:rsid w:val="4F7B637A"/>
    <w:rsid w:val="51B51DC6"/>
    <w:rsid w:val="524C14DA"/>
    <w:rsid w:val="53447242"/>
    <w:rsid w:val="536974C6"/>
    <w:rsid w:val="53CB15B5"/>
    <w:rsid w:val="54AF45A2"/>
    <w:rsid w:val="577C6C0C"/>
    <w:rsid w:val="590F614C"/>
    <w:rsid w:val="5ABB5323"/>
    <w:rsid w:val="5E3D48E1"/>
    <w:rsid w:val="5F5A06DF"/>
    <w:rsid w:val="60A326B2"/>
    <w:rsid w:val="60D10035"/>
    <w:rsid w:val="61171AD8"/>
    <w:rsid w:val="6186789B"/>
    <w:rsid w:val="630E7BE6"/>
    <w:rsid w:val="63B32BC4"/>
    <w:rsid w:val="64CB5136"/>
    <w:rsid w:val="6B0851D1"/>
    <w:rsid w:val="6E8510D9"/>
    <w:rsid w:val="73FD1AE5"/>
    <w:rsid w:val="77B909F0"/>
    <w:rsid w:val="78540864"/>
    <w:rsid w:val="7A3823CE"/>
    <w:rsid w:val="7BFFF342"/>
    <w:rsid w:val="7CFFB774"/>
    <w:rsid w:val="7F4D52D0"/>
    <w:rsid w:val="7F55F449"/>
    <w:rsid w:val="9F7F477C"/>
    <w:rsid w:val="B3BDE00E"/>
    <w:rsid w:val="BB96D3B8"/>
    <w:rsid w:val="BEB6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宋体" w:eastAsia="宋体" w:hAnsi="宋体" w:cs="Times New Roman" w:hint="eastAsia"/>
      <w:sz w:val="33"/>
      <w:szCs w:val="3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1Char">
    <w:name w:val="标题 1 Char"/>
    <w:basedOn w:val="a0"/>
    <w:link w:val="1"/>
    <w:qFormat/>
    <w:rPr>
      <w:rFonts w:ascii="Calibri" w:hAnsi="Calibri" w:cs="Calibri" w:hint="default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qFormat/>
    <w:pPr>
      <w:ind w:left="1079" w:hanging="309"/>
    </w:pPr>
    <w:rPr>
      <w:rFonts w:ascii="宋体" w:eastAsia="宋体" w:hAnsi="宋体" w:cs="Times New Roman" w:hint="eastAsia"/>
      <w:szCs w:val="22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宋体" w:hint="eastAsia"/>
      <w:kern w:val="2"/>
      <w:sz w:val="33"/>
      <w:szCs w:val="33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宋体" w:eastAsia="宋体" w:hAnsi="宋体" w:cs="Times New Roman" w:hint="eastAsia"/>
      <w:sz w:val="33"/>
      <w:szCs w:val="3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1Char">
    <w:name w:val="标题 1 Char"/>
    <w:basedOn w:val="a0"/>
    <w:link w:val="1"/>
    <w:qFormat/>
    <w:rPr>
      <w:rFonts w:ascii="Calibri" w:hAnsi="Calibri" w:cs="Calibri" w:hint="default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qFormat/>
    <w:pPr>
      <w:ind w:left="1079" w:hanging="309"/>
    </w:pPr>
    <w:rPr>
      <w:rFonts w:ascii="宋体" w:eastAsia="宋体" w:hAnsi="宋体" w:cs="Times New Roman" w:hint="eastAsia"/>
      <w:szCs w:val="22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宋体" w:hint="eastAsia"/>
      <w:kern w:val="2"/>
      <w:sz w:val="33"/>
      <w:szCs w:val="33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2025-09-18T03:44:00Z</cp:lastPrinted>
  <dcterms:created xsi:type="dcterms:W3CDTF">2021-03-24T07:15:00Z</dcterms:created>
  <dcterms:modified xsi:type="dcterms:W3CDTF">2025-10-16T10:23:00Z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56923534E13147008D5C005D0A354969_13</vt:lpwstr>
  </property>
  <property fmtid="{D5CDD505-2E9C-101B-9397-08002B2CF9AE}" pid="4" name="KSOTemplateDocerSaveRecord">
    <vt:lpwstr>eyJoZGlkIjoiYmJkM2Y5NGUwMDdhODRhNmYzODA1M2RhNDAwM2RmZWIiLCJ1c2VySWQiOiI5NzkzNDIzNTYifQ==</vt:lpwstr>
  </property>
</Properties>
</file>