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5D" w:rsidRDefault="002F64A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E3485D" w:rsidRPr="003B05BD" w:rsidRDefault="002F64AF">
      <w:pPr>
        <w:jc w:val="center"/>
        <w:rPr>
          <w:rFonts w:ascii="方正小标宋简体" w:eastAsia="方正小标宋简体"/>
          <w:sz w:val="36"/>
          <w:szCs w:val="32"/>
        </w:rPr>
      </w:pPr>
      <w:r w:rsidRPr="003B05BD">
        <w:rPr>
          <w:rFonts w:ascii="方正小标宋简体" w:eastAsia="方正小标宋简体" w:hint="eastAsia"/>
          <w:sz w:val="36"/>
          <w:szCs w:val="32"/>
        </w:rPr>
        <w:t>2024年度</w:t>
      </w:r>
      <w:r w:rsidR="003B05BD" w:rsidRPr="003B05BD">
        <w:rPr>
          <w:rFonts w:ascii="方正小标宋简体" w:eastAsia="方正小标宋简体" w:hint="eastAsia"/>
          <w:sz w:val="36"/>
          <w:szCs w:val="32"/>
        </w:rPr>
        <w:t>株洲市</w:t>
      </w:r>
      <w:proofErr w:type="gramStart"/>
      <w:r w:rsidR="003B05BD" w:rsidRPr="003B05BD">
        <w:rPr>
          <w:rFonts w:ascii="宋体" w:eastAsia="宋体" w:hAnsi="宋体" w:cs="宋体" w:hint="eastAsia"/>
          <w:sz w:val="36"/>
          <w:szCs w:val="32"/>
        </w:rPr>
        <w:t>渌</w:t>
      </w:r>
      <w:proofErr w:type="gramEnd"/>
      <w:r w:rsidR="003B05BD" w:rsidRPr="003B05BD">
        <w:rPr>
          <w:rFonts w:ascii="宋体" w:eastAsia="宋体" w:hAnsi="宋体" w:cs="宋体" w:hint="eastAsia"/>
          <w:sz w:val="36"/>
          <w:szCs w:val="32"/>
        </w:rPr>
        <w:t>口区古岳峰镇古岳峰学校</w:t>
      </w:r>
      <w:r w:rsidRPr="003B05BD">
        <w:rPr>
          <w:rFonts w:ascii="方正小标宋简体" w:eastAsia="方正小标宋简体" w:hint="eastAsia"/>
          <w:sz w:val="36"/>
          <w:szCs w:val="32"/>
        </w:rPr>
        <w:t>整体支出</w:t>
      </w:r>
    </w:p>
    <w:p w:rsidR="00E3485D" w:rsidRDefault="002F64A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绩效自评报告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一、部门（单位）基本情况</w:t>
      </w:r>
    </w:p>
    <w:p w:rsidR="00E3485D" w:rsidRDefault="002F64AF">
      <w:pPr>
        <w:numPr>
          <w:ilvl w:val="0"/>
          <w:numId w:val="1"/>
        </w:num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主要职能</w:t>
      </w:r>
    </w:p>
    <w:p w:rsidR="00E3485D" w:rsidRDefault="002F64AF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严格按照教育法组织教育教学工作，加强教育教学管理，提高教育教学质量。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2、加强教师队伍建设，提升教师业务水平完善教师自身素养，强化师德师风建设。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3、宣传贯彻执行党和国家的教育方针、教育政策、教育法律和教育法规，贯彻执行上级教育行政部门的行政规章。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4、按照上级教育行政部门课程计划开齐课程开足课时，认真实施中小学的教育教学管理，全面推进素质教育。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5、完成上级部门交给的其他任务。</w:t>
      </w:r>
    </w:p>
    <w:p w:rsidR="00E3485D" w:rsidRDefault="002F64A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（二）机构情况</w:t>
      </w:r>
    </w:p>
    <w:p w:rsidR="00E3485D" w:rsidRDefault="002F64AF">
      <w:pPr>
        <w:spacing w:line="600" w:lineRule="exact"/>
        <w:ind w:firstLineChars="200" w:firstLine="560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本单位为</w:t>
      </w:r>
      <w:r w:rsidR="003B05BD">
        <w:rPr>
          <w:rFonts w:ascii="宋体" w:eastAsia="宋体" w:hAnsi="宋体" w:cs="宋体" w:hint="eastAsia"/>
          <w:bCs/>
          <w:color w:val="000000"/>
          <w:sz w:val="28"/>
          <w:szCs w:val="28"/>
        </w:rPr>
        <w:t>株洲市</w:t>
      </w:r>
      <w:proofErr w:type="gramStart"/>
      <w:r w:rsidR="003B05BD">
        <w:rPr>
          <w:rFonts w:ascii="宋体" w:eastAsia="宋体" w:hAnsi="宋体" w:cs="宋体" w:hint="eastAsia"/>
          <w:bCs/>
          <w:color w:val="000000"/>
          <w:sz w:val="28"/>
          <w:szCs w:val="28"/>
        </w:rPr>
        <w:t>渌</w:t>
      </w:r>
      <w:proofErr w:type="gramEnd"/>
      <w:r w:rsidR="003B05BD">
        <w:rPr>
          <w:rFonts w:ascii="宋体" w:eastAsia="宋体" w:hAnsi="宋体" w:cs="宋体" w:hint="eastAsia"/>
          <w:bCs/>
          <w:color w:val="000000"/>
          <w:sz w:val="28"/>
          <w:szCs w:val="28"/>
        </w:rPr>
        <w:t>口区古岳峰镇古岳峰学校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，所属</w:t>
      </w:r>
      <w:r w:rsidR="004829DE">
        <w:rPr>
          <w:rFonts w:ascii="宋体" w:eastAsia="宋体" w:hAnsi="宋体" w:cs="宋体" w:hint="eastAsia"/>
          <w:bCs/>
          <w:color w:val="000000"/>
          <w:sz w:val="28"/>
          <w:szCs w:val="28"/>
        </w:rPr>
        <w:t>一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级</w:t>
      </w:r>
      <w:r>
        <w:rPr>
          <w:rFonts w:ascii="宋体" w:eastAsia="宋体" w:hAnsi="宋体" w:cs="宋体" w:hint="eastAsia"/>
          <w:bCs/>
          <w:color w:val="000000"/>
          <w:spacing w:val="14"/>
          <w:sz w:val="28"/>
          <w:szCs w:val="28"/>
        </w:rPr>
        <w:t>预算单位，单位性质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为财政补助事业单位。现有在编专任教师</w:t>
      </w:r>
      <w:r w:rsidR="003B05BD">
        <w:rPr>
          <w:rFonts w:ascii="宋体" w:eastAsia="宋体" w:hAnsi="宋体" w:cs="宋体" w:hint="eastAsia"/>
          <w:bCs/>
          <w:color w:val="000000"/>
          <w:sz w:val="28"/>
          <w:szCs w:val="28"/>
        </w:rPr>
        <w:t>46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名，事业单位工勤人员</w:t>
      </w:r>
      <w:r w:rsidR="004829DE">
        <w:rPr>
          <w:rFonts w:ascii="宋体" w:eastAsia="宋体" w:hAnsi="宋体" w:cs="宋体" w:hint="eastAsia"/>
          <w:bCs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名，退休教师</w:t>
      </w:r>
      <w:r w:rsidR="003B05BD">
        <w:rPr>
          <w:rFonts w:ascii="宋体" w:eastAsia="宋体" w:hAnsi="宋体" w:cs="宋体" w:hint="eastAsia"/>
          <w:bCs/>
          <w:color w:val="000000"/>
          <w:sz w:val="28"/>
          <w:szCs w:val="28"/>
        </w:rPr>
        <w:t>93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人。</w:t>
      </w:r>
    </w:p>
    <w:p w:rsidR="00E3485D" w:rsidRDefault="00E3485D">
      <w:pPr>
        <w:spacing w:line="600" w:lineRule="exact"/>
        <w:ind w:firstLineChars="200" w:firstLine="560"/>
        <w:rPr>
          <w:rFonts w:ascii="宋体" w:eastAsia="宋体" w:hAnsi="宋体" w:cs="宋体"/>
          <w:bCs/>
          <w:color w:val="000000"/>
          <w:sz w:val="28"/>
          <w:szCs w:val="28"/>
        </w:rPr>
      </w:pP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二、一般公共预算支出情况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（一）基本支出情况</w:t>
      </w:r>
    </w:p>
    <w:p w:rsidR="003B05BD" w:rsidRDefault="003B05BD" w:rsidP="003B05BD">
      <w:pPr>
        <w:pStyle w:val="a3"/>
        <w:tabs>
          <w:tab w:val="left" w:pos="3381"/>
          <w:tab w:val="left" w:pos="3864"/>
          <w:tab w:val="left" w:pos="6248"/>
          <w:tab w:val="left" w:pos="7386"/>
        </w:tabs>
        <w:overflowPunct w:val="0"/>
        <w:spacing w:beforeLines="5" w:before="15"/>
        <w:ind w:leftChars="200" w:left="420" w:rightChars="74" w:right="155" w:firstLineChars="200" w:firstLine="660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2024年度一般公共预算财政拨款基本支出856.30万</w:t>
      </w:r>
      <w:r>
        <w:rPr>
          <w:rFonts w:ascii="仿宋" w:eastAsia="仿宋" w:hAnsi="仿宋" w:cs="仿宋"/>
        </w:rPr>
        <w:lastRenderedPageBreak/>
        <w:t>元，其中：人员经费838.46万元，</w:t>
      </w:r>
      <w:proofErr w:type="gramStart"/>
      <w:r>
        <w:rPr>
          <w:rFonts w:ascii="仿宋" w:eastAsia="仿宋" w:hAnsi="仿宋" w:cs="仿宋"/>
        </w:rPr>
        <w:t>占基本</w:t>
      </w:r>
      <w:proofErr w:type="gramEnd"/>
      <w:r>
        <w:rPr>
          <w:rFonts w:ascii="仿宋" w:eastAsia="仿宋" w:hAnsi="仿宋" w:cs="仿宋"/>
        </w:rPr>
        <w:t>支出的97.92 %,主要包括基本工资、津贴补贴、奖金、伙食补助费。公用经费17.84万元，</w:t>
      </w:r>
      <w:proofErr w:type="gramStart"/>
      <w:r>
        <w:rPr>
          <w:rFonts w:ascii="仿宋" w:eastAsia="仿宋" w:hAnsi="仿宋" w:cs="仿宋"/>
        </w:rPr>
        <w:t>占基本</w:t>
      </w:r>
      <w:proofErr w:type="gramEnd"/>
      <w:r>
        <w:rPr>
          <w:rFonts w:ascii="仿宋" w:eastAsia="仿宋" w:hAnsi="仿宋" w:cs="仿宋"/>
        </w:rPr>
        <w:t>支出的2.08 %，主</w:t>
      </w:r>
      <w:bookmarkStart w:id="0" w:name="OLE_LINK17"/>
      <w:bookmarkStart w:id="1" w:name="OLE_LINK16"/>
      <w:r>
        <w:rPr>
          <w:rFonts w:ascii="仿宋" w:eastAsia="仿宋" w:hAnsi="仿宋" w:cs="仿宋"/>
        </w:rPr>
        <w:t>要包括办公费</w:t>
      </w:r>
      <w:bookmarkEnd w:id="0"/>
      <w:bookmarkEnd w:id="1"/>
      <w:r>
        <w:rPr>
          <w:rFonts w:ascii="仿宋" w:eastAsia="仿宋" w:hAnsi="仿宋" w:cs="仿宋"/>
        </w:rPr>
        <w:t>、印刷费、咨询费、手续费。</w:t>
      </w:r>
    </w:p>
    <w:p w:rsidR="00E3485D" w:rsidRPr="003B05BD" w:rsidRDefault="00E3485D" w:rsidP="004829DE">
      <w:pPr>
        <w:widowControl/>
        <w:spacing w:line="600" w:lineRule="exact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</w:p>
    <w:p w:rsidR="00E3485D" w:rsidRDefault="00E3485D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E3485D" w:rsidRDefault="002F64AF">
      <w:pPr>
        <w:pStyle w:val="a6"/>
        <w:widowControl/>
        <w:numPr>
          <w:ilvl w:val="0"/>
          <w:numId w:val="1"/>
        </w:numPr>
        <w:spacing w:before="100" w:after="10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项目支出情况</w:t>
      </w:r>
    </w:p>
    <w:p w:rsidR="00E3485D" w:rsidRDefault="002F64AF" w:rsidP="004829DE">
      <w:pPr>
        <w:pStyle w:val="a6"/>
        <w:widowControl/>
        <w:spacing w:before="100" w:after="100" w:line="360" w:lineRule="auto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政府性基金预算支出情况</w:t>
      </w:r>
    </w:p>
    <w:p w:rsidR="00E3485D" w:rsidRDefault="002F64AF" w:rsidP="004829DE">
      <w:pPr>
        <w:pStyle w:val="a6"/>
        <w:widowControl/>
        <w:spacing w:before="100" w:after="100" w:line="360" w:lineRule="auto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国有资本经营预算支出情况</w:t>
      </w:r>
    </w:p>
    <w:p w:rsidR="00E3485D" w:rsidRDefault="002F64AF" w:rsidP="004829DE">
      <w:pPr>
        <w:pStyle w:val="a6"/>
        <w:widowControl/>
        <w:spacing w:before="100" w:after="100" w:line="360" w:lineRule="auto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社会保险基金预算支出情况</w:t>
      </w:r>
    </w:p>
    <w:p w:rsidR="00E3485D" w:rsidRDefault="002F64AF" w:rsidP="004829DE">
      <w:pPr>
        <w:pStyle w:val="a6"/>
        <w:widowControl/>
        <w:spacing w:before="100" w:after="100" w:line="360" w:lineRule="auto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六、资金使用及绩效情况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（一）整体支出绩效情况</w:t>
      </w:r>
    </w:p>
    <w:p w:rsidR="003B05BD" w:rsidRDefault="003B05BD" w:rsidP="003B05BD">
      <w:pPr>
        <w:pStyle w:val="a3"/>
        <w:tabs>
          <w:tab w:val="left" w:pos="3381"/>
          <w:tab w:val="left" w:pos="3864"/>
          <w:tab w:val="left" w:pos="6248"/>
          <w:tab w:val="left" w:pos="7386"/>
        </w:tabs>
        <w:overflowPunct w:val="0"/>
        <w:spacing w:beforeLines="5" w:before="15"/>
        <w:ind w:leftChars="200" w:left="420" w:rightChars="74" w:right="155" w:firstLineChars="200" w:firstLine="660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2024年度一般公共预算财政拨款基本支出856.30万元，其中：人员经费838.46万元，</w:t>
      </w:r>
      <w:proofErr w:type="gramStart"/>
      <w:r>
        <w:rPr>
          <w:rFonts w:ascii="仿宋" w:eastAsia="仿宋" w:hAnsi="仿宋" w:cs="仿宋"/>
        </w:rPr>
        <w:t>占基本</w:t>
      </w:r>
      <w:proofErr w:type="gramEnd"/>
      <w:r>
        <w:rPr>
          <w:rFonts w:ascii="仿宋" w:eastAsia="仿宋" w:hAnsi="仿宋" w:cs="仿宋"/>
        </w:rPr>
        <w:t>支出的97.92 %,主要包括基本工资、津贴补贴、奖金、伙食补助费。公用经费17.84万元，</w:t>
      </w:r>
      <w:proofErr w:type="gramStart"/>
      <w:r>
        <w:rPr>
          <w:rFonts w:ascii="仿宋" w:eastAsia="仿宋" w:hAnsi="仿宋" w:cs="仿宋"/>
        </w:rPr>
        <w:t>占基本</w:t>
      </w:r>
      <w:proofErr w:type="gramEnd"/>
      <w:r>
        <w:rPr>
          <w:rFonts w:ascii="仿宋" w:eastAsia="仿宋" w:hAnsi="仿宋" w:cs="仿宋"/>
        </w:rPr>
        <w:t>支出的2.08 %，主要包括办公费、印刷费、咨询费、手续费。</w:t>
      </w:r>
    </w:p>
    <w:p w:rsidR="00E3485D" w:rsidRPr="003B05BD" w:rsidRDefault="00E3485D" w:rsidP="004829DE">
      <w:pPr>
        <w:widowControl/>
        <w:spacing w:line="600" w:lineRule="exact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（二）项目支出绩效情况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无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七、存在的问题及原因分析</w:t>
      </w:r>
    </w:p>
    <w:p w:rsidR="00E3485D" w:rsidRDefault="002F64AF" w:rsidP="004829DE">
      <w:pPr>
        <w:pStyle w:val="msolistparagraph0"/>
        <w:widowControl/>
        <w:spacing w:line="360" w:lineRule="auto"/>
        <w:rPr>
          <w:rFonts w:cs="宋体" w:hint="default"/>
          <w:sz w:val="28"/>
          <w:szCs w:val="28"/>
        </w:rPr>
      </w:pPr>
      <w:r>
        <w:rPr>
          <w:rFonts w:cs="宋体"/>
          <w:sz w:val="28"/>
          <w:szCs w:val="28"/>
        </w:rPr>
        <w:t>1、绩效评价管理体制不健全很多制度与管理方式还不够完善；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财务人员非专业，财务内部控制制度不健全，对财务风险的防范能力较弱。</w:t>
      </w:r>
    </w:p>
    <w:p w:rsidR="00E3485D" w:rsidRDefault="002F64AF">
      <w:pPr>
        <w:pStyle w:val="msolistparagraph0"/>
        <w:widowControl/>
        <w:spacing w:line="360" w:lineRule="auto"/>
        <w:ind w:left="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3、绩效管理体系设立不够完善，缺乏相关规章制度，对于绩效评价的反馈机制不清晰，不能及时发现问题并及时改进。</w:t>
      </w:r>
    </w:p>
    <w:p w:rsidR="00E3485D" w:rsidRDefault="002F64AF" w:rsidP="004829DE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4、固定资产购置、验收、登记、保管、处置等环节缺乏规范的管理制度，存在资产流失、闲置浪费等问题。部分资产长期闲置未得到有效利用，而一些急需的资产却未能及时购置，影响了部门的正常工作开展。</w:t>
      </w:r>
    </w:p>
    <w:p w:rsidR="00E3485D" w:rsidRDefault="002F64AF" w:rsidP="004829DE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5、政府采购预算编制不完整、不准确，存在无预算采购、超预算采购等现象。</w:t>
      </w:r>
    </w:p>
    <w:p w:rsidR="00E3485D" w:rsidRDefault="002F64AF" w:rsidP="004829DE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原因分析：</w:t>
      </w:r>
    </w:p>
    <w:p w:rsidR="00E3485D" w:rsidRDefault="002F64AF" w:rsidP="004829DE">
      <w:pPr>
        <w:pStyle w:val="msolistparagraph0"/>
        <w:widowControl/>
        <w:spacing w:line="360" w:lineRule="auto"/>
        <w:ind w:leftChars="100" w:left="21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1、绩效管理能力不足：部门绩效管理团队专业素质不高，缺乏必要的绩效管理知识和技能，难以对预算支出的绩效进行科学的评价和分析。绩效评价指标体系不完善，未能全面、准确地反映项目的绩效情况，影响了绩效评价结果的科学性和公正性。</w:t>
      </w:r>
    </w:p>
    <w:p w:rsidR="00E3485D" w:rsidRDefault="002F64AF"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下一步改进措施</w:t>
      </w:r>
    </w:p>
    <w:p w:rsidR="00E3485D" w:rsidRDefault="002F64AF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建立预算编制与部门年度工作任务、发展规划的联动机制，在编制前全面调研实际需求，充分考虑物价变动、政策调整等因素。</w:t>
      </w:r>
    </w:p>
    <w:p w:rsidR="00E3485D" w:rsidRDefault="002F64AF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科学设定绩效目标，确保目标清晰、可衡量、可实现、相关性强、有时间限制。加强绩效评价结果的运用，将评价结果与下一年度预算编制、部门绩效考核等挂钩，建立激励和约束机制，充分发挥绩效管理的导向作用。</w:t>
      </w:r>
    </w:p>
    <w:p w:rsidR="00E3485D" w:rsidRDefault="002F64AF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梳理部门各岗位职责，明确工作任务和责任主体，严格执行资金使用的相关规定，严禁挤占、挪用、截留资金。</w:t>
      </w:r>
    </w:p>
    <w:p w:rsidR="00E3485D" w:rsidRDefault="002F64AF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建立健全固定资产购置、验收、登记、保管、处置等环节的管理制度，明确各环节的责任和流程。定期对固定资产进行清查盘点，及时处置闲置资产，提高资产使用效率。加强对资产购置的审核和管理，确保资产购置与部门工作需求相匹配。</w:t>
      </w:r>
    </w:p>
    <w:p w:rsidR="00E3485D" w:rsidRDefault="002F64AF"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部门整体支出绩效自评结果拟应用和公开情况</w:t>
      </w:r>
    </w:p>
    <w:p w:rsidR="00E3485D" w:rsidRDefault="002F64A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对2024年度的财政资金使用情况进行了公示</w:t>
      </w:r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300" w:firstLine="8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其他需要说明的情况</w:t>
      </w:r>
      <w:bookmarkStart w:id="2" w:name="_GoBack"/>
      <w:bookmarkEnd w:id="2"/>
    </w:p>
    <w:p w:rsidR="00E3485D" w:rsidRDefault="002F64AF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附件：1. 2024年度部门整体支出绩效自评表 </w:t>
      </w:r>
    </w:p>
    <w:p w:rsidR="00E3485D" w:rsidRDefault="00E3485D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E3485D" w:rsidRDefault="002F64AF">
      <w:pPr>
        <w:spacing w:line="360" w:lineRule="auto"/>
        <w:ind w:leftChars="284" w:left="4796" w:hangingChars="1500" w:hanging="420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3B05BD">
        <w:rPr>
          <w:rFonts w:ascii="宋体" w:eastAsia="宋体" w:hAnsi="宋体" w:cs="宋体" w:hint="eastAsia"/>
          <w:sz w:val="28"/>
          <w:szCs w:val="28"/>
        </w:rPr>
        <w:t xml:space="preserve">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3B05BD">
        <w:rPr>
          <w:rFonts w:ascii="宋体" w:eastAsia="宋体" w:hAnsi="宋体" w:cs="宋体" w:hint="eastAsia"/>
          <w:sz w:val="28"/>
          <w:szCs w:val="28"/>
        </w:rPr>
        <w:t>株洲市</w:t>
      </w:r>
      <w:proofErr w:type="gramStart"/>
      <w:r w:rsidR="003B05BD">
        <w:rPr>
          <w:rFonts w:ascii="宋体" w:eastAsia="宋体" w:hAnsi="宋体" w:cs="宋体" w:hint="eastAsia"/>
          <w:sz w:val="28"/>
          <w:szCs w:val="28"/>
        </w:rPr>
        <w:t>渌</w:t>
      </w:r>
      <w:proofErr w:type="gramEnd"/>
      <w:r w:rsidR="003B05BD">
        <w:rPr>
          <w:rFonts w:ascii="宋体" w:eastAsia="宋体" w:hAnsi="宋体" w:cs="宋体" w:hint="eastAsia"/>
          <w:sz w:val="28"/>
          <w:szCs w:val="28"/>
        </w:rPr>
        <w:t>口区古岳峰镇古岳峰学校</w:t>
      </w:r>
    </w:p>
    <w:p w:rsidR="00E3485D" w:rsidRDefault="002F64AF">
      <w:pPr>
        <w:spacing w:line="360" w:lineRule="auto"/>
        <w:ind w:firstLineChars="1700" w:firstLine="47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2025年5月</w:t>
      </w:r>
      <w:r w:rsidR="004829DE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E3485D" w:rsidRDefault="00E3485D"/>
    <w:p w:rsidR="00E3485D" w:rsidRDefault="00E3485D"/>
    <w:p w:rsidR="00E3485D" w:rsidRDefault="00E3485D">
      <w:pPr>
        <w:tabs>
          <w:tab w:val="left" w:pos="756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sectPr w:rsidR="00E3485D"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36" w:rsidRDefault="00FA1336">
      <w:r>
        <w:separator/>
      </w:r>
    </w:p>
  </w:endnote>
  <w:endnote w:type="continuationSeparator" w:id="0">
    <w:p w:rsidR="00FA1336" w:rsidRDefault="00FA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572F7335-DC4A-4B09-881E-1713E8864E13}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35922D4-E253-448C-ADA2-F4C696134E74}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  <w:embedRegular r:id="rId3" w:subsetted="1" w:fontKey="{43077C4C-241F-445A-943E-056198BFB895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66426B2-862D-4C1D-A9EF-D0C95464C3E9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85D" w:rsidRDefault="002F64A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3485D" w:rsidRDefault="002F64AF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B05B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E3485D" w:rsidRDefault="002F64AF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B05B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36" w:rsidRDefault="00FA1336">
      <w:r>
        <w:separator/>
      </w:r>
    </w:p>
  </w:footnote>
  <w:footnote w:type="continuationSeparator" w:id="0">
    <w:p w:rsidR="00FA1336" w:rsidRDefault="00FA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E999E4"/>
    <w:multiLevelType w:val="singleLevel"/>
    <w:tmpl w:val="B9E999E4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0156F4"/>
    <w:multiLevelType w:val="singleLevel"/>
    <w:tmpl w:val="CE0156F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E5D8140"/>
    <w:multiLevelType w:val="singleLevel"/>
    <w:tmpl w:val="DE5D814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F369572"/>
    <w:multiLevelType w:val="singleLevel"/>
    <w:tmpl w:val="FF369572"/>
    <w:lvl w:ilvl="0">
      <w:start w:val="1"/>
      <w:numFmt w:val="decimal"/>
      <w:suff w:val="nothing"/>
      <w:lvlText w:val="%1、"/>
      <w:lvlJc w:val="left"/>
      <w:rPr>
        <w:rFonts w:ascii="宋体" w:eastAsia="宋体" w:hAnsi="宋体" w:cs="宋体" w:hint="default"/>
      </w:rPr>
    </w:lvl>
  </w:abstractNum>
  <w:abstractNum w:abstractNumId="4">
    <w:nsid w:val="3AFFF8D3"/>
    <w:multiLevelType w:val="singleLevel"/>
    <w:tmpl w:val="3AFFF8D3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YzExODI0M2QyMWRlNGMxYjMyYTg1ZTEzYWI3NmYifQ=="/>
  </w:docVars>
  <w:rsids>
    <w:rsidRoot w:val="00222CFF"/>
    <w:rsid w:val="BB96D3B8"/>
    <w:rsid w:val="BEB6EF53"/>
    <w:rsid w:val="DFFB7864"/>
    <w:rsid w:val="E7FFF3A3"/>
    <w:rsid w:val="EDFEBBDF"/>
    <w:rsid w:val="FEFA6A1B"/>
    <w:rsid w:val="00051120"/>
    <w:rsid w:val="00222CFF"/>
    <w:rsid w:val="002F64AF"/>
    <w:rsid w:val="003B05BD"/>
    <w:rsid w:val="004829DE"/>
    <w:rsid w:val="0094708B"/>
    <w:rsid w:val="00E3485D"/>
    <w:rsid w:val="00FA1336"/>
    <w:rsid w:val="01620834"/>
    <w:rsid w:val="049006D3"/>
    <w:rsid w:val="04E92909"/>
    <w:rsid w:val="05436869"/>
    <w:rsid w:val="07B34BFF"/>
    <w:rsid w:val="09992A1A"/>
    <w:rsid w:val="0B143885"/>
    <w:rsid w:val="0C283110"/>
    <w:rsid w:val="0D564DFD"/>
    <w:rsid w:val="0DB57CB4"/>
    <w:rsid w:val="0E8845BE"/>
    <w:rsid w:val="14274190"/>
    <w:rsid w:val="14E90AAD"/>
    <w:rsid w:val="156A35F2"/>
    <w:rsid w:val="18D620ED"/>
    <w:rsid w:val="18D97BBF"/>
    <w:rsid w:val="1C9A5481"/>
    <w:rsid w:val="1EE65901"/>
    <w:rsid w:val="1F397586"/>
    <w:rsid w:val="20221513"/>
    <w:rsid w:val="20641D75"/>
    <w:rsid w:val="21C276E9"/>
    <w:rsid w:val="24577429"/>
    <w:rsid w:val="2A0D1C4E"/>
    <w:rsid w:val="2A6752F3"/>
    <w:rsid w:val="2B95569E"/>
    <w:rsid w:val="2BC76C50"/>
    <w:rsid w:val="2EFFB905"/>
    <w:rsid w:val="32880FD1"/>
    <w:rsid w:val="374D77F6"/>
    <w:rsid w:val="37A570FA"/>
    <w:rsid w:val="38A71B8B"/>
    <w:rsid w:val="3AF70BD4"/>
    <w:rsid w:val="3C065573"/>
    <w:rsid w:val="3E6A6D4F"/>
    <w:rsid w:val="3FE693AD"/>
    <w:rsid w:val="4035158F"/>
    <w:rsid w:val="406A0A51"/>
    <w:rsid w:val="455137CA"/>
    <w:rsid w:val="4A9A5B32"/>
    <w:rsid w:val="4AF01932"/>
    <w:rsid w:val="4DD57ADF"/>
    <w:rsid w:val="4F3BD62E"/>
    <w:rsid w:val="4F7B637A"/>
    <w:rsid w:val="51B51DC6"/>
    <w:rsid w:val="524C14DA"/>
    <w:rsid w:val="53447242"/>
    <w:rsid w:val="536974C6"/>
    <w:rsid w:val="53CB15B5"/>
    <w:rsid w:val="54AF45A2"/>
    <w:rsid w:val="577C6C0C"/>
    <w:rsid w:val="590F614C"/>
    <w:rsid w:val="5ABB5323"/>
    <w:rsid w:val="5E3D48E1"/>
    <w:rsid w:val="5F5A06DF"/>
    <w:rsid w:val="60A326B2"/>
    <w:rsid w:val="60D10035"/>
    <w:rsid w:val="61171AD8"/>
    <w:rsid w:val="6186789B"/>
    <w:rsid w:val="630E7BE6"/>
    <w:rsid w:val="63B32BC4"/>
    <w:rsid w:val="64CB5136"/>
    <w:rsid w:val="6B0851D1"/>
    <w:rsid w:val="6E8510D9"/>
    <w:rsid w:val="73FD1AE5"/>
    <w:rsid w:val="77B909F0"/>
    <w:rsid w:val="78540864"/>
    <w:rsid w:val="7A3823CE"/>
    <w:rsid w:val="7BFFF342"/>
    <w:rsid w:val="7CFFB774"/>
    <w:rsid w:val="7F4D52D0"/>
    <w:rsid w:val="7F55F449"/>
    <w:rsid w:val="9F7F477C"/>
    <w:rsid w:val="B3BDE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宋体" w:eastAsia="宋体" w:hAnsi="宋体" w:cs="Times New Roman" w:hint="eastAsia"/>
      <w:sz w:val="33"/>
      <w:szCs w:val="3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1Char">
    <w:name w:val="标题 1 Char"/>
    <w:basedOn w:val="a0"/>
    <w:link w:val="1"/>
    <w:qFormat/>
    <w:rPr>
      <w:rFonts w:ascii="Calibri" w:hAnsi="Calibri" w:cs="Calibri" w:hint="default"/>
      <w:b/>
      <w:bCs/>
      <w:kern w:val="44"/>
      <w:sz w:val="44"/>
      <w:szCs w:val="44"/>
    </w:rPr>
  </w:style>
  <w:style w:type="paragraph" w:customStyle="1" w:styleId="msolistparagraph0">
    <w:name w:val="msolistparagraph"/>
    <w:basedOn w:val="a"/>
    <w:qFormat/>
    <w:pPr>
      <w:ind w:left="1079" w:hanging="309"/>
    </w:pPr>
    <w:rPr>
      <w:rFonts w:ascii="宋体" w:eastAsia="宋体" w:hAnsi="宋体" w:cs="Times New Roman" w:hint="eastAsia"/>
      <w:szCs w:val="22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宋体" w:hint="eastAsia"/>
      <w:kern w:val="2"/>
      <w:sz w:val="33"/>
      <w:szCs w:val="33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方正书宋_GBK" w:eastAsia="方正书宋_GBK" w:hAnsi="方正书宋_GBK" w:cs="方正书宋_GBK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宋体" w:eastAsia="宋体" w:hAnsi="宋体" w:cs="Times New Roman" w:hint="eastAsia"/>
      <w:sz w:val="33"/>
      <w:szCs w:val="3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1Char">
    <w:name w:val="标题 1 Char"/>
    <w:basedOn w:val="a0"/>
    <w:link w:val="1"/>
    <w:qFormat/>
    <w:rPr>
      <w:rFonts w:ascii="Calibri" w:hAnsi="Calibri" w:cs="Calibri" w:hint="default"/>
      <w:b/>
      <w:bCs/>
      <w:kern w:val="44"/>
      <w:sz w:val="44"/>
      <w:szCs w:val="44"/>
    </w:rPr>
  </w:style>
  <w:style w:type="paragraph" w:customStyle="1" w:styleId="msolistparagraph0">
    <w:name w:val="msolistparagraph"/>
    <w:basedOn w:val="a"/>
    <w:qFormat/>
    <w:pPr>
      <w:ind w:left="1079" w:hanging="309"/>
    </w:pPr>
    <w:rPr>
      <w:rFonts w:ascii="宋体" w:eastAsia="宋体" w:hAnsi="宋体" w:cs="Times New Roman" w:hint="eastAsia"/>
      <w:szCs w:val="22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宋体" w:hint="eastAsia"/>
      <w:kern w:val="2"/>
      <w:sz w:val="33"/>
      <w:szCs w:val="33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方正书宋_GBK" w:eastAsia="方正书宋_GBK" w:hAnsi="方正书宋_GBK" w:cs="方正书宋_GBK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2025-09-18T03:44:00Z</cp:lastPrinted>
  <dcterms:created xsi:type="dcterms:W3CDTF">2021-03-24T07:15:00Z</dcterms:created>
  <dcterms:modified xsi:type="dcterms:W3CDTF">2025-10-16T10:27:00Z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56923534E13147008D5C005D0A354969_13</vt:lpwstr>
  </property>
  <property fmtid="{D5CDD505-2E9C-101B-9397-08002B2CF9AE}" pid="4" name="KSOTemplateDocerSaveRecord">
    <vt:lpwstr>eyJoZGlkIjoiYmJkM2Y5NGUwMDdhODRhNmYzODA1M2RhNDAwM2RmZWIiLCJ1c2VySWQiOiI5NzkzNDIzNTYifQ==</vt:lpwstr>
  </property>
</Properties>
</file>