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85" w:rsidRDefault="00006785" w:rsidP="00006785">
      <w:pPr>
        <w:spacing w:line="560" w:lineRule="exact"/>
        <w:rPr>
          <w:rFonts w:ascii="黑体" w:eastAsia="黑体" w:hAnsi="黑体"/>
          <w:spacing w:val="30"/>
          <w:sz w:val="32"/>
          <w:szCs w:val="32"/>
        </w:rPr>
      </w:pPr>
      <w:r>
        <w:rPr>
          <w:rFonts w:ascii="黑体" w:eastAsia="黑体" w:hAnsi="黑体" w:hint="eastAsia"/>
          <w:spacing w:val="30"/>
          <w:sz w:val="32"/>
          <w:szCs w:val="32"/>
        </w:rPr>
        <w:t>附件：</w:t>
      </w:r>
    </w:p>
    <w:p w:rsidR="00006785" w:rsidRDefault="00006785" w:rsidP="00006785">
      <w:pPr>
        <w:spacing w:line="560" w:lineRule="exact"/>
        <w:jc w:val="center"/>
        <w:rPr>
          <w:rFonts w:ascii="黑体" w:eastAsia="黑体" w:hAnsi="黑体"/>
          <w:spacing w:val="-2"/>
          <w:kern w:val="10"/>
          <w:sz w:val="32"/>
          <w:szCs w:val="32"/>
        </w:rPr>
      </w:pPr>
      <w:r>
        <w:rPr>
          <w:rFonts w:ascii="黑体" w:eastAsia="黑体" w:hAnsi="黑体" w:hint="eastAsia"/>
          <w:spacing w:val="-2"/>
          <w:kern w:val="10"/>
          <w:sz w:val="32"/>
          <w:szCs w:val="32"/>
        </w:rPr>
        <w:t>株洲市本级2025年集中整治不动产“登记难”可办理转移（分户）登记的项目名单（第六批）</w:t>
      </w:r>
    </w:p>
    <w:p w:rsidR="00006785" w:rsidRDefault="00006785" w:rsidP="00006785">
      <w:pPr>
        <w:spacing w:line="560" w:lineRule="exact"/>
        <w:jc w:val="center"/>
        <w:rPr>
          <w:rFonts w:ascii="黑体" w:eastAsia="黑体" w:hAnsi="黑体"/>
          <w:spacing w:val="-2"/>
          <w:kern w:val="10"/>
          <w:sz w:val="32"/>
          <w:szCs w:val="3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2642"/>
        <w:gridCol w:w="2132"/>
        <w:gridCol w:w="3322"/>
      </w:tblGrid>
      <w:tr w:rsidR="00006785" w:rsidTr="00421F12">
        <w:trPr>
          <w:trHeight w:val="712"/>
        </w:trPr>
        <w:tc>
          <w:tcPr>
            <w:tcW w:w="33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楷体_GB2312" w:eastAsia="楷体_GB2312" w:hAnsi="黑体" w:cs="Times New Roman"/>
                <w:sz w:val="32"/>
                <w:szCs w:val="32"/>
              </w:rPr>
            </w:pPr>
            <w:r>
              <w:rPr>
                <w:rFonts w:ascii="楷体_GB2312" w:eastAsia="楷体_GB2312" w:hAnsi="黑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楷体_GB2312" w:eastAsia="楷体_GB2312" w:hAnsi="黑体" w:cs="Times New Roman"/>
                <w:sz w:val="32"/>
                <w:szCs w:val="32"/>
              </w:rPr>
            </w:pPr>
            <w:r>
              <w:rPr>
                <w:rFonts w:ascii="楷体_GB2312" w:eastAsia="楷体_GB2312" w:hAnsi="黑体" w:cs="Times New Roman" w:hint="eastAsia"/>
                <w:sz w:val="32"/>
                <w:szCs w:val="32"/>
              </w:rPr>
              <w:t>开发建设单位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楷体_GB2312" w:eastAsia="楷体_GB2312" w:hAnsi="黑体" w:cs="Times New Roman"/>
                <w:sz w:val="32"/>
                <w:szCs w:val="32"/>
              </w:rPr>
            </w:pPr>
            <w:r>
              <w:rPr>
                <w:rFonts w:ascii="楷体_GB2312" w:eastAsia="楷体_GB2312" w:hAnsi="黑体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楷体_GB2312" w:eastAsia="楷体_GB2312" w:hAnsi="黑体" w:cs="Times New Roman"/>
                <w:sz w:val="32"/>
                <w:szCs w:val="32"/>
              </w:rPr>
            </w:pPr>
            <w:r>
              <w:rPr>
                <w:rFonts w:ascii="楷体_GB2312" w:eastAsia="楷体_GB2312" w:hAnsi="黑体" w:cs="Times New Roman" w:hint="eastAsia"/>
                <w:sz w:val="32"/>
                <w:szCs w:val="32"/>
              </w:rPr>
              <w:t>项目坐落</w:t>
            </w:r>
          </w:p>
        </w:tc>
      </w:tr>
      <w:tr w:rsidR="00006785" w:rsidTr="00421F12">
        <w:trPr>
          <w:trHeight w:val="800"/>
        </w:trPr>
        <w:tc>
          <w:tcPr>
            <w:tcW w:w="33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株洲湘誉房地产开发有限公司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恒大华府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天元区珠江北路366号恒大华府1、2、21、22、25栋</w:t>
            </w:r>
          </w:p>
        </w:tc>
      </w:tr>
      <w:tr w:rsidR="00006785" w:rsidTr="00421F12">
        <w:trPr>
          <w:trHeight w:val="800"/>
        </w:trPr>
        <w:tc>
          <w:tcPr>
            <w:tcW w:w="33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株洲和楦房地产有限公司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型格建宁翰府项目二期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天元区凿石路126号型格建宁翰府5、6栋</w:t>
            </w:r>
          </w:p>
        </w:tc>
      </w:tr>
      <w:tr w:rsidR="00006785" w:rsidTr="00421F12">
        <w:trPr>
          <w:trHeight w:val="800"/>
        </w:trPr>
        <w:tc>
          <w:tcPr>
            <w:tcW w:w="33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湖南建工早禾坪房地产开发有限公司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湖南建工淞云台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芦淞区江渌路111号湖南建工淞云台1、22、23、25、38栋</w:t>
            </w:r>
          </w:p>
        </w:tc>
      </w:tr>
      <w:tr w:rsidR="00006785" w:rsidTr="00421F12">
        <w:trPr>
          <w:trHeight w:val="800"/>
        </w:trPr>
        <w:tc>
          <w:tcPr>
            <w:tcW w:w="33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株洲金碧置业有限公司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恒大誉景花园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天元区新马东路268号恒大誉景花园4、5、6、7、11、12、13、14、32、39、54、55、56栋</w:t>
            </w:r>
          </w:p>
        </w:tc>
      </w:tr>
      <w:tr w:rsidR="00006785" w:rsidTr="00421F12">
        <w:trPr>
          <w:trHeight w:val="800"/>
        </w:trPr>
        <w:tc>
          <w:tcPr>
            <w:tcW w:w="33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株洲德胜置业有限公司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006785" w:rsidRDefault="00006785" w:rsidP="00421F1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恒大誉苑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006785" w:rsidRDefault="00006785" w:rsidP="00421F12">
            <w:pPr>
              <w:spacing w:before="100" w:beforeAutospacing="1" w:after="100" w:afterAutospacing="1"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石峰区迎宾大道99号恒大誉苑1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-8</w:t>
            </w: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栋</w:t>
            </w:r>
            <w:bookmarkStart w:id="0" w:name="_GoBack"/>
            <w:bookmarkEnd w:id="0"/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D4C" w:rsidRDefault="00894D4C" w:rsidP="00006785">
      <w:pPr>
        <w:spacing w:after="0"/>
      </w:pPr>
      <w:r>
        <w:separator/>
      </w:r>
    </w:p>
  </w:endnote>
  <w:endnote w:type="continuationSeparator" w:id="0">
    <w:p w:rsidR="00894D4C" w:rsidRDefault="00894D4C" w:rsidP="000067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D4C" w:rsidRDefault="00894D4C" w:rsidP="00006785">
      <w:pPr>
        <w:spacing w:after="0"/>
      </w:pPr>
      <w:r>
        <w:separator/>
      </w:r>
    </w:p>
  </w:footnote>
  <w:footnote w:type="continuationSeparator" w:id="0">
    <w:p w:rsidR="00894D4C" w:rsidRDefault="00894D4C" w:rsidP="000067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785"/>
    <w:rsid w:val="00323B43"/>
    <w:rsid w:val="003D37D8"/>
    <w:rsid w:val="00426133"/>
    <w:rsid w:val="004358AB"/>
    <w:rsid w:val="00467A0C"/>
    <w:rsid w:val="00894D4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7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7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67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7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2025-10-23T02:05:00Z</dcterms:modified>
</cp:coreProperties>
</file>