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CF052">
      <w:pPr>
        <w:keepNext w:val="0"/>
        <w:keepLines w:val="0"/>
        <w:pageBreakBefore w:val="0"/>
        <w:widowControl/>
        <w:tabs>
          <w:tab w:val="left" w:pos="9040"/>
        </w:tabs>
        <w:kinsoku w:val="0"/>
        <w:wordWrap/>
        <w:overflowPunct/>
        <w:topLinePunct w:val="0"/>
        <w:autoSpaceDE w:val="0"/>
        <w:autoSpaceDN w:val="0"/>
        <w:bidi w:val="0"/>
        <w:adjustRightInd w:val="0"/>
        <w:snapToGrid w:val="0"/>
        <w:spacing w:before="136" w:line="560" w:lineRule="exact"/>
        <w:ind w:right="-60" w:rightChars="0"/>
        <w:jc w:val="center"/>
        <w:textAlignment w:val="baseline"/>
        <w:rPr>
          <w:rFonts w:ascii="宋体" w:hAnsi="宋体" w:eastAsia="宋体" w:cs="宋体"/>
          <w:b/>
          <w:bCs/>
          <w:color w:val="000000" w:themeColor="text1"/>
          <w:spacing w:val="-11"/>
          <w:sz w:val="42"/>
          <w:szCs w:val="42"/>
          <w:highlight w:val="none"/>
          <w14:textFill>
            <w14:solidFill>
              <w14:schemeClr w14:val="tx1"/>
            </w14:solidFill>
          </w14:textFill>
        </w:rPr>
      </w:pPr>
      <w:r>
        <w:rPr>
          <w:rFonts w:hint="eastAsia" w:ascii="宋体" w:hAnsi="宋体" w:eastAsia="宋体" w:cs="宋体"/>
          <w:b/>
          <w:bCs/>
          <w:color w:val="000000" w:themeColor="text1"/>
          <w:spacing w:val="-8"/>
          <w:sz w:val="42"/>
          <w:szCs w:val="42"/>
          <w:highlight w:val="none"/>
          <w:lang w:eastAsia="zh-CN"/>
          <w14:textFill>
            <w14:solidFill>
              <w14:schemeClr w14:val="tx1"/>
            </w14:solidFill>
          </w14:textFill>
        </w:rPr>
        <w:t>炎陵县行政事业</w:t>
      </w:r>
      <w:r>
        <w:rPr>
          <w:rFonts w:ascii="宋体" w:hAnsi="宋体" w:eastAsia="宋体" w:cs="宋体"/>
          <w:b/>
          <w:bCs/>
          <w:color w:val="000000" w:themeColor="text1"/>
          <w:spacing w:val="-8"/>
          <w:sz w:val="42"/>
          <w:szCs w:val="42"/>
          <w:highlight w:val="none"/>
          <w14:textFill>
            <w14:solidFill>
              <w14:schemeClr w14:val="tx1"/>
            </w14:solidFill>
          </w14:textFill>
        </w:rPr>
        <w:t>单位</w:t>
      </w:r>
      <w:r>
        <w:rPr>
          <w:rFonts w:ascii="宋体" w:hAnsi="宋体" w:eastAsia="宋体" w:cs="宋体"/>
          <w:b/>
          <w:bCs/>
          <w:color w:val="000000" w:themeColor="text1"/>
          <w:spacing w:val="-11"/>
          <w:sz w:val="42"/>
          <w:szCs w:val="42"/>
          <w:highlight w:val="none"/>
          <w14:textFill>
            <w14:solidFill>
              <w14:schemeClr w14:val="tx1"/>
            </w14:solidFill>
          </w14:textFill>
        </w:rPr>
        <w:t>国有资产管理办法</w:t>
      </w:r>
    </w:p>
    <w:p w14:paraId="097D3F45">
      <w:pPr>
        <w:keepNext w:val="0"/>
        <w:keepLines w:val="0"/>
        <w:pageBreakBefore w:val="0"/>
        <w:widowControl/>
        <w:tabs>
          <w:tab w:val="left" w:pos="9040"/>
        </w:tabs>
        <w:kinsoku w:val="0"/>
        <w:wordWrap/>
        <w:overflowPunct/>
        <w:topLinePunct w:val="0"/>
        <w:autoSpaceDE w:val="0"/>
        <w:autoSpaceDN w:val="0"/>
        <w:bidi w:val="0"/>
        <w:adjustRightInd w:val="0"/>
        <w:snapToGrid w:val="0"/>
        <w:spacing w:before="136" w:line="560" w:lineRule="exact"/>
        <w:ind w:right="-60" w:rightChars="0"/>
        <w:jc w:val="center"/>
        <w:textAlignment w:val="baseline"/>
        <w:rPr>
          <w:rFonts w:hint="eastAsia" w:ascii="宋体" w:hAnsi="宋体" w:eastAsia="宋体" w:cs="宋体"/>
          <w:b/>
          <w:bCs/>
          <w:color w:val="000000" w:themeColor="text1"/>
          <w:spacing w:val="-11"/>
          <w:sz w:val="42"/>
          <w:szCs w:val="42"/>
          <w:highlight w:val="none"/>
          <w:lang w:eastAsia="zh-CN"/>
          <w14:textFill>
            <w14:solidFill>
              <w14:schemeClr w14:val="tx1"/>
            </w14:solidFill>
          </w14:textFill>
        </w:rPr>
      </w:pPr>
      <w:r>
        <w:rPr>
          <w:rFonts w:hint="eastAsia" w:ascii="宋体" w:hAnsi="宋体" w:eastAsia="宋体" w:cs="宋体"/>
          <w:b/>
          <w:bCs/>
          <w:color w:val="000000" w:themeColor="text1"/>
          <w:spacing w:val="-11"/>
          <w:sz w:val="42"/>
          <w:szCs w:val="42"/>
          <w:highlight w:val="none"/>
          <w:lang w:eastAsia="zh-CN"/>
          <w14:textFill>
            <w14:solidFill>
              <w14:schemeClr w14:val="tx1"/>
            </w14:solidFill>
          </w14:textFill>
        </w:rPr>
        <w:t>（征求意见稿）</w:t>
      </w:r>
    </w:p>
    <w:p w14:paraId="3EC27916">
      <w:pPr>
        <w:keepNext w:val="0"/>
        <w:keepLines w:val="0"/>
        <w:pageBreakBefore w:val="0"/>
        <w:widowControl/>
        <w:tabs>
          <w:tab w:val="left" w:pos="210"/>
          <w:tab w:val="left" w:pos="8820"/>
        </w:tabs>
        <w:kinsoku w:val="0"/>
        <w:wordWrap/>
        <w:overflowPunct/>
        <w:topLinePunct w:val="0"/>
        <w:autoSpaceDE w:val="0"/>
        <w:autoSpaceDN w:val="0"/>
        <w:bidi w:val="0"/>
        <w:adjustRightInd w:val="0"/>
        <w:snapToGrid w:val="0"/>
        <w:spacing w:before="136" w:line="560" w:lineRule="exact"/>
        <w:ind w:left="218" w:leftChars="104" w:right="-60" w:rightChars="0" w:firstLine="0" w:firstLineChars="0"/>
        <w:jc w:val="center"/>
        <w:textAlignment w:val="baseline"/>
        <w:rPr>
          <w:rFonts w:hint="eastAsia" w:ascii="宋体" w:hAnsi="宋体" w:eastAsia="宋体" w:cs="宋体"/>
          <w:b/>
          <w:bCs/>
          <w:color w:val="000000" w:themeColor="text1"/>
          <w:spacing w:val="-11"/>
          <w:sz w:val="42"/>
          <w:szCs w:val="42"/>
          <w:highlight w:val="none"/>
          <w:lang w:eastAsia="zh-CN"/>
          <w14:textFill>
            <w14:solidFill>
              <w14:schemeClr w14:val="tx1"/>
            </w14:solidFill>
          </w14:textFill>
        </w:rPr>
      </w:pPr>
    </w:p>
    <w:p w14:paraId="7E55989B">
      <w:pPr>
        <w:keepNext w:val="0"/>
        <w:keepLines w:val="0"/>
        <w:pageBreakBefore w:val="0"/>
        <w:widowControl/>
        <w:kinsoku w:val="0"/>
        <w:wordWrap/>
        <w:overflowPunct/>
        <w:topLinePunct w:val="0"/>
        <w:autoSpaceDE w:val="0"/>
        <w:autoSpaceDN w:val="0"/>
        <w:bidi w:val="0"/>
        <w:adjustRightInd w:val="0"/>
        <w:snapToGrid w:val="0"/>
        <w:spacing w:before="101" w:line="560" w:lineRule="exact"/>
        <w:jc w:val="center"/>
        <w:textAlignment w:val="baseline"/>
        <w:outlineLvl w:val="0"/>
        <w:rPr>
          <w:rFonts w:ascii="黑体" w:hAnsi="黑体" w:eastAsia="黑体" w:cs="黑体"/>
          <w:b/>
          <w:bCs/>
          <w:color w:val="000000" w:themeColor="text1"/>
          <w:spacing w:val="-10"/>
          <w:sz w:val="31"/>
          <w:szCs w:val="31"/>
          <w:highlight w:val="none"/>
          <w14:textFill>
            <w14:solidFill>
              <w14:schemeClr w14:val="tx1"/>
            </w14:solidFill>
          </w14:textFill>
        </w:rPr>
      </w:pPr>
      <w:r>
        <w:rPr>
          <w:rFonts w:ascii="黑体" w:hAnsi="黑体" w:eastAsia="黑体" w:cs="黑体"/>
          <w:b/>
          <w:bCs/>
          <w:color w:val="000000" w:themeColor="text1"/>
          <w:spacing w:val="-10"/>
          <w:sz w:val="31"/>
          <w:szCs w:val="31"/>
          <w:highlight w:val="none"/>
          <w14:textFill>
            <w14:solidFill>
              <w14:schemeClr w14:val="tx1"/>
            </w14:solidFill>
          </w14:textFill>
        </w:rPr>
        <w:t>第一章</w:t>
      </w:r>
      <w:r>
        <w:rPr>
          <w:rFonts w:hint="eastAsia" w:ascii="黑体" w:hAnsi="黑体" w:eastAsia="黑体" w:cs="黑体"/>
          <w:b/>
          <w:bCs/>
          <w:color w:val="000000" w:themeColor="text1"/>
          <w:spacing w:val="-10"/>
          <w:sz w:val="31"/>
          <w:szCs w:val="31"/>
          <w:highlight w:val="none"/>
          <w:lang w:val="en-US" w:eastAsia="zh-CN"/>
          <w14:textFill>
            <w14:solidFill>
              <w14:schemeClr w14:val="tx1"/>
            </w14:solidFill>
          </w14:textFill>
        </w:rPr>
        <w:t xml:space="preserve">  </w:t>
      </w:r>
      <w:r>
        <w:rPr>
          <w:rFonts w:ascii="黑体" w:hAnsi="黑体" w:eastAsia="黑体" w:cs="黑体"/>
          <w:b/>
          <w:bCs/>
          <w:color w:val="000000" w:themeColor="text1"/>
          <w:spacing w:val="-10"/>
          <w:sz w:val="31"/>
          <w:szCs w:val="31"/>
          <w:highlight w:val="none"/>
          <w14:textFill>
            <w14:solidFill>
              <w14:schemeClr w14:val="tx1"/>
            </w14:solidFill>
          </w14:textFill>
        </w:rPr>
        <w:t>总</w:t>
      </w:r>
      <w:r>
        <w:rPr>
          <w:rFonts w:hint="eastAsia" w:ascii="黑体" w:hAnsi="黑体" w:eastAsia="黑体" w:cs="黑体"/>
          <w:b/>
          <w:bCs/>
          <w:color w:val="000000" w:themeColor="text1"/>
          <w:spacing w:val="-10"/>
          <w:sz w:val="31"/>
          <w:szCs w:val="31"/>
          <w:highlight w:val="none"/>
          <w:lang w:val="en-US" w:eastAsia="zh-CN"/>
          <w14:textFill>
            <w14:solidFill>
              <w14:schemeClr w14:val="tx1"/>
            </w14:solidFill>
          </w14:textFill>
        </w:rPr>
        <w:t xml:space="preserve">  </w:t>
      </w:r>
      <w:r>
        <w:rPr>
          <w:rFonts w:ascii="黑体" w:hAnsi="黑体" w:eastAsia="黑体" w:cs="黑体"/>
          <w:b/>
          <w:bCs/>
          <w:color w:val="000000" w:themeColor="text1"/>
          <w:spacing w:val="-10"/>
          <w:sz w:val="31"/>
          <w:szCs w:val="31"/>
          <w:highlight w:val="none"/>
          <w14:textFill>
            <w14:solidFill>
              <w14:schemeClr w14:val="tx1"/>
            </w14:solidFill>
          </w14:textFill>
        </w:rPr>
        <w:t>则</w:t>
      </w:r>
    </w:p>
    <w:p w14:paraId="5C7FE6F2">
      <w:pPr>
        <w:keepNext w:val="0"/>
        <w:keepLines w:val="0"/>
        <w:pageBreakBefore w:val="0"/>
        <w:widowControl/>
        <w:kinsoku w:val="0"/>
        <w:wordWrap/>
        <w:overflowPunct/>
        <w:topLinePunct w:val="0"/>
        <w:autoSpaceDE w:val="0"/>
        <w:autoSpaceDN w:val="0"/>
        <w:bidi w:val="0"/>
        <w:adjustRightInd w:val="0"/>
        <w:snapToGrid w:val="0"/>
        <w:spacing w:before="159" w:line="560" w:lineRule="exact"/>
        <w:ind w:right="121" w:firstLine="690" w:firstLineChars="200"/>
        <w:jc w:val="both"/>
        <w:textAlignment w:val="baseline"/>
        <w:rPr>
          <w:rFonts w:ascii="仿宋" w:hAnsi="仿宋" w:eastAsia="仿宋" w:cs="仿宋"/>
          <w:color w:val="000000" w:themeColor="text1"/>
          <w:sz w:val="31"/>
          <w:szCs w:val="31"/>
          <w:highlight w:val="none"/>
          <w14:textFill>
            <w14:solidFill>
              <w14:schemeClr w14:val="tx1"/>
            </w14:solidFill>
          </w14:textFill>
        </w:rPr>
      </w:pPr>
      <w:r>
        <w:rPr>
          <w:rFonts w:ascii="楷体" w:hAnsi="楷体" w:eastAsia="楷体" w:cs="楷体"/>
          <w:b/>
          <w:bCs/>
          <w:color w:val="000000" w:themeColor="text1"/>
          <w:spacing w:val="17"/>
          <w:sz w:val="31"/>
          <w:szCs w:val="31"/>
          <w:highlight w:val="none"/>
          <w14:textFill>
            <w14:solidFill>
              <w14:schemeClr w14:val="tx1"/>
            </w14:solidFill>
          </w14:textFill>
        </w:rPr>
        <w:t>第一条</w:t>
      </w:r>
      <w:r>
        <w:rPr>
          <w:rFonts w:hint="eastAsia" w:ascii="楷体" w:hAnsi="楷体" w:eastAsia="楷体" w:cs="楷体"/>
          <w:b/>
          <w:bCs/>
          <w:color w:val="000000" w:themeColor="text1"/>
          <w:spacing w:val="17"/>
          <w:sz w:val="31"/>
          <w:szCs w:val="31"/>
          <w:highlight w:val="none"/>
          <w:lang w:val="en-US" w:eastAsia="zh-CN"/>
          <w14:textFill>
            <w14:solidFill>
              <w14:schemeClr w14:val="tx1"/>
            </w14:solidFill>
          </w14:textFill>
        </w:rPr>
        <w:t xml:space="preserve">  </w:t>
      </w:r>
      <w:r>
        <w:rPr>
          <w:rFonts w:ascii="仿宋" w:hAnsi="仿宋" w:eastAsia="仿宋" w:cs="仿宋"/>
          <w:color w:val="000000" w:themeColor="text1"/>
          <w:spacing w:val="17"/>
          <w:sz w:val="31"/>
          <w:szCs w:val="31"/>
          <w:highlight w:val="none"/>
          <w14:textFill>
            <w14:solidFill>
              <w14:schemeClr w14:val="tx1"/>
            </w14:solidFill>
          </w14:textFill>
        </w:rPr>
        <w:t>为规范和加强</w:t>
      </w:r>
      <w:r>
        <w:rPr>
          <w:rFonts w:hint="eastAsia" w:ascii="仿宋" w:hAnsi="仿宋" w:eastAsia="仿宋" w:cs="仿宋"/>
          <w:color w:val="000000" w:themeColor="text1"/>
          <w:spacing w:val="17"/>
          <w:sz w:val="31"/>
          <w:szCs w:val="31"/>
          <w:highlight w:val="none"/>
          <w:lang w:eastAsia="zh-CN"/>
          <w14:textFill>
            <w14:solidFill>
              <w14:schemeClr w14:val="tx1"/>
            </w14:solidFill>
          </w14:textFill>
        </w:rPr>
        <w:t>炎陵县行政事业单位国有资产管理</w:t>
      </w:r>
      <w:r>
        <w:rPr>
          <w:rFonts w:ascii="仿宋" w:hAnsi="仿宋" w:eastAsia="仿宋" w:cs="仿宋"/>
          <w:color w:val="000000" w:themeColor="text1"/>
          <w:spacing w:val="4"/>
          <w:sz w:val="31"/>
          <w:szCs w:val="31"/>
          <w:highlight w:val="none"/>
          <w14:textFill>
            <w14:solidFill>
              <w14:schemeClr w14:val="tx1"/>
            </w14:solidFill>
          </w14:textFill>
        </w:rPr>
        <w:t>和监督，维护</w:t>
      </w:r>
      <w:r>
        <w:rPr>
          <w:rFonts w:ascii="仿宋" w:hAnsi="仿宋" w:eastAsia="仿宋" w:cs="仿宋"/>
          <w:color w:val="000000" w:themeColor="text1"/>
          <w:spacing w:val="3"/>
          <w:sz w:val="31"/>
          <w:szCs w:val="31"/>
          <w:highlight w:val="none"/>
          <w14:textFill>
            <w14:solidFill>
              <w14:schemeClr w14:val="tx1"/>
            </w14:solidFill>
          </w14:textFill>
        </w:rPr>
        <w:t>国有资产安全完整，优</w:t>
      </w:r>
      <w:r>
        <w:rPr>
          <w:rFonts w:ascii="仿宋" w:hAnsi="仿宋" w:eastAsia="仿宋" w:cs="仿宋"/>
          <w:color w:val="000000" w:themeColor="text1"/>
          <w:spacing w:val="8"/>
          <w:sz w:val="31"/>
          <w:szCs w:val="31"/>
          <w:highlight w:val="none"/>
          <w14:textFill>
            <w14:solidFill>
              <w14:schemeClr w14:val="tx1"/>
            </w14:solidFill>
          </w14:textFill>
        </w:rPr>
        <w:t>化国有资产配置，提高国有资产使用效益，</w:t>
      </w:r>
      <w:r>
        <w:rPr>
          <w:rFonts w:hint="eastAsia" w:ascii="仿宋" w:hAnsi="仿宋" w:eastAsia="仿宋" w:cs="仿宋"/>
          <w:color w:val="000000" w:themeColor="text1"/>
          <w:spacing w:val="8"/>
          <w:sz w:val="31"/>
          <w:szCs w:val="31"/>
          <w:highlight w:val="none"/>
          <w:lang w:eastAsia="zh-CN"/>
          <w14:textFill>
            <w14:solidFill>
              <w14:schemeClr w14:val="tx1"/>
            </w14:solidFill>
          </w14:textFill>
        </w:rPr>
        <w:t>建立适应社会主义市场经济和公共财政要求的国有资产管理体制，</w:t>
      </w:r>
      <w:r>
        <w:rPr>
          <w:rFonts w:ascii="仿宋" w:hAnsi="仿宋" w:eastAsia="仿宋" w:cs="仿宋"/>
          <w:color w:val="000000" w:themeColor="text1"/>
          <w:spacing w:val="9"/>
          <w:sz w:val="31"/>
          <w:szCs w:val="31"/>
          <w:highlight w:val="none"/>
          <w14:textFill>
            <w14:solidFill>
              <w14:schemeClr w14:val="tx1"/>
            </w14:solidFill>
          </w14:textFill>
        </w:rPr>
        <w:t>根据《机关事务管</w:t>
      </w:r>
      <w:r>
        <w:rPr>
          <w:rFonts w:ascii="仿宋" w:hAnsi="仿宋" w:eastAsia="仿宋" w:cs="仿宋"/>
          <w:color w:val="000000" w:themeColor="text1"/>
          <w:spacing w:val="13"/>
          <w:sz w:val="31"/>
          <w:szCs w:val="31"/>
          <w:highlight w:val="none"/>
          <w14:textFill>
            <w14:solidFill>
              <w14:schemeClr w14:val="tx1"/>
            </w14:solidFill>
          </w14:textFill>
        </w:rPr>
        <w:t>理条例》(国务院令第621号)、《行政事业性国有资产管理条</w:t>
      </w:r>
      <w:r>
        <w:rPr>
          <w:rFonts w:ascii="仿宋" w:hAnsi="仿宋" w:eastAsia="仿宋" w:cs="仿宋"/>
          <w:color w:val="000000" w:themeColor="text1"/>
          <w:spacing w:val="6"/>
          <w:sz w:val="31"/>
          <w:szCs w:val="31"/>
          <w:highlight w:val="none"/>
          <w14:textFill>
            <w14:solidFill>
              <w14:schemeClr w14:val="tx1"/>
            </w14:solidFill>
          </w14:textFill>
        </w:rPr>
        <w:t>例》(国务院令第738号)、</w:t>
      </w:r>
      <w:r>
        <w:rPr>
          <w:rFonts w:hint="eastAsia" w:ascii="仿宋" w:hAnsi="仿宋" w:eastAsia="仿宋" w:cs="仿宋"/>
          <w:color w:val="000000" w:themeColor="text1"/>
          <w:spacing w:val="6"/>
          <w:sz w:val="31"/>
          <w:szCs w:val="31"/>
          <w:highlight w:val="none"/>
          <w14:textFill>
            <w14:solidFill>
              <w14:schemeClr w14:val="tx1"/>
            </w14:solidFill>
          </w14:textFill>
        </w:rPr>
        <w:t>《湖南省省直党政机关和参公事业单位国有资产管理办法》</w:t>
      </w:r>
      <w:r>
        <w:rPr>
          <w:rFonts w:hint="eastAsia" w:ascii="仿宋" w:hAnsi="仿宋" w:eastAsia="仿宋" w:cs="仿宋"/>
          <w:color w:val="000000" w:themeColor="text1"/>
          <w:spacing w:val="6"/>
          <w:sz w:val="31"/>
          <w:szCs w:val="31"/>
          <w:highlight w:val="none"/>
          <w:lang w:eastAsia="zh-CN"/>
          <w14:textFill>
            <w14:solidFill>
              <w14:schemeClr w14:val="tx1"/>
            </w14:solidFill>
          </w14:textFill>
        </w:rPr>
        <w:t>（湘政办发〔2021〕59号）、《株洲市市直党政机关和参公事业单位国有资产管理办法》（株政办发〔2023〕11号）</w:t>
      </w:r>
      <w:r>
        <w:rPr>
          <w:rFonts w:ascii="仿宋" w:hAnsi="仿宋" w:eastAsia="仿宋" w:cs="仿宋"/>
          <w:color w:val="000000" w:themeColor="text1"/>
          <w:spacing w:val="18"/>
          <w:sz w:val="31"/>
          <w:szCs w:val="31"/>
          <w:highlight w:val="none"/>
          <w14:textFill>
            <w14:solidFill>
              <w14:schemeClr w14:val="tx1"/>
            </w14:solidFill>
          </w14:textFill>
        </w:rPr>
        <w:t>等有关规定，结合</w:t>
      </w:r>
      <w:r>
        <w:rPr>
          <w:rFonts w:ascii="仿宋" w:hAnsi="仿宋" w:eastAsia="仿宋" w:cs="仿宋"/>
          <w:color w:val="000000" w:themeColor="text1"/>
          <w:spacing w:val="10"/>
          <w:sz w:val="31"/>
          <w:szCs w:val="31"/>
          <w:highlight w:val="none"/>
          <w14:textFill>
            <w14:solidFill>
              <w14:schemeClr w14:val="tx1"/>
            </w14:solidFill>
          </w14:textFill>
        </w:rPr>
        <w:t>我</w:t>
      </w:r>
      <w:r>
        <w:rPr>
          <w:rFonts w:hint="eastAsia" w:ascii="仿宋" w:hAnsi="仿宋" w:eastAsia="仿宋" w:cs="仿宋"/>
          <w:color w:val="000000" w:themeColor="text1"/>
          <w:spacing w:val="10"/>
          <w:sz w:val="31"/>
          <w:szCs w:val="31"/>
          <w:highlight w:val="none"/>
          <w:lang w:eastAsia="zh-CN"/>
          <w14:textFill>
            <w14:solidFill>
              <w14:schemeClr w14:val="tx1"/>
            </w14:solidFill>
          </w14:textFill>
        </w:rPr>
        <w:t>县</w:t>
      </w:r>
      <w:r>
        <w:rPr>
          <w:rFonts w:ascii="仿宋" w:hAnsi="仿宋" w:eastAsia="仿宋" w:cs="仿宋"/>
          <w:color w:val="000000" w:themeColor="text1"/>
          <w:spacing w:val="10"/>
          <w:sz w:val="31"/>
          <w:szCs w:val="31"/>
          <w:highlight w:val="none"/>
          <w14:textFill>
            <w14:solidFill>
              <w14:schemeClr w14:val="tx1"/>
            </w14:solidFill>
          </w14:textFill>
        </w:rPr>
        <w:t>实际，制定本办法。</w:t>
      </w:r>
    </w:p>
    <w:p w14:paraId="231D3940">
      <w:pPr>
        <w:keepNext w:val="0"/>
        <w:keepLines w:val="0"/>
        <w:pageBreakBefore w:val="0"/>
        <w:widowControl/>
        <w:kinsoku w:val="0"/>
        <w:wordWrap/>
        <w:overflowPunct/>
        <w:topLinePunct w:val="0"/>
        <w:autoSpaceDE w:val="0"/>
        <w:autoSpaceDN w:val="0"/>
        <w:bidi w:val="0"/>
        <w:adjustRightInd w:val="0"/>
        <w:snapToGrid w:val="0"/>
        <w:spacing w:before="40" w:line="560" w:lineRule="exact"/>
        <w:ind w:firstLine="634" w:firstLineChars="200"/>
        <w:jc w:val="both"/>
        <w:textAlignment w:val="baseline"/>
        <w:rPr>
          <w:rFonts w:hint="eastAsia" w:ascii="仿宋" w:hAnsi="仿宋" w:eastAsia="仿宋" w:cs="仿宋"/>
          <w:color w:val="000000" w:themeColor="text1"/>
          <w:spacing w:val="3"/>
          <w:sz w:val="31"/>
          <w:szCs w:val="31"/>
          <w:highlight w:val="none"/>
          <w14:textFill>
            <w14:solidFill>
              <w14:schemeClr w14:val="tx1"/>
            </w14:solidFill>
          </w14:textFill>
        </w:rPr>
      </w:pPr>
      <w:r>
        <w:rPr>
          <w:rFonts w:ascii="楷体" w:hAnsi="楷体" w:eastAsia="楷体" w:cs="楷体"/>
          <w:b/>
          <w:bCs/>
          <w:color w:val="000000" w:themeColor="text1"/>
          <w:spacing w:val="3"/>
          <w:sz w:val="31"/>
          <w:szCs w:val="31"/>
          <w:highlight w:val="none"/>
          <w14:textFill>
            <w14:solidFill>
              <w14:schemeClr w14:val="tx1"/>
            </w14:solidFill>
          </w14:textFill>
        </w:rPr>
        <w:t>第二条</w:t>
      </w:r>
      <w:r>
        <w:rPr>
          <w:rFonts w:hint="eastAsia" w:ascii="楷体" w:hAnsi="楷体" w:eastAsia="楷体" w:cs="楷体"/>
          <w:b/>
          <w:bCs/>
          <w:color w:val="000000" w:themeColor="text1"/>
          <w:spacing w:val="3"/>
          <w:sz w:val="31"/>
          <w:szCs w:val="31"/>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3"/>
          <w:sz w:val="31"/>
          <w:szCs w:val="31"/>
          <w:highlight w:val="none"/>
          <w14:textFill>
            <w14:solidFill>
              <w14:schemeClr w14:val="tx1"/>
            </w14:solidFill>
          </w14:textFill>
        </w:rPr>
        <w:t>本办法所称行政事业单位，包括县、乡两级党的机</w:t>
      </w:r>
    </w:p>
    <w:p w14:paraId="2E9664E1">
      <w:pPr>
        <w:keepNext w:val="0"/>
        <w:keepLines w:val="0"/>
        <w:pageBreakBefore w:val="0"/>
        <w:widowControl/>
        <w:kinsoku w:val="0"/>
        <w:wordWrap/>
        <w:overflowPunct/>
        <w:topLinePunct w:val="0"/>
        <w:autoSpaceDE w:val="0"/>
        <w:autoSpaceDN w:val="0"/>
        <w:bidi w:val="0"/>
        <w:adjustRightInd w:val="0"/>
        <w:snapToGrid w:val="0"/>
        <w:spacing w:before="40" w:line="560" w:lineRule="exact"/>
        <w:jc w:val="both"/>
        <w:textAlignment w:val="baseline"/>
        <w:rPr>
          <w:rFonts w:ascii="仿宋" w:hAnsi="仿宋" w:eastAsia="仿宋" w:cs="仿宋"/>
          <w:color w:val="000000" w:themeColor="text1"/>
          <w:spacing w:val="3"/>
          <w:sz w:val="31"/>
          <w:szCs w:val="31"/>
          <w:highlight w:val="none"/>
          <w14:textFill>
            <w14:solidFill>
              <w14:schemeClr w14:val="tx1"/>
            </w14:solidFill>
          </w14:textFill>
        </w:rPr>
      </w:pPr>
      <w:r>
        <w:rPr>
          <w:rFonts w:hint="eastAsia" w:ascii="仿宋" w:hAnsi="仿宋" w:eastAsia="仿宋" w:cs="仿宋"/>
          <w:color w:val="000000" w:themeColor="text1"/>
          <w:spacing w:val="3"/>
          <w:sz w:val="31"/>
          <w:szCs w:val="31"/>
          <w:highlight w:val="none"/>
          <w14:textFill>
            <w14:solidFill>
              <w14:schemeClr w14:val="tx1"/>
            </w14:solidFill>
          </w14:textFill>
        </w:rPr>
        <w:t>关、人大机关、行政机关、政协机关、监察机关、各民主党派机关、有关人民团体的机关本级及其所属各级行政事业单位。</w:t>
      </w:r>
    </w:p>
    <w:p w14:paraId="4F429797">
      <w:pPr>
        <w:keepNext w:val="0"/>
        <w:keepLines w:val="0"/>
        <w:pageBreakBefore w:val="0"/>
        <w:widowControl/>
        <w:kinsoku w:val="0"/>
        <w:wordWrap/>
        <w:overflowPunct/>
        <w:topLinePunct w:val="0"/>
        <w:autoSpaceDE w:val="0"/>
        <w:autoSpaceDN w:val="0"/>
        <w:bidi w:val="0"/>
        <w:adjustRightInd w:val="0"/>
        <w:snapToGrid w:val="0"/>
        <w:spacing w:before="63" w:line="560" w:lineRule="exact"/>
        <w:ind w:left="155" w:right="131" w:firstLine="649"/>
        <w:jc w:val="both"/>
        <w:textAlignment w:val="baseline"/>
        <w:rPr>
          <w:rFonts w:ascii="仿宋" w:hAnsi="仿宋" w:eastAsia="仿宋" w:cs="仿宋"/>
          <w:color w:val="000000" w:themeColor="text1"/>
          <w:sz w:val="31"/>
          <w:szCs w:val="31"/>
          <w:highlight w:val="none"/>
          <w14:textFill>
            <w14:solidFill>
              <w14:schemeClr w14:val="tx1"/>
            </w14:solidFill>
          </w14:textFill>
        </w:rPr>
      </w:pPr>
      <w:r>
        <w:rPr>
          <w:rFonts w:ascii="仿宋" w:hAnsi="仿宋" w:eastAsia="仿宋" w:cs="仿宋"/>
          <w:color w:val="000000" w:themeColor="text1"/>
          <w:spacing w:val="4"/>
          <w:sz w:val="31"/>
          <w:szCs w:val="31"/>
          <w:highlight w:val="none"/>
          <w14:textFill>
            <w14:solidFill>
              <w14:schemeClr w14:val="tx1"/>
            </w14:solidFill>
          </w14:textFill>
        </w:rPr>
        <w:t>经</w:t>
      </w:r>
      <w:r>
        <w:rPr>
          <w:rFonts w:hint="eastAsia" w:ascii="仿宋" w:hAnsi="仿宋" w:eastAsia="仿宋" w:cs="仿宋"/>
          <w:color w:val="000000" w:themeColor="text1"/>
          <w:spacing w:val="4"/>
          <w:sz w:val="31"/>
          <w:szCs w:val="31"/>
          <w:highlight w:val="none"/>
          <w:lang w:eastAsia="zh-CN"/>
          <w14:textFill>
            <w14:solidFill>
              <w14:schemeClr w14:val="tx1"/>
            </w14:solidFill>
          </w14:textFill>
        </w:rPr>
        <w:t>县</w:t>
      </w:r>
      <w:r>
        <w:rPr>
          <w:rFonts w:ascii="仿宋" w:hAnsi="仿宋" w:eastAsia="仿宋" w:cs="仿宋"/>
          <w:color w:val="000000" w:themeColor="text1"/>
          <w:spacing w:val="4"/>
          <w:sz w:val="31"/>
          <w:szCs w:val="31"/>
          <w:highlight w:val="none"/>
          <w14:textFill>
            <w14:solidFill>
              <w14:schemeClr w14:val="tx1"/>
            </w14:solidFill>
          </w14:textFill>
        </w:rPr>
        <w:t>委、</w:t>
      </w:r>
      <w:r>
        <w:rPr>
          <w:rFonts w:hint="eastAsia" w:ascii="仿宋" w:hAnsi="仿宋" w:eastAsia="仿宋" w:cs="仿宋"/>
          <w:color w:val="000000" w:themeColor="text1"/>
          <w:spacing w:val="4"/>
          <w:sz w:val="31"/>
          <w:szCs w:val="31"/>
          <w:highlight w:val="none"/>
          <w:lang w:eastAsia="zh-CN"/>
          <w14:textFill>
            <w14:solidFill>
              <w14:schemeClr w14:val="tx1"/>
            </w14:solidFill>
          </w14:textFill>
        </w:rPr>
        <w:t>县</w:t>
      </w:r>
      <w:r>
        <w:rPr>
          <w:rFonts w:ascii="仿宋" w:hAnsi="仿宋" w:eastAsia="仿宋" w:cs="仿宋"/>
          <w:color w:val="000000" w:themeColor="text1"/>
          <w:spacing w:val="4"/>
          <w:sz w:val="31"/>
          <w:szCs w:val="31"/>
          <w:highlight w:val="none"/>
          <w14:textFill>
            <w14:solidFill>
              <w14:schemeClr w14:val="tx1"/>
            </w14:solidFill>
          </w14:textFill>
        </w:rPr>
        <w:t>人民政府批准召开重大会议、举办大型活动</w:t>
      </w:r>
      <w:r>
        <w:rPr>
          <w:rFonts w:ascii="仿宋" w:hAnsi="仿宋" w:eastAsia="仿宋" w:cs="仿宋"/>
          <w:color w:val="000000" w:themeColor="text1"/>
          <w:spacing w:val="3"/>
          <w:sz w:val="31"/>
          <w:szCs w:val="31"/>
          <w:highlight w:val="none"/>
          <w14:textFill>
            <w14:solidFill>
              <w14:schemeClr w14:val="tx1"/>
            </w14:solidFill>
          </w14:textFill>
        </w:rPr>
        <w:t>以及</w:t>
      </w:r>
      <w:r>
        <w:rPr>
          <w:rFonts w:ascii="仿宋" w:hAnsi="仿宋" w:eastAsia="仿宋" w:cs="仿宋"/>
          <w:color w:val="000000" w:themeColor="text1"/>
          <w:spacing w:val="2"/>
          <w:sz w:val="31"/>
          <w:szCs w:val="31"/>
          <w:highlight w:val="none"/>
          <w14:textFill>
            <w14:solidFill>
              <w14:schemeClr w14:val="tx1"/>
            </w14:solidFill>
          </w14:textFill>
        </w:rPr>
        <w:t>开展临时性工作成立的议事协调机构参照本办</w:t>
      </w:r>
      <w:r>
        <w:rPr>
          <w:rFonts w:ascii="仿宋" w:hAnsi="仿宋" w:eastAsia="仿宋" w:cs="仿宋"/>
          <w:color w:val="000000" w:themeColor="text1"/>
          <w:spacing w:val="1"/>
          <w:sz w:val="31"/>
          <w:szCs w:val="31"/>
          <w:highlight w:val="none"/>
          <w14:textFill>
            <w14:solidFill>
              <w14:schemeClr w14:val="tx1"/>
            </w14:solidFill>
          </w14:textFill>
        </w:rPr>
        <w:t>法执行。</w:t>
      </w:r>
    </w:p>
    <w:p w14:paraId="197BC352">
      <w:pPr>
        <w:keepNext w:val="0"/>
        <w:keepLines w:val="0"/>
        <w:pageBreakBefore w:val="0"/>
        <w:widowControl/>
        <w:kinsoku w:val="0"/>
        <w:wordWrap/>
        <w:overflowPunct/>
        <w:topLinePunct w:val="0"/>
        <w:autoSpaceDE w:val="0"/>
        <w:autoSpaceDN w:val="0"/>
        <w:bidi w:val="0"/>
        <w:adjustRightInd w:val="0"/>
        <w:snapToGrid w:val="0"/>
        <w:spacing w:before="101" w:line="560" w:lineRule="exact"/>
        <w:ind w:right="129" w:firstLine="629"/>
        <w:jc w:val="both"/>
        <w:textAlignment w:val="baseline"/>
        <w:rPr>
          <w:rFonts w:ascii="仿宋" w:hAnsi="仿宋" w:eastAsia="仿宋" w:cs="仿宋"/>
          <w:color w:val="000000" w:themeColor="text1"/>
          <w:sz w:val="31"/>
          <w:szCs w:val="31"/>
          <w:highlight w:val="none"/>
          <w14:textFill>
            <w14:solidFill>
              <w14:schemeClr w14:val="tx1"/>
            </w14:solidFill>
          </w14:textFill>
        </w:rPr>
      </w:pPr>
      <w:r>
        <w:rPr>
          <w:rFonts w:ascii="楷体" w:hAnsi="楷体" w:eastAsia="楷体" w:cs="楷体"/>
          <w:b/>
          <w:bCs/>
          <w:color w:val="000000" w:themeColor="text1"/>
          <w:spacing w:val="11"/>
          <w:sz w:val="31"/>
          <w:szCs w:val="31"/>
          <w:highlight w:val="none"/>
          <w14:textFill>
            <w14:solidFill>
              <w14:schemeClr w14:val="tx1"/>
            </w14:solidFill>
          </w14:textFill>
        </w:rPr>
        <w:t>第三条</w:t>
      </w:r>
      <w:r>
        <w:rPr>
          <w:rFonts w:hint="eastAsia" w:ascii="楷体" w:hAnsi="楷体" w:eastAsia="楷体" w:cs="楷体"/>
          <w:color w:val="000000" w:themeColor="text1"/>
          <w:spacing w:val="11"/>
          <w:sz w:val="31"/>
          <w:szCs w:val="31"/>
          <w:highlight w:val="none"/>
          <w:lang w:val="en-US" w:eastAsia="zh-CN"/>
          <w14:textFill>
            <w14:solidFill>
              <w14:schemeClr w14:val="tx1"/>
            </w14:solidFill>
          </w14:textFill>
        </w:rPr>
        <w:t xml:space="preserve">  </w:t>
      </w:r>
      <w:r>
        <w:rPr>
          <w:rFonts w:ascii="仿宋" w:hAnsi="仿宋" w:eastAsia="仿宋" w:cs="仿宋"/>
          <w:color w:val="000000" w:themeColor="text1"/>
          <w:spacing w:val="11"/>
          <w:sz w:val="31"/>
          <w:szCs w:val="31"/>
          <w:highlight w:val="none"/>
          <w14:textFill>
            <w14:solidFill>
              <w14:schemeClr w14:val="tx1"/>
            </w14:solidFill>
          </w14:textFill>
        </w:rPr>
        <w:t>本办法所称国有资产，是指属于国家所有，由</w:t>
      </w:r>
      <w:r>
        <w:rPr>
          <w:rFonts w:hint="eastAsia" w:ascii="仿宋" w:hAnsi="仿宋" w:eastAsia="仿宋" w:cs="仿宋"/>
          <w:color w:val="000000" w:themeColor="text1"/>
          <w:spacing w:val="11"/>
          <w:sz w:val="31"/>
          <w:szCs w:val="31"/>
          <w:highlight w:val="none"/>
          <w:lang w:eastAsia="zh-CN"/>
          <w14:textFill>
            <w14:solidFill>
              <w14:schemeClr w14:val="tx1"/>
            </w14:solidFill>
          </w14:textFill>
        </w:rPr>
        <w:t>各</w:t>
      </w:r>
      <w:r>
        <w:rPr>
          <w:rFonts w:hint="eastAsia" w:ascii="仿宋" w:hAnsi="仿宋" w:eastAsia="仿宋" w:cs="仿宋"/>
          <w:color w:val="000000" w:themeColor="text1"/>
          <w:spacing w:val="3"/>
          <w:sz w:val="31"/>
          <w:szCs w:val="31"/>
          <w:highlight w:val="none"/>
          <w:lang w:eastAsia="zh-CN"/>
          <w14:textFill>
            <w14:solidFill>
              <w14:schemeClr w14:val="tx1"/>
            </w14:solidFill>
          </w14:textFill>
        </w:rPr>
        <w:t>行政事业单位</w:t>
      </w:r>
      <w:r>
        <w:rPr>
          <w:rFonts w:ascii="仿宋" w:hAnsi="仿宋" w:eastAsia="仿宋" w:cs="仿宋"/>
          <w:color w:val="000000" w:themeColor="text1"/>
          <w:spacing w:val="3"/>
          <w:sz w:val="31"/>
          <w:szCs w:val="31"/>
          <w:highlight w:val="none"/>
          <w14:textFill>
            <w14:solidFill>
              <w14:schemeClr w14:val="tx1"/>
            </w14:solidFill>
          </w14:textFill>
        </w:rPr>
        <w:t>直接支配的固定资产、在建工程、流动资产、无形资产等各种经济资源，主要包括土地、房屋及构筑物，车辆、计算机设备</w:t>
      </w:r>
      <w:r>
        <w:rPr>
          <w:rFonts w:ascii="仿宋" w:hAnsi="仿宋" w:eastAsia="仿宋" w:cs="仿宋"/>
          <w:color w:val="000000" w:themeColor="text1"/>
          <w:spacing w:val="4"/>
          <w:sz w:val="31"/>
          <w:szCs w:val="31"/>
          <w:highlight w:val="none"/>
          <w14:textFill>
            <w14:solidFill>
              <w14:schemeClr w14:val="tx1"/>
            </w14:solidFill>
          </w14:textFill>
        </w:rPr>
        <w:t>及软件、办公设备等通用设施设备，专用设备</w:t>
      </w:r>
      <w:r>
        <w:rPr>
          <w:rFonts w:ascii="仿宋" w:hAnsi="仿宋" w:eastAsia="仿宋" w:cs="仿宋"/>
          <w:color w:val="000000" w:themeColor="text1"/>
          <w:spacing w:val="3"/>
          <w:sz w:val="31"/>
          <w:szCs w:val="31"/>
          <w:highlight w:val="none"/>
          <w14:textFill>
            <w14:solidFill>
              <w14:schemeClr w14:val="tx1"/>
            </w14:solidFill>
          </w14:textFill>
        </w:rPr>
        <w:t>，家具、用具、装</w:t>
      </w:r>
      <w:r>
        <w:rPr>
          <w:rFonts w:ascii="仿宋" w:hAnsi="仿宋" w:eastAsia="仿宋" w:cs="仿宋"/>
          <w:color w:val="000000" w:themeColor="text1"/>
          <w:spacing w:val="-15"/>
          <w:sz w:val="31"/>
          <w:szCs w:val="31"/>
          <w:highlight w:val="none"/>
          <w14:textFill>
            <w14:solidFill>
              <w14:schemeClr w14:val="tx1"/>
            </w14:solidFill>
          </w14:textFill>
        </w:rPr>
        <w:t>具等。</w:t>
      </w:r>
    </w:p>
    <w:p w14:paraId="19BF06DE">
      <w:pPr>
        <w:keepNext w:val="0"/>
        <w:keepLines w:val="0"/>
        <w:pageBreakBefore w:val="0"/>
        <w:widowControl/>
        <w:kinsoku w:val="0"/>
        <w:wordWrap/>
        <w:overflowPunct/>
        <w:topLinePunct w:val="0"/>
        <w:autoSpaceDE w:val="0"/>
        <w:autoSpaceDN w:val="0"/>
        <w:bidi w:val="0"/>
        <w:adjustRightInd w:val="0"/>
        <w:snapToGrid w:val="0"/>
        <w:spacing w:before="69" w:line="560" w:lineRule="exact"/>
        <w:ind w:firstLine="629"/>
        <w:jc w:val="both"/>
        <w:textAlignment w:val="baseline"/>
        <w:rPr>
          <w:rFonts w:ascii="仿宋" w:hAnsi="仿宋" w:eastAsia="仿宋" w:cs="仿宋"/>
          <w:color w:val="000000" w:themeColor="text1"/>
          <w:sz w:val="31"/>
          <w:szCs w:val="31"/>
          <w:highlight w:val="none"/>
          <w14:textFill>
            <w14:solidFill>
              <w14:schemeClr w14:val="tx1"/>
            </w14:solidFill>
          </w14:textFill>
        </w:rPr>
      </w:pPr>
      <w:r>
        <w:rPr>
          <w:rFonts w:ascii="楷体" w:hAnsi="楷体" w:eastAsia="楷体" w:cs="楷体"/>
          <w:b/>
          <w:bCs/>
          <w:color w:val="000000" w:themeColor="text1"/>
          <w:spacing w:val="8"/>
          <w:sz w:val="31"/>
          <w:szCs w:val="31"/>
          <w:highlight w:val="none"/>
          <w14:textFill>
            <w14:solidFill>
              <w14:schemeClr w14:val="tx1"/>
            </w14:solidFill>
          </w14:textFill>
        </w:rPr>
        <w:t>第四条</w:t>
      </w:r>
      <w:r>
        <w:rPr>
          <w:rFonts w:hint="eastAsia" w:ascii="楷体" w:hAnsi="楷体" w:eastAsia="楷体" w:cs="楷体"/>
          <w:b/>
          <w:bCs/>
          <w:color w:val="000000" w:themeColor="text1"/>
          <w:spacing w:val="8"/>
          <w:sz w:val="31"/>
          <w:szCs w:val="31"/>
          <w:highlight w:val="none"/>
          <w:lang w:val="en-US" w:eastAsia="zh-CN"/>
          <w14:textFill>
            <w14:solidFill>
              <w14:schemeClr w14:val="tx1"/>
            </w14:solidFill>
          </w14:textFill>
        </w:rPr>
        <w:t xml:space="preserve">  </w:t>
      </w:r>
      <w:r>
        <w:rPr>
          <w:rFonts w:ascii="仿宋" w:hAnsi="仿宋" w:eastAsia="仿宋" w:cs="仿宋"/>
          <w:color w:val="000000" w:themeColor="text1"/>
          <w:spacing w:val="8"/>
          <w:sz w:val="31"/>
          <w:szCs w:val="31"/>
          <w:highlight w:val="none"/>
          <w14:textFill>
            <w14:solidFill>
              <w14:schemeClr w14:val="tx1"/>
            </w14:solidFill>
          </w14:textFill>
        </w:rPr>
        <w:t>国有资产管理应当坚持集中统一、权属清晰、权责</w:t>
      </w:r>
      <w:r>
        <w:rPr>
          <w:rFonts w:ascii="仿宋" w:hAnsi="仿宋" w:eastAsia="仿宋" w:cs="仿宋"/>
          <w:color w:val="000000" w:themeColor="text1"/>
          <w:spacing w:val="4"/>
          <w:sz w:val="31"/>
          <w:szCs w:val="31"/>
          <w:highlight w:val="none"/>
          <w14:textFill>
            <w14:solidFill>
              <w14:schemeClr w14:val="tx1"/>
            </w14:solidFill>
          </w14:textFill>
        </w:rPr>
        <w:t>一致、安全规范、优化盘活、节约高效，实物管理与价值管理相</w:t>
      </w:r>
      <w:r>
        <w:rPr>
          <w:rFonts w:ascii="仿宋" w:hAnsi="仿宋" w:eastAsia="仿宋" w:cs="仿宋"/>
          <w:color w:val="000000" w:themeColor="text1"/>
          <w:spacing w:val="3"/>
          <w:sz w:val="31"/>
          <w:szCs w:val="31"/>
          <w:highlight w:val="none"/>
          <w14:textFill>
            <w14:solidFill>
              <w14:schemeClr w14:val="tx1"/>
            </w14:solidFill>
          </w14:textFill>
        </w:rPr>
        <w:t>统一，资产管理与预算管理、财务管理相结合的原</w:t>
      </w:r>
      <w:r>
        <w:rPr>
          <w:rFonts w:ascii="仿宋" w:hAnsi="仿宋" w:eastAsia="仿宋" w:cs="仿宋"/>
          <w:color w:val="000000" w:themeColor="text1"/>
          <w:spacing w:val="2"/>
          <w:sz w:val="31"/>
          <w:szCs w:val="31"/>
          <w:highlight w:val="none"/>
          <w14:textFill>
            <w14:solidFill>
              <w14:schemeClr w14:val="tx1"/>
            </w14:solidFill>
          </w14:textFill>
        </w:rPr>
        <w:t>则，推进国有</w:t>
      </w:r>
      <w:r>
        <w:rPr>
          <w:rFonts w:ascii="仿宋" w:hAnsi="仿宋" w:eastAsia="仿宋" w:cs="仿宋"/>
          <w:color w:val="000000" w:themeColor="text1"/>
          <w:spacing w:val="8"/>
          <w:sz w:val="31"/>
          <w:szCs w:val="31"/>
          <w:highlight w:val="none"/>
          <w14:textFill>
            <w14:solidFill>
              <w14:schemeClr w14:val="tx1"/>
            </w14:solidFill>
          </w14:textFill>
        </w:rPr>
        <w:t>资产管理制度规范化、流程标准化、手段信息化、公开透明化，</w:t>
      </w:r>
      <w:r>
        <w:rPr>
          <w:rFonts w:ascii="仿宋" w:hAnsi="仿宋" w:eastAsia="仿宋" w:cs="仿宋"/>
          <w:color w:val="000000" w:themeColor="text1"/>
          <w:spacing w:val="3"/>
          <w:sz w:val="31"/>
          <w:szCs w:val="31"/>
          <w:highlight w:val="none"/>
          <w14:textFill>
            <w14:solidFill>
              <w14:schemeClr w14:val="tx1"/>
            </w14:solidFill>
          </w14:textFill>
        </w:rPr>
        <w:t>实现配置科学、使用高效、处置规范、监督到位的国有资产管理</w:t>
      </w:r>
      <w:r>
        <w:rPr>
          <w:rFonts w:ascii="仿宋" w:hAnsi="仿宋" w:eastAsia="仿宋" w:cs="仿宋"/>
          <w:color w:val="000000" w:themeColor="text1"/>
          <w:spacing w:val="-22"/>
          <w:sz w:val="31"/>
          <w:szCs w:val="31"/>
          <w:highlight w:val="none"/>
          <w14:textFill>
            <w14:solidFill>
              <w14:schemeClr w14:val="tx1"/>
            </w14:solidFill>
          </w14:textFill>
        </w:rPr>
        <w:t>目标。</w:t>
      </w:r>
    </w:p>
    <w:p w14:paraId="30D0EC8F">
      <w:pPr>
        <w:keepNext w:val="0"/>
        <w:keepLines w:val="0"/>
        <w:pageBreakBefore w:val="0"/>
        <w:widowControl/>
        <w:kinsoku w:val="0"/>
        <w:wordWrap/>
        <w:overflowPunct/>
        <w:topLinePunct w:val="0"/>
        <w:autoSpaceDE w:val="0"/>
        <w:autoSpaceDN w:val="0"/>
        <w:bidi w:val="0"/>
        <w:adjustRightInd w:val="0"/>
        <w:snapToGrid w:val="0"/>
        <w:spacing w:before="50" w:line="560" w:lineRule="exact"/>
        <w:ind w:right="133" w:firstLine="629"/>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楷体" w:hAnsi="楷体" w:eastAsia="楷体" w:cs="楷体"/>
          <w:b/>
          <w:bCs/>
          <w:color w:val="000000" w:themeColor="text1"/>
          <w:spacing w:val="9"/>
          <w:sz w:val="31"/>
          <w:szCs w:val="31"/>
          <w:highlight w:val="none"/>
          <w14:textFill>
            <w14:solidFill>
              <w14:schemeClr w14:val="tx1"/>
            </w14:solidFill>
          </w14:textFill>
        </w:rPr>
        <w:t>第五条</w:t>
      </w:r>
      <w:r>
        <w:rPr>
          <w:rFonts w:hint="eastAsia" w:ascii="楷体" w:hAnsi="楷体" w:eastAsia="楷体" w:cs="楷体"/>
          <w:b/>
          <w:bCs/>
          <w:color w:val="000000" w:themeColor="text1"/>
          <w:spacing w:val="9"/>
          <w:sz w:val="31"/>
          <w:szCs w:val="31"/>
          <w:highlight w:val="none"/>
          <w:lang w:val="en-US" w:eastAsia="zh-CN"/>
          <w14:textFill>
            <w14:solidFill>
              <w14:schemeClr w14:val="tx1"/>
            </w14:solidFill>
          </w14:textFill>
        </w:rPr>
        <w:t xml:space="preserve">  </w:t>
      </w:r>
      <w:r>
        <w:rPr>
          <w:rFonts w:ascii="仿宋" w:hAnsi="仿宋" w:eastAsia="仿宋" w:cs="仿宋"/>
          <w:color w:val="000000" w:themeColor="text1"/>
          <w:spacing w:val="9"/>
          <w:sz w:val="31"/>
          <w:szCs w:val="31"/>
          <w:highlight w:val="none"/>
          <w14:textFill>
            <w14:solidFill>
              <w14:schemeClr w14:val="tx1"/>
            </w14:solidFill>
          </w14:textFill>
        </w:rPr>
        <w:t>坚持国家统一所有、政府分级监管、</w:t>
      </w:r>
      <w:r>
        <w:rPr>
          <w:rFonts w:hint="eastAsia" w:ascii="仿宋" w:hAnsi="仿宋" w:eastAsia="仿宋" w:cs="仿宋"/>
          <w:color w:val="000000" w:themeColor="text1"/>
          <w:spacing w:val="9"/>
          <w:sz w:val="31"/>
          <w:szCs w:val="31"/>
          <w:highlight w:val="none"/>
          <w:lang w:eastAsia="zh-CN"/>
          <w14:textFill>
            <w14:solidFill>
              <w14:schemeClr w14:val="tx1"/>
            </w14:solidFill>
          </w14:textFill>
        </w:rPr>
        <w:t>行政事业</w:t>
      </w:r>
      <w:r>
        <w:rPr>
          <w:rFonts w:ascii="仿宋" w:hAnsi="仿宋" w:eastAsia="仿宋" w:cs="仿宋"/>
          <w:color w:val="000000" w:themeColor="text1"/>
          <w:spacing w:val="9"/>
          <w:sz w:val="31"/>
          <w:szCs w:val="31"/>
          <w:highlight w:val="none"/>
          <w14:textFill>
            <w14:solidFill>
              <w14:schemeClr w14:val="tx1"/>
            </w14:solidFill>
          </w14:textFill>
        </w:rPr>
        <w:t>单位直接</w:t>
      </w:r>
      <w:r>
        <w:rPr>
          <w:rFonts w:ascii="仿宋" w:hAnsi="仿宋" w:eastAsia="仿宋" w:cs="仿宋"/>
          <w:color w:val="000000" w:themeColor="text1"/>
          <w:spacing w:val="3"/>
          <w:sz w:val="31"/>
          <w:szCs w:val="31"/>
          <w:highlight w:val="none"/>
          <w14:textFill>
            <w14:solidFill>
              <w14:schemeClr w14:val="tx1"/>
            </w14:solidFill>
          </w14:textFill>
        </w:rPr>
        <w:t>支配的国有资产管理体制，健全</w:t>
      </w:r>
      <w:r>
        <w:rPr>
          <w:rFonts w:hint="eastAsia" w:ascii="仿宋" w:hAnsi="仿宋" w:eastAsia="仿宋" w:cs="仿宋"/>
          <w:color w:val="000000" w:themeColor="text1"/>
          <w:spacing w:val="3"/>
          <w:sz w:val="31"/>
          <w:szCs w:val="31"/>
          <w:highlight w:val="none"/>
          <w:lang w:eastAsia="zh-CN"/>
          <w14:textFill>
            <w14:solidFill>
              <w14:schemeClr w14:val="tx1"/>
            </w14:solidFill>
          </w14:textFill>
        </w:rPr>
        <w:t>县</w:t>
      </w:r>
      <w:r>
        <w:rPr>
          <w:rFonts w:ascii="仿宋" w:hAnsi="仿宋" w:eastAsia="仿宋" w:cs="仿宋"/>
          <w:color w:val="000000" w:themeColor="text1"/>
          <w:spacing w:val="3"/>
          <w:sz w:val="31"/>
          <w:szCs w:val="31"/>
          <w:highlight w:val="none"/>
          <w14:textFill>
            <w14:solidFill>
              <w14:schemeClr w14:val="tx1"/>
            </w14:solidFill>
          </w14:textFill>
        </w:rPr>
        <w:t>财政局、</w:t>
      </w:r>
      <w:r>
        <w:rPr>
          <w:rFonts w:hint="eastAsia" w:ascii="仿宋" w:hAnsi="仿宋" w:eastAsia="仿宋" w:cs="仿宋"/>
          <w:color w:val="000000" w:themeColor="text1"/>
          <w:spacing w:val="3"/>
          <w:sz w:val="31"/>
          <w:szCs w:val="31"/>
          <w:highlight w:val="none"/>
          <w:lang w:eastAsia="zh-CN"/>
          <w14:textFill>
            <w14:solidFill>
              <w14:schemeClr w14:val="tx1"/>
            </w14:solidFill>
          </w14:textFill>
        </w:rPr>
        <w:t>县机关事务服</w:t>
      </w:r>
      <w:r>
        <w:rPr>
          <w:rFonts w:hint="eastAsia" w:ascii="仿宋" w:hAnsi="仿宋" w:eastAsia="仿宋" w:cs="仿宋"/>
          <w:color w:val="000000" w:themeColor="text1"/>
          <w:spacing w:val="3"/>
          <w:sz w:val="31"/>
          <w:szCs w:val="31"/>
          <w:highlight w:val="none"/>
          <w:u w:val="none"/>
          <w:lang w:eastAsia="zh-CN"/>
          <w14:textFill>
            <w14:solidFill>
              <w14:schemeClr w14:val="tx1"/>
            </w14:solidFill>
          </w14:textFill>
        </w:rPr>
        <w:t>务中心</w:t>
      </w:r>
      <w:r>
        <w:rPr>
          <w:rFonts w:ascii="仿宋" w:hAnsi="仿宋" w:eastAsia="仿宋" w:cs="仿宋"/>
          <w:color w:val="000000" w:themeColor="text1"/>
          <w:spacing w:val="3"/>
          <w:sz w:val="31"/>
          <w:szCs w:val="31"/>
          <w:highlight w:val="none"/>
          <w:u w:val="none"/>
          <w14:textFill>
            <w14:solidFill>
              <w14:schemeClr w14:val="tx1"/>
            </w14:solidFill>
          </w14:textFill>
        </w:rPr>
        <w:t>和其他</w:t>
      </w:r>
      <w:r>
        <w:rPr>
          <w:rFonts w:ascii="仿宋" w:hAnsi="仿宋" w:eastAsia="仿宋" w:cs="仿宋"/>
          <w:color w:val="000000" w:themeColor="text1"/>
          <w:spacing w:val="1"/>
          <w:sz w:val="31"/>
          <w:szCs w:val="31"/>
          <w:highlight w:val="none"/>
          <w:u w:val="none"/>
          <w14:textFill>
            <w14:solidFill>
              <w14:schemeClr w14:val="tx1"/>
            </w14:solidFill>
          </w14:textFill>
        </w:rPr>
        <w:t>相关职能部门职责清晰、分工协作的国有资产管理机制。</w:t>
      </w:r>
    </w:p>
    <w:p w14:paraId="0A752F27">
      <w:pPr>
        <w:keepNext w:val="0"/>
        <w:keepLines w:val="0"/>
        <w:pageBreakBefore w:val="0"/>
        <w:widowControl/>
        <w:kinsoku w:val="0"/>
        <w:wordWrap/>
        <w:overflowPunct/>
        <w:topLinePunct w:val="0"/>
        <w:autoSpaceDE w:val="0"/>
        <w:autoSpaceDN w:val="0"/>
        <w:bidi w:val="0"/>
        <w:adjustRightInd w:val="0"/>
        <w:snapToGrid w:val="0"/>
        <w:spacing w:before="43" w:line="560" w:lineRule="exact"/>
        <w:ind w:right="20" w:firstLine="634"/>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楷体" w:hAnsi="楷体" w:eastAsia="楷体" w:cs="楷体"/>
          <w:b/>
          <w:bCs/>
          <w:color w:val="000000" w:themeColor="text1"/>
          <w:spacing w:val="2"/>
          <w:sz w:val="31"/>
          <w:szCs w:val="31"/>
          <w:highlight w:val="none"/>
          <w:u w:val="none"/>
          <w14:textFill>
            <w14:solidFill>
              <w14:schemeClr w14:val="tx1"/>
            </w14:solidFill>
          </w14:textFill>
        </w:rPr>
        <w:t>第六条</w:t>
      </w:r>
      <w:r>
        <w:rPr>
          <w:rFonts w:hint="eastAsia" w:ascii="楷体" w:hAnsi="楷体" w:eastAsia="楷体" w:cs="楷体"/>
          <w:b/>
          <w:bCs/>
          <w:color w:val="000000" w:themeColor="text1"/>
          <w:spacing w:val="2"/>
          <w:sz w:val="31"/>
          <w:szCs w:val="31"/>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pacing w:val="2"/>
          <w:sz w:val="31"/>
          <w:szCs w:val="31"/>
          <w:highlight w:val="none"/>
          <w:u w:val="none"/>
          <w:lang w:eastAsia="zh-CN"/>
          <w14:textFill>
            <w14:solidFill>
              <w14:schemeClr w14:val="tx1"/>
            </w14:solidFill>
          </w14:textFill>
        </w:rPr>
        <w:t>县</w:t>
      </w:r>
      <w:r>
        <w:rPr>
          <w:rFonts w:ascii="仿宋" w:hAnsi="仿宋" w:eastAsia="仿宋" w:cs="仿宋"/>
          <w:color w:val="000000" w:themeColor="text1"/>
          <w:spacing w:val="2"/>
          <w:sz w:val="31"/>
          <w:szCs w:val="31"/>
          <w:highlight w:val="none"/>
          <w:u w:val="none"/>
          <w14:textFill>
            <w14:solidFill>
              <w14:schemeClr w14:val="tx1"/>
            </w14:solidFill>
          </w14:textFill>
        </w:rPr>
        <w:t>财政局是行政事业单位国有资产的综合管理部门，</w:t>
      </w:r>
      <w:r>
        <w:rPr>
          <w:rFonts w:ascii="仿宋" w:hAnsi="仿宋" w:eastAsia="仿宋" w:cs="仿宋"/>
          <w:color w:val="000000" w:themeColor="text1"/>
          <w:spacing w:val="-6"/>
          <w:sz w:val="31"/>
          <w:szCs w:val="31"/>
          <w:highlight w:val="none"/>
          <w:u w:val="none"/>
          <w14:textFill>
            <w14:solidFill>
              <w14:schemeClr w14:val="tx1"/>
            </w14:solidFill>
          </w14:textFill>
        </w:rPr>
        <w:t>依法履行下列职责：</w:t>
      </w:r>
    </w:p>
    <w:p w14:paraId="7774366B">
      <w:pPr>
        <w:keepNext w:val="0"/>
        <w:keepLines w:val="0"/>
        <w:pageBreakBefore w:val="0"/>
        <w:widowControl/>
        <w:kinsoku w:val="0"/>
        <w:wordWrap/>
        <w:overflowPunct/>
        <w:topLinePunct w:val="0"/>
        <w:autoSpaceDE w:val="0"/>
        <w:autoSpaceDN w:val="0"/>
        <w:bidi w:val="0"/>
        <w:adjustRightInd w:val="0"/>
        <w:snapToGrid w:val="0"/>
        <w:spacing w:before="45" w:line="560" w:lineRule="exact"/>
        <w:ind w:right="173" w:firstLine="629"/>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仿宋" w:hAnsi="仿宋" w:eastAsia="仿宋" w:cs="仿宋"/>
          <w:color w:val="000000" w:themeColor="text1"/>
          <w:spacing w:val="14"/>
          <w:sz w:val="31"/>
          <w:szCs w:val="31"/>
          <w:highlight w:val="none"/>
          <w:u w:val="none"/>
          <w14:textFill>
            <w14:solidFill>
              <w14:schemeClr w14:val="tx1"/>
            </w14:solidFill>
          </w14:textFill>
        </w:rPr>
        <w:t>(一)负责制定</w:t>
      </w:r>
      <w:r>
        <w:rPr>
          <w:rFonts w:hint="eastAsia" w:ascii="仿宋" w:hAnsi="仿宋" w:eastAsia="仿宋" w:cs="仿宋"/>
          <w:color w:val="000000" w:themeColor="text1"/>
          <w:spacing w:val="14"/>
          <w:sz w:val="31"/>
          <w:szCs w:val="31"/>
          <w:highlight w:val="none"/>
          <w:u w:val="none"/>
          <w:lang w:eastAsia="zh-CN"/>
          <w14:textFill>
            <w14:solidFill>
              <w14:schemeClr w14:val="tx1"/>
            </w14:solidFill>
          </w14:textFill>
        </w:rPr>
        <w:t>行政事业单位</w:t>
      </w:r>
      <w:r>
        <w:rPr>
          <w:rFonts w:ascii="仿宋" w:hAnsi="仿宋" w:eastAsia="仿宋" w:cs="仿宋"/>
          <w:color w:val="000000" w:themeColor="text1"/>
          <w:spacing w:val="14"/>
          <w:sz w:val="31"/>
          <w:szCs w:val="31"/>
          <w:highlight w:val="none"/>
          <w:u w:val="none"/>
          <w14:textFill>
            <w14:solidFill>
              <w14:schemeClr w14:val="tx1"/>
            </w14:solidFill>
          </w14:textFill>
        </w:rPr>
        <w:t>国有资产管理规章制度，</w:t>
      </w:r>
      <w:r>
        <w:rPr>
          <w:rFonts w:ascii="仿宋" w:hAnsi="仿宋" w:eastAsia="仿宋" w:cs="仿宋"/>
          <w:color w:val="000000" w:themeColor="text1"/>
          <w:spacing w:val="13"/>
          <w:sz w:val="31"/>
          <w:szCs w:val="31"/>
          <w:highlight w:val="none"/>
          <w:u w:val="none"/>
          <w14:textFill>
            <w14:solidFill>
              <w14:schemeClr w14:val="tx1"/>
            </w14:solidFill>
          </w14:textFill>
        </w:rPr>
        <w:t>并负责</w:t>
      </w:r>
      <w:r>
        <w:rPr>
          <w:rFonts w:hint="eastAsia" w:ascii="仿宋" w:hAnsi="仿宋" w:eastAsia="仿宋" w:cs="仿宋"/>
          <w:color w:val="000000" w:themeColor="text1"/>
          <w:spacing w:val="13"/>
          <w:sz w:val="31"/>
          <w:szCs w:val="31"/>
          <w:highlight w:val="none"/>
          <w:u w:val="none"/>
          <w:lang w:eastAsia="zh-CN"/>
          <w14:textFill>
            <w14:solidFill>
              <w14:schemeClr w14:val="tx1"/>
            </w14:solidFill>
          </w14:textFill>
        </w:rPr>
        <w:t>组</w:t>
      </w:r>
      <w:r>
        <w:rPr>
          <w:rFonts w:ascii="仿宋" w:hAnsi="仿宋" w:eastAsia="仿宋" w:cs="仿宋"/>
          <w:color w:val="000000" w:themeColor="text1"/>
          <w:spacing w:val="-10"/>
          <w:sz w:val="31"/>
          <w:szCs w:val="31"/>
          <w:highlight w:val="none"/>
          <w:u w:val="none"/>
          <w14:textFill>
            <w14:solidFill>
              <w14:schemeClr w14:val="tx1"/>
            </w14:solidFill>
          </w14:textFill>
        </w:rPr>
        <w:t>织实施与监督检查；</w:t>
      </w:r>
    </w:p>
    <w:p w14:paraId="3EC0F058">
      <w:pPr>
        <w:keepNext w:val="0"/>
        <w:keepLines w:val="0"/>
        <w:pageBreakBefore w:val="0"/>
        <w:widowControl/>
        <w:kinsoku w:val="0"/>
        <w:wordWrap/>
        <w:overflowPunct/>
        <w:topLinePunct w:val="0"/>
        <w:autoSpaceDE w:val="0"/>
        <w:autoSpaceDN w:val="0"/>
        <w:bidi w:val="0"/>
        <w:adjustRightInd w:val="0"/>
        <w:snapToGrid w:val="0"/>
        <w:spacing w:before="224" w:line="560" w:lineRule="exact"/>
        <w:ind w:right="20" w:firstLine="629"/>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仿宋" w:hAnsi="仿宋" w:eastAsia="仿宋" w:cs="仿宋"/>
          <w:color w:val="000000" w:themeColor="text1"/>
          <w:spacing w:val="7"/>
          <w:sz w:val="31"/>
          <w:szCs w:val="31"/>
          <w:highlight w:val="none"/>
          <w:u w:val="none"/>
          <w14:textFill>
            <w14:solidFill>
              <w14:schemeClr w14:val="tx1"/>
            </w14:solidFill>
          </w14:textFill>
        </w:rPr>
        <w:t>(二)承担行政事业单位国有资产配置预算管理、资产收益、</w:t>
      </w:r>
      <w:r>
        <w:rPr>
          <w:rFonts w:ascii="仿宋" w:hAnsi="仿宋" w:eastAsia="仿宋" w:cs="仿宋"/>
          <w:color w:val="000000" w:themeColor="text1"/>
          <w:spacing w:val="4"/>
          <w:sz w:val="31"/>
          <w:szCs w:val="31"/>
          <w:highlight w:val="none"/>
          <w:u w:val="none"/>
          <w14:textFill>
            <w14:solidFill>
              <w14:schemeClr w14:val="tx1"/>
            </w14:solidFill>
          </w14:textFill>
        </w:rPr>
        <w:t>资产评估监管工作，按照职责分工承担资产有偿使用</w:t>
      </w:r>
      <w:r>
        <w:rPr>
          <w:rFonts w:ascii="仿宋" w:hAnsi="仿宋" w:eastAsia="仿宋" w:cs="仿宋"/>
          <w:color w:val="000000" w:themeColor="text1"/>
          <w:spacing w:val="3"/>
          <w:sz w:val="31"/>
          <w:szCs w:val="31"/>
          <w:highlight w:val="none"/>
          <w:u w:val="none"/>
          <w14:textFill>
            <w14:solidFill>
              <w14:schemeClr w14:val="tx1"/>
            </w14:solidFill>
          </w14:textFill>
        </w:rPr>
        <w:t>和处置的审</w:t>
      </w:r>
      <w:r>
        <w:rPr>
          <w:rFonts w:ascii="仿宋" w:hAnsi="仿宋" w:eastAsia="仿宋" w:cs="仿宋"/>
          <w:color w:val="000000" w:themeColor="text1"/>
          <w:spacing w:val="-13"/>
          <w:sz w:val="31"/>
          <w:szCs w:val="31"/>
          <w:highlight w:val="none"/>
          <w:u w:val="none"/>
          <w14:textFill>
            <w14:solidFill>
              <w14:schemeClr w14:val="tx1"/>
            </w14:solidFill>
          </w14:textFill>
        </w:rPr>
        <w:t>批工作；</w:t>
      </w:r>
    </w:p>
    <w:p w14:paraId="1B3AC7AA">
      <w:pPr>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676" w:firstLineChars="200"/>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仿宋" w:hAnsi="仿宋" w:eastAsia="仿宋" w:cs="仿宋"/>
          <w:color w:val="000000" w:themeColor="text1"/>
          <w:spacing w:val="14"/>
          <w:sz w:val="31"/>
          <w:szCs w:val="31"/>
          <w:highlight w:val="none"/>
          <w:u w:val="none"/>
          <w14:textFill>
            <w14:solidFill>
              <w14:schemeClr w14:val="tx1"/>
            </w14:solidFill>
          </w14:textFill>
        </w:rPr>
        <w:t>(三)负责组织开展本</w:t>
      </w:r>
      <w:r>
        <w:rPr>
          <w:rFonts w:hint="eastAsia" w:ascii="仿宋" w:hAnsi="仿宋" w:eastAsia="仿宋" w:cs="仿宋"/>
          <w:color w:val="000000" w:themeColor="text1"/>
          <w:spacing w:val="14"/>
          <w:sz w:val="31"/>
          <w:szCs w:val="31"/>
          <w:highlight w:val="none"/>
          <w:u w:val="none"/>
          <w:lang w:eastAsia="zh-CN"/>
          <w14:textFill>
            <w14:solidFill>
              <w14:schemeClr w14:val="tx1"/>
            </w14:solidFill>
          </w14:textFill>
        </w:rPr>
        <w:t>县</w:t>
      </w:r>
      <w:r>
        <w:rPr>
          <w:rFonts w:ascii="仿宋" w:hAnsi="仿宋" w:eastAsia="仿宋" w:cs="仿宋"/>
          <w:color w:val="000000" w:themeColor="text1"/>
          <w:spacing w:val="14"/>
          <w:sz w:val="31"/>
          <w:szCs w:val="31"/>
          <w:highlight w:val="none"/>
          <w:u w:val="none"/>
          <w14:textFill>
            <w14:solidFill>
              <w14:schemeClr w14:val="tx1"/>
            </w14:solidFill>
          </w14:textFill>
        </w:rPr>
        <w:t>行政事业单位国有资产年度报告工</w:t>
      </w:r>
      <w:r>
        <w:rPr>
          <w:rFonts w:ascii="仿宋" w:hAnsi="仿宋" w:eastAsia="仿宋" w:cs="仿宋"/>
          <w:color w:val="000000" w:themeColor="text1"/>
          <w:spacing w:val="1"/>
          <w:sz w:val="31"/>
          <w:szCs w:val="31"/>
          <w:highlight w:val="none"/>
          <w:u w:val="none"/>
          <w14:textFill>
            <w14:solidFill>
              <w14:schemeClr w14:val="tx1"/>
            </w14:solidFill>
          </w14:textFill>
        </w:rPr>
        <w:t>作，牵头编制行政事业性国有资产管理情况报告；</w:t>
      </w:r>
    </w:p>
    <w:p w14:paraId="3FE3A5FF">
      <w:pPr>
        <w:keepNext w:val="0"/>
        <w:keepLines w:val="0"/>
        <w:pageBreakBefore w:val="0"/>
        <w:widowControl/>
        <w:kinsoku w:val="0"/>
        <w:wordWrap/>
        <w:overflowPunct/>
        <w:topLinePunct w:val="0"/>
        <w:autoSpaceDE w:val="0"/>
        <w:autoSpaceDN w:val="0"/>
        <w:bidi w:val="0"/>
        <w:adjustRightInd w:val="0"/>
        <w:snapToGrid w:val="0"/>
        <w:spacing w:before="210" w:line="560" w:lineRule="exact"/>
        <w:ind w:right="121" w:firstLine="689"/>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仿宋" w:hAnsi="仿宋" w:eastAsia="仿宋" w:cs="仿宋"/>
          <w:color w:val="000000" w:themeColor="text1"/>
          <w:spacing w:val="14"/>
          <w:sz w:val="31"/>
          <w:szCs w:val="31"/>
          <w:highlight w:val="none"/>
          <w:u w:val="none"/>
          <w14:textFill>
            <w14:solidFill>
              <w14:schemeClr w14:val="tx1"/>
            </w14:solidFill>
          </w14:textFill>
        </w:rPr>
        <w:t>(四)负责行政事业单位国有资产管理信息系统的建设和管</w:t>
      </w:r>
      <w:r>
        <w:rPr>
          <w:rFonts w:ascii="仿宋" w:hAnsi="仿宋" w:eastAsia="仿宋" w:cs="仿宋"/>
          <w:color w:val="000000" w:themeColor="text1"/>
          <w:spacing w:val="-14"/>
          <w:sz w:val="31"/>
          <w:szCs w:val="31"/>
          <w:highlight w:val="none"/>
          <w:u w:val="none"/>
          <w14:textFill>
            <w14:solidFill>
              <w14:schemeClr w14:val="tx1"/>
            </w14:solidFill>
          </w14:textFill>
        </w:rPr>
        <w:t>理；</w:t>
      </w:r>
    </w:p>
    <w:p w14:paraId="7350017E">
      <w:pPr>
        <w:keepNext w:val="0"/>
        <w:keepLines w:val="0"/>
        <w:pageBreakBefore w:val="0"/>
        <w:widowControl/>
        <w:kinsoku w:val="0"/>
        <w:wordWrap/>
        <w:overflowPunct/>
        <w:topLinePunct w:val="0"/>
        <w:autoSpaceDE w:val="0"/>
        <w:autoSpaceDN w:val="0"/>
        <w:bidi w:val="0"/>
        <w:adjustRightInd w:val="0"/>
        <w:snapToGrid w:val="0"/>
        <w:spacing w:before="213" w:line="560" w:lineRule="exact"/>
        <w:ind w:left="689"/>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仿宋" w:hAnsi="仿宋" w:eastAsia="仿宋" w:cs="仿宋"/>
          <w:color w:val="000000" w:themeColor="text1"/>
          <w:spacing w:val="5"/>
          <w:sz w:val="31"/>
          <w:szCs w:val="31"/>
          <w:highlight w:val="none"/>
          <w:u w:val="none"/>
          <w14:textFill>
            <w14:solidFill>
              <w14:schemeClr w14:val="tx1"/>
            </w14:solidFill>
          </w14:textFill>
        </w:rPr>
        <w:t>(五)指导、监督</w:t>
      </w:r>
      <w:r>
        <w:rPr>
          <w:rFonts w:hint="eastAsia" w:ascii="仿宋" w:hAnsi="仿宋" w:eastAsia="仿宋" w:cs="仿宋"/>
          <w:color w:val="000000" w:themeColor="text1"/>
          <w:spacing w:val="5"/>
          <w:sz w:val="31"/>
          <w:szCs w:val="31"/>
          <w:highlight w:val="none"/>
          <w:u w:val="none"/>
          <w:lang w:eastAsia="zh-CN"/>
          <w14:textFill>
            <w14:solidFill>
              <w14:schemeClr w14:val="tx1"/>
            </w14:solidFill>
          </w14:textFill>
        </w:rPr>
        <w:t>县</w:t>
      </w:r>
      <w:r>
        <w:rPr>
          <w:rFonts w:ascii="仿宋" w:hAnsi="仿宋" w:eastAsia="仿宋" w:cs="仿宋"/>
          <w:color w:val="000000" w:themeColor="text1"/>
          <w:spacing w:val="5"/>
          <w:sz w:val="31"/>
          <w:szCs w:val="31"/>
          <w:highlight w:val="none"/>
          <w:u w:val="none"/>
          <w14:textFill>
            <w14:solidFill>
              <w14:schemeClr w14:val="tx1"/>
            </w14:solidFill>
          </w14:textFill>
        </w:rPr>
        <w:t>国有资产管理工作。</w:t>
      </w:r>
    </w:p>
    <w:p w14:paraId="3D9FB230">
      <w:pPr>
        <w:keepNext w:val="0"/>
        <w:keepLines w:val="0"/>
        <w:pageBreakBefore w:val="0"/>
        <w:widowControl/>
        <w:kinsoku w:val="0"/>
        <w:wordWrap/>
        <w:overflowPunct/>
        <w:topLinePunct w:val="0"/>
        <w:autoSpaceDE w:val="0"/>
        <w:autoSpaceDN w:val="0"/>
        <w:bidi w:val="0"/>
        <w:adjustRightInd w:val="0"/>
        <w:snapToGrid w:val="0"/>
        <w:spacing w:before="246" w:line="560" w:lineRule="exact"/>
        <w:ind w:right="133" w:firstLine="654"/>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楷体" w:hAnsi="楷体" w:eastAsia="楷体" w:cs="楷体"/>
          <w:b/>
          <w:bCs/>
          <w:color w:val="000000" w:themeColor="text1"/>
          <w:spacing w:val="9"/>
          <w:sz w:val="31"/>
          <w:szCs w:val="31"/>
          <w:highlight w:val="none"/>
          <w:u w:val="none"/>
          <w14:textFill>
            <w14:solidFill>
              <w14:schemeClr w14:val="tx1"/>
            </w14:solidFill>
          </w14:textFill>
        </w:rPr>
        <w:t>第七条</w:t>
      </w:r>
      <w:r>
        <w:rPr>
          <w:rFonts w:hint="eastAsia" w:ascii="楷体" w:hAnsi="楷体" w:eastAsia="楷体" w:cs="楷体"/>
          <w:b/>
          <w:bCs/>
          <w:color w:val="000000" w:themeColor="text1"/>
          <w:spacing w:val="9"/>
          <w:sz w:val="31"/>
          <w:szCs w:val="31"/>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pacing w:val="9"/>
          <w:sz w:val="31"/>
          <w:szCs w:val="31"/>
          <w:highlight w:val="none"/>
          <w:u w:val="none"/>
          <w:lang w:eastAsia="zh-CN"/>
          <w14:textFill>
            <w14:solidFill>
              <w14:schemeClr w14:val="tx1"/>
            </w14:solidFill>
          </w14:textFill>
        </w:rPr>
        <w:t>县机关事务服务中心</w:t>
      </w:r>
      <w:r>
        <w:rPr>
          <w:rFonts w:ascii="仿宋" w:hAnsi="仿宋" w:eastAsia="仿宋" w:cs="仿宋"/>
          <w:color w:val="000000" w:themeColor="text1"/>
          <w:spacing w:val="9"/>
          <w:sz w:val="31"/>
          <w:szCs w:val="31"/>
          <w:highlight w:val="none"/>
          <w:u w:val="none"/>
          <w14:textFill>
            <w14:solidFill>
              <w14:schemeClr w14:val="tx1"/>
            </w14:solidFill>
          </w14:textFill>
        </w:rPr>
        <w:t>是</w:t>
      </w:r>
      <w:r>
        <w:rPr>
          <w:rFonts w:hint="eastAsia" w:ascii="仿宋" w:hAnsi="仿宋" w:eastAsia="仿宋" w:cs="仿宋"/>
          <w:color w:val="000000" w:themeColor="text1"/>
          <w:spacing w:val="9"/>
          <w:sz w:val="31"/>
          <w:szCs w:val="31"/>
          <w:highlight w:val="none"/>
          <w:u w:val="none"/>
          <w:lang w:eastAsia="zh-CN"/>
          <w14:textFill>
            <w14:solidFill>
              <w14:schemeClr w14:val="tx1"/>
            </w14:solidFill>
          </w14:textFill>
        </w:rPr>
        <w:t>行政事业单位</w:t>
      </w:r>
      <w:r>
        <w:rPr>
          <w:rFonts w:ascii="仿宋" w:hAnsi="仿宋" w:eastAsia="仿宋" w:cs="仿宋"/>
          <w:color w:val="000000" w:themeColor="text1"/>
          <w:spacing w:val="9"/>
          <w:sz w:val="31"/>
          <w:szCs w:val="31"/>
          <w:highlight w:val="none"/>
          <w:u w:val="none"/>
          <w14:textFill>
            <w14:solidFill>
              <w14:schemeClr w14:val="tx1"/>
            </w14:solidFill>
          </w14:textFill>
        </w:rPr>
        <w:t>国有资产的主管部</w:t>
      </w:r>
      <w:r>
        <w:rPr>
          <w:rFonts w:ascii="仿宋" w:hAnsi="仿宋" w:eastAsia="仿宋" w:cs="仿宋"/>
          <w:color w:val="000000" w:themeColor="text1"/>
          <w:spacing w:val="8"/>
          <w:sz w:val="31"/>
          <w:szCs w:val="31"/>
          <w:highlight w:val="none"/>
          <w:u w:val="none"/>
          <w14:textFill>
            <w14:solidFill>
              <w14:schemeClr w14:val="tx1"/>
            </w14:solidFill>
          </w14:textFill>
        </w:rPr>
        <w:t>门，依</w:t>
      </w:r>
      <w:r>
        <w:rPr>
          <w:rFonts w:ascii="仿宋" w:hAnsi="仿宋" w:eastAsia="仿宋" w:cs="仿宋"/>
          <w:color w:val="000000" w:themeColor="text1"/>
          <w:spacing w:val="-5"/>
          <w:sz w:val="31"/>
          <w:szCs w:val="31"/>
          <w:highlight w:val="none"/>
          <w:u w:val="none"/>
          <w14:textFill>
            <w14:solidFill>
              <w14:schemeClr w14:val="tx1"/>
            </w14:solidFill>
          </w14:textFill>
        </w:rPr>
        <w:t>法履行下列职责：</w:t>
      </w:r>
    </w:p>
    <w:p w14:paraId="30E44866">
      <w:pPr>
        <w:keepNext w:val="0"/>
        <w:keepLines w:val="0"/>
        <w:pageBreakBefore w:val="0"/>
        <w:widowControl/>
        <w:kinsoku w:val="0"/>
        <w:wordWrap/>
        <w:overflowPunct/>
        <w:topLinePunct w:val="0"/>
        <w:autoSpaceDE w:val="0"/>
        <w:autoSpaceDN w:val="0"/>
        <w:bidi w:val="0"/>
        <w:adjustRightInd w:val="0"/>
        <w:snapToGrid w:val="0"/>
        <w:spacing w:before="75" w:line="560" w:lineRule="exact"/>
        <w:ind w:right="133" w:firstLine="689"/>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仿宋" w:hAnsi="仿宋" w:eastAsia="仿宋" w:cs="仿宋"/>
          <w:color w:val="000000" w:themeColor="text1"/>
          <w:spacing w:val="14"/>
          <w:sz w:val="31"/>
          <w:szCs w:val="31"/>
          <w:highlight w:val="none"/>
          <w:u w:val="none"/>
          <w14:textFill>
            <w14:solidFill>
              <w14:schemeClr w14:val="tx1"/>
            </w14:solidFill>
          </w14:textFill>
        </w:rPr>
        <w:t>(一)负责制定</w:t>
      </w:r>
      <w:r>
        <w:rPr>
          <w:rFonts w:hint="eastAsia" w:ascii="仿宋" w:hAnsi="仿宋" w:eastAsia="仿宋" w:cs="仿宋"/>
          <w:color w:val="000000" w:themeColor="text1"/>
          <w:spacing w:val="14"/>
          <w:sz w:val="31"/>
          <w:szCs w:val="31"/>
          <w:highlight w:val="none"/>
          <w:u w:val="none"/>
          <w:lang w:eastAsia="zh-CN"/>
          <w14:textFill>
            <w14:solidFill>
              <w14:schemeClr w14:val="tx1"/>
            </w14:solidFill>
          </w14:textFill>
        </w:rPr>
        <w:t>行政事业单位</w:t>
      </w:r>
      <w:r>
        <w:rPr>
          <w:rFonts w:ascii="仿宋" w:hAnsi="仿宋" w:eastAsia="仿宋" w:cs="仿宋"/>
          <w:color w:val="000000" w:themeColor="text1"/>
          <w:spacing w:val="14"/>
          <w:sz w:val="31"/>
          <w:szCs w:val="31"/>
          <w:highlight w:val="none"/>
          <w:u w:val="none"/>
          <w14:textFill>
            <w14:solidFill>
              <w14:schemeClr w14:val="tx1"/>
            </w14:solidFill>
          </w14:textFill>
        </w:rPr>
        <w:t>国有资产管理具体制度和</w:t>
      </w:r>
      <w:r>
        <w:rPr>
          <w:rFonts w:ascii="仿宋" w:hAnsi="仿宋" w:eastAsia="仿宋" w:cs="仿宋"/>
          <w:color w:val="000000" w:themeColor="text1"/>
          <w:spacing w:val="13"/>
          <w:sz w:val="31"/>
          <w:szCs w:val="31"/>
          <w:highlight w:val="none"/>
          <w:u w:val="none"/>
          <w14:textFill>
            <w14:solidFill>
              <w14:schemeClr w14:val="tx1"/>
            </w14:solidFill>
          </w14:textFill>
        </w:rPr>
        <w:t>办法并组</w:t>
      </w:r>
      <w:r>
        <w:rPr>
          <w:rFonts w:ascii="仿宋" w:hAnsi="仿宋" w:eastAsia="仿宋" w:cs="仿宋"/>
          <w:color w:val="000000" w:themeColor="text1"/>
          <w:spacing w:val="-13"/>
          <w:sz w:val="31"/>
          <w:szCs w:val="31"/>
          <w:highlight w:val="none"/>
          <w:u w:val="none"/>
          <w14:textFill>
            <w14:solidFill>
              <w14:schemeClr w14:val="tx1"/>
            </w14:solidFill>
          </w14:textFill>
        </w:rPr>
        <w:t>织实施；</w:t>
      </w:r>
    </w:p>
    <w:p w14:paraId="413E998A">
      <w:pPr>
        <w:keepNext w:val="0"/>
        <w:keepLines w:val="0"/>
        <w:pageBreakBefore w:val="0"/>
        <w:widowControl/>
        <w:kinsoku w:val="0"/>
        <w:wordWrap/>
        <w:overflowPunct/>
        <w:topLinePunct w:val="0"/>
        <w:autoSpaceDE w:val="0"/>
        <w:autoSpaceDN w:val="0"/>
        <w:bidi w:val="0"/>
        <w:adjustRightInd w:val="0"/>
        <w:snapToGrid w:val="0"/>
        <w:spacing w:before="215" w:line="560" w:lineRule="exact"/>
        <w:ind w:right="135" w:firstLine="689"/>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仿宋" w:hAnsi="仿宋" w:eastAsia="仿宋" w:cs="仿宋"/>
          <w:color w:val="000000" w:themeColor="text1"/>
          <w:spacing w:val="14"/>
          <w:sz w:val="31"/>
          <w:szCs w:val="31"/>
          <w:highlight w:val="none"/>
          <w:u w:val="none"/>
          <w14:textFill>
            <w14:solidFill>
              <w14:schemeClr w14:val="tx1"/>
            </w14:solidFill>
          </w14:textFill>
        </w:rPr>
        <w:t>(二)负责</w:t>
      </w:r>
      <w:r>
        <w:rPr>
          <w:rFonts w:hint="eastAsia" w:ascii="仿宋" w:hAnsi="仿宋" w:eastAsia="仿宋" w:cs="仿宋"/>
          <w:color w:val="000000" w:themeColor="text1"/>
          <w:spacing w:val="14"/>
          <w:sz w:val="31"/>
          <w:szCs w:val="31"/>
          <w:highlight w:val="none"/>
          <w:u w:val="none"/>
          <w:lang w:eastAsia="zh-CN"/>
          <w14:textFill>
            <w14:solidFill>
              <w14:schemeClr w14:val="tx1"/>
            </w14:solidFill>
          </w14:textFill>
        </w:rPr>
        <w:t>行政事业单位国</w:t>
      </w:r>
      <w:r>
        <w:rPr>
          <w:rFonts w:ascii="仿宋" w:hAnsi="仿宋" w:eastAsia="仿宋" w:cs="仿宋"/>
          <w:color w:val="000000" w:themeColor="text1"/>
          <w:spacing w:val="14"/>
          <w:sz w:val="31"/>
          <w:szCs w:val="31"/>
          <w:highlight w:val="none"/>
          <w:u w:val="none"/>
          <w14:textFill>
            <w14:solidFill>
              <w14:schemeClr w14:val="tx1"/>
            </w14:solidFill>
          </w14:textFill>
        </w:rPr>
        <w:t>有资产资产配置、产权</w:t>
      </w:r>
      <w:r>
        <w:rPr>
          <w:rFonts w:ascii="仿宋" w:hAnsi="仿宋" w:eastAsia="仿宋" w:cs="仿宋"/>
          <w:color w:val="000000" w:themeColor="text1"/>
          <w:spacing w:val="13"/>
          <w:sz w:val="31"/>
          <w:szCs w:val="31"/>
          <w:highlight w:val="none"/>
          <w:u w:val="none"/>
          <w14:textFill>
            <w14:solidFill>
              <w14:schemeClr w14:val="tx1"/>
            </w14:solidFill>
          </w14:textFill>
        </w:rPr>
        <w:t>界定、清查登</w:t>
      </w:r>
      <w:r>
        <w:rPr>
          <w:rFonts w:ascii="仿宋" w:hAnsi="仿宋" w:eastAsia="仿宋" w:cs="仿宋"/>
          <w:color w:val="000000" w:themeColor="text1"/>
          <w:spacing w:val="-2"/>
          <w:sz w:val="31"/>
          <w:szCs w:val="31"/>
          <w:highlight w:val="none"/>
          <w:u w:val="none"/>
          <w14:textFill>
            <w14:solidFill>
              <w14:schemeClr w14:val="tx1"/>
            </w14:solidFill>
          </w14:textFill>
        </w:rPr>
        <w:t>记、资产处置等管理工作；</w:t>
      </w:r>
    </w:p>
    <w:p w14:paraId="2B90C6FB">
      <w:pPr>
        <w:keepNext w:val="0"/>
        <w:keepLines w:val="0"/>
        <w:pageBreakBefore w:val="0"/>
        <w:widowControl/>
        <w:kinsoku w:val="0"/>
        <w:wordWrap/>
        <w:overflowPunct/>
        <w:topLinePunct w:val="0"/>
        <w:autoSpaceDE w:val="0"/>
        <w:autoSpaceDN w:val="0"/>
        <w:bidi w:val="0"/>
        <w:adjustRightInd w:val="0"/>
        <w:snapToGrid w:val="0"/>
        <w:spacing w:before="213" w:line="560" w:lineRule="exact"/>
        <w:ind w:firstLine="689"/>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仿宋" w:hAnsi="仿宋" w:eastAsia="仿宋" w:cs="仿宋"/>
          <w:color w:val="000000" w:themeColor="text1"/>
          <w:spacing w:val="7"/>
          <w:sz w:val="31"/>
          <w:szCs w:val="31"/>
          <w:highlight w:val="none"/>
          <w:u w:val="none"/>
          <w14:textFill>
            <w14:solidFill>
              <w14:schemeClr w14:val="tx1"/>
            </w14:solidFill>
          </w14:textFill>
        </w:rPr>
        <w:t>(三)负责</w:t>
      </w:r>
      <w:r>
        <w:rPr>
          <w:rFonts w:hint="eastAsia" w:ascii="仿宋" w:hAnsi="仿宋" w:eastAsia="仿宋" w:cs="仿宋"/>
          <w:color w:val="000000" w:themeColor="text1"/>
          <w:spacing w:val="7"/>
          <w:sz w:val="31"/>
          <w:szCs w:val="31"/>
          <w:highlight w:val="none"/>
          <w:u w:val="none"/>
          <w:lang w:eastAsia="zh-CN"/>
          <w14:textFill>
            <w14:solidFill>
              <w14:schemeClr w14:val="tx1"/>
            </w14:solidFill>
          </w14:textFill>
        </w:rPr>
        <w:t>行政事业单位</w:t>
      </w:r>
      <w:r>
        <w:rPr>
          <w:rFonts w:ascii="仿宋" w:hAnsi="仿宋" w:eastAsia="仿宋" w:cs="仿宋"/>
          <w:color w:val="000000" w:themeColor="text1"/>
          <w:spacing w:val="7"/>
          <w:sz w:val="31"/>
          <w:szCs w:val="31"/>
          <w:highlight w:val="none"/>
          <w:u w:val="none"/>
          <w14:textFill>
            <w14:solidFill>
              <w14:schemeClr w14:val="tx1"/>
            </w14:solidFill>
          </w14:textFill>
        </w:rPr>
        <w:t>办公用房规划、权属、调剂、</w:t>
      </w:r>
      <w:r>
        <w:rPr>
          <w:rFonts w:ascii="仿宋" w:hAnsi="仿宋" w:eastAsia="仿宋" w:cs="仿宋"/>
          <w:color w:val="000000" w:themeColor="text1"/>
          <w:spacing w:val="6"/>
          <w:sz w:val="31"/>
          <w:szCs w:val="31"/>
          <w:highlight w:val="none"/>
          <w:u w:val="none"/>
          <w14:textFill>
            <w14:solidFill>
              <w14:schemeClr w14:val="tx1"/>
            </w14:solidFill>
          </w14:textFill>
        </w:rPr>
        <w:t>使用监管、</w:t>
      </w:r>
      <w:r>
        <w:rPr>
          <w:rFonts w:ascii="仿宋" w:hAnsi="仿宋" w:eastAsia="仿宋" w:cs="仿宋"/>
          <w:color w:val="000000" w:themeColor="text1"/>
          <w:spacing w:val="-2"/>
          <w:sz w:val="31"/>
          <w:szCs w:val="31"/>
          <w:highlight w:val="none"/>
          <w:u w:val="none"/>
          <w14:textFill>
            <w14:solidFill>
              <w14:schemeClr w14:val="tx1"/>
            </w14:solidFill>
          </w14:textFill>
        </w:rPr>
        <w:t>处置和维修等管理工作；</w:t>
      </w:r>
    </w:p>
    <w:p w14:paraId="05C0DF40">
      <w:pPr>
        <w:keepNext w:val="0"/>
        <w:keepLines w:val="0"/>
        <w:pageBreakBefore w:val="0"/>
        <w:widowControl/>
        <w:kinsoku w:val="0"/>
        <w:wordWrap/>
        <w:overflowPunct/>
        <w:topLinePunct w:val="0"/>
        <w:autoSpaceDE w:val="0"/>
        <w:autoSpaceDN w:val="0"/>
        <w:bidi w:val="0"/>
        <w:adjustRightInd w:val="0"/>
        <w:snapToGrid w:val="0"/>
        <w:spacing w:before="209" w:line="560" w:lineRule="exact"/>
        <w:ind w:firstLine="689"/>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仿宋" w:hAnsi="仿宋" w:eastAsia="仿宋" w:cs="仿宋"/>
          <w:color w:val="000000" w:themeColor="text1"/>
          <w:spacing w:val="7"/>
          <w:sz w:val="31"/>
          <w:szCs w:val="31"/>
          <w:highlight w:val="none"/>
          <w:u w:val="none"/>
          <w14:textFill>
            <w14:solidFill>
              <w14:schemeClr w14:val="tx1"/>
            </w14:solidFill>
          </w14:textFill>
        </w:rPr>
        <w:t>(四)负责</w:t>
      </w:r>
      <w:r>
        <w:rPr>
          <w:rFonts w:hint="eastAsia" w:ascii="仿宋" w:hAnsi="仿宋" w:eastAsia="仿宋" w:cs="仿宋"/>
          <w:color w:val="000000" w:themeColor="text1"/>
          <w:spacing w:val="7"/>
          <w:sz w:val="31"/>
          <w:szCs w:val="31"/>
          <w:highlight w:val="none"/>
          <w:u w:val="none"/>
          <w:lang w:eastAsia="zh-CN"/>
          <w14:textFill>
            <w14:solidFill>
              <w14:schemeClr w14:val="tx1"/>
            </w14:solidFill>
          </w14:textFill>
        </w:rPr>
        <w:t>行政事业单位</w:t>
      </w:r>
      <w:r>
        <w:rPr>
          <w:rFonts w:ascii="仿宋" w:hAnsi="仿宋" w:eastAsia="仿宋" w:cs="仿宋"/>
          <w:color w:val="000000" w:themeColor="text1"/>
          <w:spacing w:val="7"/>
          <w:sz w:val="31"/>
          <w:szCs w:val="31"/>
          <w:highlight w:val="none"/>
          <w:u w:val="none"/>
          <w14:textFill>
            <w14:solidFill>
              <w14:schemeClr w14:val="tx1"/>
            </w14:solidFill>
          </w14:textFill>
        </w:rPr>
        <w:t>一般公务用车的编制管理、配</w:t>
      </w:r>
      <w:r>
        <w:rPr>
          <w:rFonts w:ascii="仿宋" w:hAnsi="仿宋" w:eastAsia="仿宋" w:cs="仿宋"/>
          <w:color w:val="000000" w:themeColor="text1"/>
          <w:spacing w:val="6"/>
          <w:sz w:val="31"/>
          <w:szCs w:val="31"/>
          <w:highlight w:val="none"/>
          <w:u w:val="none"/>
          <w14:textFill>
            <w14:solidFill>
              <w14:schemeClr w14:val="tx1"/>
            </w14:solidFill>
          </w14:textFill>
        </w:rPr>
        <w:t>备、更新、</w:t>
      </w:r>
      <w:r>
        <w:rPr>
          <w:rFonts w:ascii="仿宋" w:hAnsi="仿宋" w:eastAsia="仿宋" w:cs="仿宋"/>
          <w:color w:val="000000" w:themeColor="text1"/>
          <w:spacing w:val="-8"/>
          <w:sz w:val="31"/>
          <w:szCs w:val="31"/>
          <w:highlight w:val="none"/>
          <w:u w:val="none"/>
          <w14:textFill>
            <w14:solidFill>
              <w14:schemeClr w14:val="tx1"/>
            </w14:solidFill>
          </w14:textFill>
        </w:rPr>
        <w:t>处置工作；</w:t>
      </w:r>
    </w:p>
    <w:p w14:paraId="7BDFB101">
      <w:pPr>
        <w:keepNext w:val="0"/>
        <w:keepLines w:val="0"/>
        <w:pageBreakBefore w:val="0"/>
        <w:widowControl/>
        <w:kinsoku w:val="0"/>
        <w:wordWrap/>
        <w:overflowPunct/>
        <w:topLinePunct w:val="0"/>
        <w:autoSpaceDE w:val="0"/>
        <w:autoSpaceDN w:val="0"/>
        <w:bidi w:val="0"/>
        <w:adjustRightInd w:val="0"/>
        <w:snapToGrid w:val="0"/>
        <w:spacing w:before="209" w:line="560" w:lineRule="exact"/>
        <w:ind w:left="689"/>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仿宋" w:hAnsi="仿宋" w:eastAsia="仿宋" w:cs="仿宋"/>
          <w:color w:val="000000" w:themeColor="text1"/>
          <w:spacing w:val="5"/>
          <w:sz w:val="31"/>
          <w:szCs w:val="31"/>
          <w:highlight w:val="none"/>
          <w:u w:val="none"/>
          <w14:textFill>
            <w14:solidFill>
              <w14:schemeClr w14:val="tx1"/>
            </w14:solidFill>
          </w14:textFill>
        </w:rPr>
        <w:t>(</w:t>
      </w:r>
      <w:r>
        <w:rPr>
          <w:rFonts w:hint="eastAsia" w:ascii="仿宋" w:hAnsi="仿宋" w:eastAsia="仿宋" w:cs="仿宋"/>
          <w:color w:val="000000" w:themeColor="text1"/>
          <w:spacing w:val="5"/>
          <w:sz w:val="31"/>
          <w:szCs w:val="31"/>
          <w:highlight w:val="none"/>
          <w:u w:val="none"/>
          <w:lang w:eastAsia="zh-CN"/>
          <w14:textFill>
            <w14:solidFill>
              <w14:schemeClr w14:val="tx1"/>
            </w14:solidFill>
          </w14:textFill>
        </w:rPr>
        <w:t>五</w:t>
      </w:r>
      <w:r>
        <w:rPr>
          <w:rFonts w:ascii="仿宋" w:hAnsi="仿宋" w:eastAsia="仿宋" w:cs="仿宋"/>
          <w:color w:val="000000" w:themeColor="text1"/>
          <w:spacing w:val="5"/>
          <w:sz w:val="31"/>
          <w:szCs w:val="31"/>
          <w:highlight w:val="none"/>
          <w:u w:val="none"/>
          <w14:textFill>
            <w14:solidFill>
              <w14:schemeClr w14:val="tx1"/>
            </w14:solidFill>
          </w14:textFill>
        </w:rPr>
        <w:t>)接受</w:t>
      </w:r>
      <w:r>
        <w:rPr>
          <w:rFonts w:hint="eastAsia" w:ascii="仿宋" w:hAnsi="仿宋" w:eastAsia="仿宋" w:cs="仿宋"/>
          <w:color w:val="000000" w:themeColor="text1"/>
          <w:spacing w:val="5"/>
          <w:sz w:val="31"/>
          <w:szCs w:val="31"/>
          <w:highlight w:val="none"/>
          <w:u w:val="none"/>
          <w:lang w:eastAsia="zh-CN"/>
          <w14:textFill>
            <w14:solidFill>
              <w14:schemeClr w14:val="tx1"/>
            </w14:solidFill>
          </w14:textFill>
        </w:rPr>
        <w:t>县</w:t>
      </w:r>
      <w:r>
        <w:rPr>
          <w:rFonts w:ascii="仿宋" w:hAnsi="仿宋" w:eastAsia="仿宋" w:cs="仿宋"/>
          <w:color w:val="000000" w:themeColor="text1"/>
          <w:spacing w:val="5"/>
          <w:sz w:val="31"/>
          <w:szCs w:val="31"/>
          <w:highlight w:val="none"/>
          <w:u w:val="none"/>
          <w14:textFill>
            <w14:solidFill>
              <w14:schemeClr w14:val="tx1"/>
            </w14:solidFill>
          </w14:textFill>
        </w:rPr>
        <w:t>财政局国有资产管理的指导和监督检查。</w:t>
      </w:r>
    </w:p>
    <w:p w14:paraId="5BE820AD">
      <w:pPr>
        <w:keepNext w:val="0"/>
        <w:keepLines w:val="0"/>
        <w:pageBreakBefore w:val="0"/>
        <w:widowControl/>
        <w:kinsoku w:val="0"/>
        <w:wordWrap/>
        <w:overflowPunct/>
        <w:topLinePunct w:val="0"/>
        <w:autoSpaceDE w:val="0"/>
        <w:autoSpaceDN w:val="0"/>
        <w:bidi w:val="0"/>
        <w:adjustRightInd w:val="0"/>
        <w:snapToGrid w:val="0"/>
        <w:spacing w:before="215" w:line="560" w:lineRule="exact"/>
        <w:ind w:right="121" w:firstLine="654"/>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楷体" w:hAnsi="楷体" w:eastAsia="楷体" w:cs="楷体"/>
          <w:b/>
          <w:bCs/>
          <w:color w:val="000000" w:themeColor="text1"/>
          <w:spacing w:val="9"/>
          <w:sz w:val="31"/>
          <w:szCs w:val="31"/>
          <w:highlight w:val="none"/>
          <w:u w:val="none"/>
          <w14:textFill>
            <w14:solidFill>
              <w14:schemeClr w14:val="tx1"/>
            </w14:solidFill>
          </w14:textFill>
        </w:rPr>
        <w:t>第八条</w:t>
      </w:r>
      <w:r>
        <w:rPr>
          <w:rFonts w:hint="eastAsia" w:ascii="楷体" w:hAnsi="楷体" w:eastAsia="楷体" w:cs="楷体"/>
          <w:b/>
          <w:bCs/>
          <w:color w:val="000000" w:themeColor="text1"/>
          <w:spacing w:val="9"/>
          <w:sz w:val="31"/>
          <w:szCs w:val="31"/>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pacing w:val="9"/>
          <w:sz w:val="31"/>
          <w:szCs w:val="31"/>
          <w:highlight w:val="none"/>
          <w:u w:val="none"/>
          <w:lang w:eastAsia="zh-CN"/>
          <w14:textFill>
            <w14:solidFill>
              <w14:schemeClr w14:val="tx1"/>
            </w14:solidFill>
          </w14:textFill>
        </w:rPr>
        <w:t>县</w:t>
      </w:r>
      <w:r>
        <w:rPr>
          <w:rFonts w:ascii="仿宋" w:hAnsi="仿宋" w:eastAsia="仿宋" w:cs="仿宋"/>
          <w:color w:val="000000" w:themeColor="text1"/>
          <w:spacing w:val="9"/>
          <w:sz w:val="31"/>
          <w:szCs w:val="31"/>
          <w:highlight w:val="none"/>
          <w:u w:val="none"/>
          <w14:textFill>
            <w14:solidFill>
              <w14:schemeClr w14:val="tx1"/>
            </w14:solidFill>
          </w14:textFill>
        </w:rPr>
        <w:t>自然资源和规划局是</w:t>
      </w:r>
      <w:r>
        <w:rPr>
          <w:rFonts w:hint="eastAsia" w:ascii="仿宋" w:hAnsi="仿宋" w:eastAsia="仿宋" w:cs="仿宋"/>
          <w:color w:val="000000" w:themeColor="text1"/>
          <w:spacing w:val="9"/>
          <w:sz w:val="31"/>
          <w:szCs w:val="31"/>
          <w:highlight w:val="none"/>
          <w:u w:val="none"/>
          <w:lang w:eastAsia="zh-CN"/>
          <w14:textFill>
            <w14:solidFill>
              <w14:schemeClr w14:val="tx1"/>
            </w14:solidFill>
          </w14:textFill>
        </w:rPr>
        <w:t>行政事业单位</w:t>
      </w:r>
      <w:r>
        <w:rPr>
          <w:rFonts w:ascii="仿宋" w:hAnsi="仿宋" w:eastAsia="仿宋" w:cs="仿宋"/>
          <w:color w:val="000000" w:themeColor="text1"/>
          <w:spacing w:val="9"/>
          <w:sz w:val="31"/>
          <w:szCs w:val="31"/>
          <w:highlight w:val="none"/>
          <w:u w:val="none"/>
          <w14:textFill>
            <w14:solidFill>
              <w14:schemeClr w14:val="tx1"/>
            </w14:solidFill>
          </w14:textFill>
        </w:rPr>
        <w:t>国有土地资产的管</w:t>
      </w:r>
      <w:r>
        <w:rPr>
          <w:rFonts w:ascii="仿宋" w:hAnsi="仿宋" w:eastAsia="仿宋" w:cs="仿宋"/>
          <w:color w:val="000000" w:themeColor="text1"/>
          <w:spacing w:val="-1"/>
          <w:sz w:val="31"/>
          <w:szCs w:val="31"/>
          <w:highlight w:val="none"/>
          <w:u w:val="none"/>
          <w14:textFill>
            <w14:solidFill>
              <w14:schemeClr w14:val="tx1"/>
            </w14:solidFill>
          </w14:textFill>
        </w:rPr>
        <w:t>理部门，依法履行下列职责：</w:t>
      </w:r>
    </w:p>
    <w:p w14:paraId="5EA50FA6">
      <w:pPr>
        <w:keepNext w:val="0"/>
        <w:keepLines w:val="0"/>
        <w:pageBreakBefore w:val="0"/>
        <w:widowControl/>
        <w:kinsoku w:val="0"/>
        <w:wordWrap/>
        <w:overflowPunct/>
        <w:topLinePunct w:val="0"/>
        <w:autoSpaceDE w:val="0"/>
        <w:autoSpaceDN w:val="0"/>
        <w:bidi w:val="0"/>
        <w:adjustRightInd w:val="0"/>
        <w:snapToGrid w:val="0"/>
        <w:spacing w:before="57" w:line="560" w:lineRule="exact"/>
        <w:ind w:left="689"/>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仿宋" w:hAnsi="仿宋" w:eastAsia="仿宋" w:cs="仿宋"/>
          <w:color w:val="000000" w:themeColor="text1"/>
          <w:spacing w:val="5"/>
          <w:sz w:val="31"/>
          <w:szCs w:val="31"/>
          <w:highlight w:val="none"/>
          <w:u w:val="none"/>
          <w14:textFill>
            <w14:solidFill>
              <w14:schemeClr w14:val="tx1"/>
            </w14:solidFill>
          </w14:textFill>
        </w:rPr>
        <w:t>(一)负责国有土地资产的处置工作；</w:t>
      </w:r>
    </w:p>
    <w:p w14:paraId="509D1F8E">
      <w:pPr>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676" w:firstLineChars="200"/>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仿宋" w:hAnsi="仿宋" w:eastAsia="仿宋" w:cs="仿宋"/>
          <w:color w:val="000000" w:themeColor="text1"/>
          <w:spacing w:val="14"/>
          <w:sz w:val="31"/>
          <w:szCs w:val="31"/>
          <w:highlight w:val="none"/>
          <w:u w:val="none"/>
          <w14:textFill>
            <w14:solidFill>
              <w14:schemeClr w14:val="tx1"/>
            </w14:solidFill>
          </w14:textFill>
        </w:rPr>
        <w:t>(二)对</w:t>
      </w:r>
      <w:r>
        <w:rPr>
          <w:rFonts w:hint="eastAsia" w:ascii="仿宋" w:hAnsi="仿宋" w:eastAsia="仿宋" w:cs="仿宋"/>
          <w:color w:val="000000" w:themeColor="text1"/>
          <w:spacing w:val="14"/>
          <w:sz w:val="31"/>
          <w:szCs w:val="31"/>
          <w:highlight w:val="none"/>
          <w:u w:val="none"/>
          <w:lang w:eastAsia="zh-CN"/>
          <w14:textFill>
            <w14:solidFill>
              <w14:schemeClr w14:val="tx1"/>
            </w14:solidFill>
          </w14:textFill>
        </w:rPr>
        <w:t>行政事业单位</w:t>
      </w:r>
      <w:r>
        <w:rPr>
          <w:rFonts w:ascii="仿宋" w:hAnsi="仿宋" w:eastAsia="仿宋" w:cs="仿宋"/>
          <w:color w:val="000000" w:themeColor="text1"/>
          <w:spacing w:val="14"/>
          <w:sz w:val="31"/>
          <w:szCs w:val="31"/>
          <w:highlight w:val="none"/>
          <w:u w:val="none"/>
          <w14:textFill>
            <w14:solidFill>
              <w14:schemeClr w14:val="tx1"/>
            </w14:solidFill>
          </w14:textFill>
        </w:rPr>
        <w:t>拟改变土地性质、用途、利用条件和改变</w:t>
      </w:r>
      <w:r>
        <w:rPr>
          <w:rFonts w:ascii="仿宋" w:hAnsi="仿宋" w:eastAsia="仿宋" w:cs="仿宋"/>
          <w:color w:val="000000" w:themeColor="text1"/>
          <w:sz w:val="31"/>
          <w:szCs w:val="31"/>
          <w:highlight w:val="none"/>
          <w:u w:val="none"/>
          <w14:textFill>
            <w14:solidFill>
              <w14:schemeClr w14:val="tx1"/>
            </w14:solidFill>
          </w14:textFill>
        </w:rPr>
        <w:t>划拨土地使用权权利人的情形进行审核并报</w:t>
      </w:r>
      <w:r>
        <w:rPr>
          <w:rFonts w:hint="eastAsia" w:ascii="仿宋" w:hAnsi="仿宋" w:eastAsia="仿宋" w:cs="仿宋"/>
          <w:color w:val="000000" w:themeColor="text1"/>
          <w:sz w:val="31"/>
          <w:szCs w:val="31"/>
          <w:highlight w:val="none"/>
          <w:u w:val="none"/>
          <w:lang w:eastAsia="zh-CN"/>
          <w14:textFill>
            <w14:solidFill>
              <w14:schemeClr w14:val="tx1"/>
            </w14:solidFill>
          </w14:textFill>
        </w:rPr>
        <w:t>县</w:t>
      </w:r>
      <w:r>
        <w:rPr>
          <w:rFonts w:ascii="仿宋" w:hAnsi="仿宋" w:eastAsia="仿宋" w:cs="仿宋"/>
          <w:color w:val="000000" w:themeColor="text1"/>
          <w:sz w:val="31"/>
          <w:szCs w:val="31"/>
          <w:highlight w:val="none"/>
          <w:u w:val="none"/>
          <w14:textFill>
            <w14:solidFill>
              <w14:schemeClr w14:val="tx1"/>
            </w14:solidFill>
          </w14:textFill>
        </w:rPr>
        <w:t>人民政府批准；</w:t>
      </w:r>
    </w:p>
    <w:p w14:paraId="7586636A">
      <w:pPr>
        <w:keepNext w:val="0"/>
        <w:keepLines w:val="0"/>
        <w:pageBreakBefore w:val="0"/>
        <w:widowControl/>
        <w:kinsoku w:val="0"/>
        <w:wordWrap/>
        <w:overflowPunct/>
        <w:topLinePunct w:val="0"/>
        <w:autoSpaceDE w:val="0"/>
        <w:autoSpaceDN w:val="0"/>
        <w:bidi w:val="0"/>
        <w:adjustRightInd w:val="0"/>
        <w:snapToGrid w:val="0"/>
        <w:spacing w:before="221" w:line="560" w:lineRule="exact"/>
        <w:ind w:left="639"/>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仿宋" w:hAnsi="仿宋" w:eastAsia="仿宋" w:cs="仿宋"/>
          <w:color w:val="000000" w:themeColor="text1"/>
          <w:spacing w:val="6"/>
          <w:sz w:val="31"/>
          <w:szCs w:val="31"/>
          <w:highlight w:val="none"/>
          <w:u w:val="none"/>
          <w14:textFill>
            <w14:solidFill>
              <w14:schemeClr w14:val="tx1"/>
            </w14:solidFill>
          </w14:textFill>
        </w:rPr>
        <w:t>(三)负责</w:t>
      </w:r>
      <w:r>
        <w:rPr>
          <w:rFonts w:hint="eastAsia" w:ascii="仿宋" w:hAnsi="仿宋" w:eastAsia="仿宋" w:cs="仿宋"/>
          <w:color w:val="000000" w:themeColor="text1"/>
          <w:spacing w:val="6"/>
          <w:sz w:val="31"/>
          <w:szCs w:val="31"/>
          <w:highlight w:val="none"/>
          <w:u w:val="none"/>
          <w:lang w:eastAsia="zh-CN"/>
          <w14:textFill>
            <w14:solidFill>
              <w14:schemeClr w14:val="tx1"/>
            </w14:solidFill>
          </w14:textFill>
        </w:rPr>
        <w:t>行政事业单位</w:t>
      </w:r>
      <w:r>
        <w:rPr>
          <w:rFonts w:ascii="仿宋" w:hAnsi="仿宋" w:eastAsia="仿宋" w:cs="仿宋"/>
          <w:color w:val="000000" w:themeColor="text1"/>
          <w:spacing w:val="6"/>
          <w:sz w:val="31"/>
          <w:szCs w:val="31"/>
          <w:highlight w:val="none"/>
          <w:u w:val="none"/>
          <w14:textFill>
            <w14:solidFill>
              <w14:schemeClr w14:val="tx1"/>
            </w14:solidFill>
          </w14:textFill>
        </w:rPr>
        <w:t>不动产的权属登记。</w:t>
      </w:r>
    </w:p>
    <w:p w14:paraId="2EDFB570">
      <w:pPr>
        <w:keepNext w:val="0"/>
        <w:keepLines w:val="0"/>
        <w:pageBreakBefore w:val="0"/>
        <w:widowControl/>
        <w:kinsoku w:val="0"/>
        <w:wordWrap/>
        <w:overflowPunct/>
        <w:topLinePunct w:val="0"/>
        <w:autoSpaceDE w:val="0"/>
        <w:autoSpaceDN w:val="0"/>
        <w:bidi w:val="0"/>
        <w:adjustRightInd w:val="0"/>
        <w:snapToGrid w:val="0"/>
        <w:spacing w:before="223" w:line="560" w:lineRule="exact"/>
        <w:ind w:right="102" w:firstLine="644"/>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楷体" w:hAnsi="楷体" w:eastAsia="楷体" w:cs="楷体"/>
          <w:b/>
          <w:bCs/>
          <w:color w:val="000000" w:themeColor="text1"/>
          <w:spacing w:val="9"/>
          <w:sz w:val="31"/>
          <w:szCs w:val="31"/>
          <w:highlight w:val="none"/>
          <w:u w:val="none"/>
          <w14:textFill>
            <w14:solidFill>
              <w14:schemeClr w14:val="tx1"/>
            </w14:solidFill>
          </w14:textFill>
        </w:rPr>
        <w:t>第九条</w:t>
      </w:r>
      <w:r>
        <w:rPr>
          <w:rFonts w:hint="eastAsia" w:ascii="楷体" w:hAnsi="楷体" w:eastAsia="楷体" w:cs="楷体"/>
          <w:b/>
          <w:bCs/>
          <w:color w:val="000000" w:themeColor="text1"/>
          <w:spacing w:val="9"/>
          <w:sz w:val="31"/>
          <w:szCs w:val="31"/>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pacing w:val="9"/>
          <w:sz w:val="31"/>
          <w:szCs w:val="31"/>
          <w:highlight w:val="none"/>
          <w:u w:val="none"/>
          <w:lang w:eastAsia="zh-CN"/>
          <w14:textFill>
            <w14:solidFill>
              <w14:schemeClr w14:val="tx1"/>
            </w14:solidFill>
          </w14:textFill>
        </w:rPr>
        <w:t>各行政事业单位</w:t>
      </w:r>
      <w:r>
        <w:rPr>
          <w:rFonts w:ascii="仿宋" w:hAnsi="仿宋" w:eastAsia="仿宋" w:cs="仿宋"/>
          <w:color w:val="000000" w:themeColor="text1"/>
          <w:spacing w:val="9"/>
          <w:sz w:val="31"/>
          <w:szCs w:val="31"/>
          <w:highlight w:val="none"/>
          <w:u w:val="none"/>
          <w14:textFill>
            <w14:solidFill>
              <w14:schemeClr w14:val="tx1"/>
            </w14:solidFill>
          </w14:textFill>
        </w:rPr>
        <w:t>负责对本单位占有、使用和支配的国</w:t>
      </w:r>
      <w:r>
        <w:rPr>
          <w:rFonts w:ascii="仿宋" w:hAnsi="仿宋" w:eastAsia="仿宋" w:cs="仿宋"/>
          <w:color w:val="000000" w:themeColor="text1"/>
          <w:spacing w:val="8"/>
          <w:sz w:val="31"/>
          <w:szCs w:val="31"/>
          <w:highlight w:val="none"/>
          <w:u w:val="none"/>
          <w14:textFill>
            <w14:solidFill>
              <w14:schemeClr w14:val="tx1"/>
            </w14:solidFill>
          </w14:textFill>
        </w:rPr>
        <w:t>有资</w:t>
      </w:r>
      <w:r>
        <w:rPr>
          <w:rFonts w:ascii="仿宋" w:hAnsi="仿宋" w:eastAsia="仿宋" w:cs="仿宋"/>
          <w:color w:val="000000" w:themeColor="text1"/>
          <w:spacing w:val="-2"/>
          <w:sz w:val="31"/>
          <w:szCs w:val="31"/>
          <w:highlight w:val="none"/>
          <w:u w:val="none"/>
          <w14:textFill>
            <w14:solidFill>
              <w14:schemeClr w14:val="tx1"/>
            </w14:solidFill>
          </w14:textFill>
        </w:rPr>
        <w:t>产实施具体管理，依法履行下列职责：</w:t>
      </w:r>
    </w:p>
    <w:p w14:paraId="13C78073">
      <w:pPr>
        <w:keepNext w:val="0"/>
        <w:keepLines w:val="0"/>
        <w:pageBreakBefore w:val="0"/>
        <w:widowControl/>
        <w:kinsoku w:val="0"/>
        <w:wordWrap/>
        <w:overflowPunct/>
        <w:topLinePunct w:val="0"/>
        <w:autoSpaceDE w:val="0"/>
        <w:autoSpaceDN w:val="0"/>
        <w:bidi w:val="0"/>
        <w:adjustRightInd w:val="0"/>
        <w:snapToGrid w:val="0"/>
        <w:spacing w:before="69" w:line="560" w:lineRule="exact"/>
        <w:ind w:firstLine="639"/>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仿宋" w:hAnsi="仿宋" w:eastAsia="仿宋" w:cs="仿宋"/>
          <w:color w:val="000000" w:themeColor="text1"/>
          <w:spacing w:val="19"/>
          <w:sz w:val="31"/>
          <w:szCs w:val="31"/>
          <w:highlight w:val="none"/>
          <w:u w:val="none"/>
          <w14:textFill>
            <w14:solidFill>
              <w14:schemeClr w14:val="tx1"/>
            </w14:solidFill>
          </w14:textFill>
        </w:rPr>
        <w:t>(一)负责本单位国有资产的购置、验收入库、日常使用、</w:t>
      </w:r>
      <w:r>
        <w:rPr>
          <w:rFonts w:ascii="仿宋" w:hAnsi="仿宋" w:eastAsia="仿宋" w:cs="仿宋"/>
          <w:color w:val="000000" w:themeColor="text1"/>
          <w:spacing w:val="3"/>
          <w:sz w:val="31"/>
          <w:szCs w:val="31"/>
          <w:highlight w:val="none"/>
          <w:u w:val="none"/>
          <w14:textFill>
            <w14:solidFill>
              <w14:schemeClr w14:val="tx1"/>
            </w14:solidFill>
          </w14:textFill>
        </w:rPr>
        <w:t>维护维修、清查登记、内部控制等日常性管理工作，指导、监督</w:t>
      </w:r>
      <w:r>
        <w:rPr>
          <w:rFonts w:ascii="仿宋" w:hAnsi="仿宋" w:eastAsia="仿宋" w:cs="仿宋"/>
          <w:color w:val="000000" w:themeColor="text1"/>
          <w:sz w:val="31"/>
          <w:szCs w:val="31"/>
          <w:highlight w:val="none"/>
          <w:u w:val="none"/>
          <w14:textFill>
            <w14:solidFill>
              <w14:schemeClr w14:val="tx1"/>
            </w14:solidFill>
          </w14:textFill>
        </w:rPr>
        <w:t>所属事业单位及派出机构的国有资产管理工作；</w:t>
      </w:r>
    </w:p>
    <w:p w14:paraId="1E10C806">
      <w:pPr>
        <w:keepNext w:val="0"/>
        <w:keepLines w:val="0"/>
        <w:pageBreakBefore w:val="0"/>
        <w:widowControl/>
        <w:kinsoku w:val="0"/>
        <w:wordWrap/>
        <w:overflowPunct/>
        <w:topLinePunct w:val="0"/>
        <w:autoSpaceDE w:val="0"/>
        <w:autoSpaceDN w:val="0"/>
        <w:bidi w:val="0"/>
        <w:adjustRightInd w:val="0"/>
        <w:snapToGrid w:val="0"/>
        <w:spacing w:before="231" w:line="560" w:lineRule="exact"/>
        <w:ind w:firstLine="639"/>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仿宋" w:hAnsi="仿宋" w:eastAsia="仿宋" w:cs="仿宋"/>
          <w:color w:val="000000" w:themeColor="text1"/>
          <w:spacing w:val="19"/>
          <w:sz w:val="31"/>
          <w:szCs w:val="31"/>
          <w:highlight w:val="none"/>
          <w:u w:val="none"/>
          <w14:textFill>
            <w14:solidFill>
              <w14:schemeClr w14:val="tx1"/>
            </w14:solidFill>
          </w14:textFill>
        </w:rPr>
        <w:t>(二)明确资产使用管理内部流程、岗位职责和内控制度，</w:t>
      </w:r>
      <w:r>
        <w:rPr>
          <w:rFonts w:ascii="仿宋" w:hAnsi="仿宋" w:eastAsia="仿宋" w:cs="仿宋"/>
          <w:color w:val="000000" w:themeColor="text1"/>
          <w:spacing w:val="-4"/>
          <w:sz w:val="31"/>
          <w:szCs w:val="31"/>
          <w:highlight w:val="none"/>
          <w:u w:val="none"/>
          <w14:textFill>
            <w14:solidFill>
              <w14:schemeClr w14:val="tx1"/>
            </w14:solidFill>
          </w14:textFill>
        </w:rPr>
        <w:t>落实资产使用管理规章制度；</w:t>
      </w:r>
    </w:p>
    <w:p w14:paraId="3A2E1DDC">
      <w:pPr>
        <w:keepNext w:val="0"/>
        <w:keepLines w:val="0"/>
        <w:pageBreakBefore w:val="0"/>
        <w:widowControl/>
        <w:kinsoku w:val="0"/>
        <w:wordWrap/>
        <w:overflowPunct/>
        <w:topLinePunct w:val="0"/>
        <w:autoSpaceDE w:val="0"/>
        <w:autoSpaceDN w:val="0"/>
        <w:bidi w:val="0"/>
        <w:adjustRightInd w:val="0"/>
        <w:snapToGrid w:val="0"/>
        <w:spacing w:before="216" w:line="560" w:lineRule="exact"/>
        <w:ind w:left="639"/>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仿宋" w:hAnsi="仿宋" w:eastAsia="仿宋" w:cs="仿宋"/>
          <w:color w:val="000000" w:themeColor="text1"/>
          <w:spacing w:val="6"/>
          <w:sz w:val="31"/>
          <w:szCs w:val="31"/>
          <w:highlight w:val="none"/>
          <w:u w:val="none"/>
          <w14:textFill>
            <w14:solidFill>
              <w14:schemeClr w14:val="tx1"/>
            </w14:solidFill>
          </w14:textFill>
        </w:rPr>
        <w:t>(三)负责资产的安全使用及安全保管；</w:t>
      </w:r>
    </w:p>
    <w:p w14:paraId="2F5766C5">
      <w:pPr>
        <w:keepNext w:val="0"/>
        <w:keepLines w:val="0"/>
        <w:pageBreakBefore w:val="0"/>
        <w:widowControl/>
        <w:kinsoku w:val="0"/>
        <w:wordWrap/>
        <w:overflowPunct/>
        <w:topLinePunct w:val="0"/>
        <w:autoSpaceDE w:val="0"/>
        <w:autoSpaceDN w:val="0"/>
        <w:bidi w:val="0"/>
        <w:adjustRightInd w:val="0"/>
        <w:snapToGrid w:val="0"/>
        <w:spacing w:before="216" w:line="560" w:lineRule="exact"/>
        <w:ind w:left="639"/>
        <w:jc w:val="both"/>
        <w:textAlignment w:val="baseline"/>
        <w:rPr>
          <w:rFonts w:ascii="仿宋" w:hAnsi="仿宋" w:eastAsia="仿宋" w:cs="仿宋"/>
          <w:color w:val="000000" w:themeColor="text1"/>
          <w:spacing w:val="6"/>
          <w:sz w:val="31"/>
          <w:szCs w:val="31"/>
          <w:highlight w:val="none"/>
          <w:u w:val="none"/>
          <w14:textFill>
            <w14:solidFill>
              <w14:schemeClr w14:val="tx1"/>
            </w14:solidFill>
          </w14:textFill>
        </w:rPr>
      </w:pPr>
      <w:r>
        <w:rPr>
          <w:rFonts w:ascii="仿宋" w:hAnsi="仿宋" w:eastAsia="仿宋" w:cs="仿宋"/>
          <w:color w:val="000000" w:themeColor="text1"/>
          <w:spacing w:val="6"/>
          <w:sz w:val="31"/>
          <w:szCs w:val="31"/>
          <w:highlight w:val="none"/>
          <w:u w:val="none"/>
          <w14:textFill>
            <w14:solidFill>
              <w14:schemeClr w14:val="tx1"/>
            </w14:solidFill>
          </w14:textFill>
        </w:rPr>
        <w:t>(四)及时</w:t>
      </w:r>
      <w:r>
        <w:rPr>
          <w:rFonts w:hint="eastAsia" w:ascii="仿宋" w:hAnsi="仿宋" w:eastAsia="仿宋" w:cs="仿宋"/>
          <w:color w:val="000000" w:themeColor="text1"/>
          <w:spacing w:val="6"/>
          <w:sz w:val="31"/>
          <w:szCs w:val="31"/>
          <w:highlight w:val="none"/>
          <w:u w:val="none"/>
          <w:lang w:eastAsia="zh-CN"/>
          <w14:textFill>
            <w14:solidFill>
              <w14:schemeClr w14:val="tx1"/>
            </w14:solidFill>
          </w14:textFill>
        </w:rPr>
        <w:t>将</w:t>
      </w:r>
      <w:r>
        <w:rPr>
          <w:rFonts w:ascii="仿宋" w:hAnsi="仿宋" w:eastAsia="仿宋" w:cs="仿宋"/>
          <w:color w:val="000000" w:themeColor="text1"/>
          <w:spacing w:val="6"/>
          <w:sz w:val="31"/>
          <w:szCs w:val="31"/>
          <w:highlight w:val="none"/>
          <w:u w:val="none"/>
          <w14:textFill>
            <w14:solidFill>
              <w14:schemeClr w14:val="tx1"/>
            </w14:solidFill>
          </w14:textFill>
        </w:rPr>
        <w:t>闲置资产纳入</w:t>
      </w:r>
      <w:r>
        <w:rPr>
          <w:rFonts w:hint="eastAsia" w:ascii="仿宋" w:hAnsi="仿宋" w:eastAsia="仿宋" w:cs="仿宋"/>
          <w:color w:val="000000" w:themeColor="text1"/>
          <w:spacing w:val="6"/>
          <w:sz w:val="31"/>
          <w:szCs w:val="31"/>
          <w:highlight w:val="none"/>
          <w:u w:val="none"/>
          <w:lang w:eastAsia="zh-CN"/>
          <w14:textFill>
            <w14:solidFill>
              <w14:schemeClr w14:val="tx1"/>
            </w14:solidFill>
          </w14:textFill>
        </w:rPr>
        <w:t>调剂共享平台</w:t>
      </w:r>
      <w:r>
        <w:rPr>
          <w:rFonts w:ascii="仿宋" w:hAnsi="仿宋" w:eastAsia="仿宋" w:cs="仿宋"/>
          <w:color w:val="000000" w:themeColor="text1"/>
          <w:spacing w:val="6"/>
          <w:sz w:val="31"/>
          <w:szCs w:val="31"/>
          <w:highlight w:val="none"/>
          <w:u w:val="none"/>
          <w14:textFill>
            <w14:solidFill>
              <w14:schemeClr w14:val="tx1"/>
            </w14:solidFill>
          </w14:textFill>
        </w:rPr>
        <w:t>；</w:t>
      </w:r>
    </w:p>
    <w:p w14:paraId="383F2B3A">
      <w:pPr>
        <w:keepNext w:val="0"/>
        <w:keepLines w:val="0"/>
        <w:pageBreakBefore w:val="0"/>
        <w:widowControl/>
        <w:kinsoku w:val="0"/>
        <w:wordWrap/>
        <w:overflowPunct/>
        <w:topLinePunct w:val="0"/>
        <w:autoSpaceDE w:val="0"/>
        <w:autoSpaceDN w:val="0"/>
        <w:bidi w:val="0"/>
        <w:adjustRightInd w:val="0"/>
        <w:snapToGrid w:val="0"/>
        <w:spacing w:before="219" w:line="560" w:lineRule="exact"/>
        <w:ind w:left="639"/>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仿宋" w:hAnsi="仿宋" w:eastAsia="仿宋" w:cs="仿宋"/>
          <w:color w:val="000000" w:themeColor="text1"/>
          <w:spacing w:val="6"/>
          <w:sz w:val="31"/>
          <w:szCs w:val="31"/>
          <w:highlight w:val="none"/>
          <w:u w:val="none"/>
          <w14:textFill>
            <w14:solidFill>
              <w14:schemeClr w14:val="tx1"/>
            </w14:solidFill>
          </w14:textFill>
        </w:rPr>
        <w:t>(五)负责编报本单位国有资产管理年度报告。</w:t>
      </w:r>
    </w:p>
    <w:p w14:paraId="61C820CE">
      <w:pPr>
        <w:keepNext w:val="0"/>
        <w:keepLines w:val="0"/>
        <w:pageBreakBefore w:val="0"/>
        <w:widowControl/>
        <w:kinsoku w:val="0"/>
        <w:wordWrap/>
        <w:overflowPunct/>
        <w:topLinePunct w:val="0"/>
        <w:autoSpaceDE w:val="0"/>
        <w:autoSpaceDN w:val="0"/>
        <w:bidi w:val="0"/>
        <w:adjustRightInd w:val="0"/>
        <w:snapToGrid w:val="0"/>
        <w:spacing w:before="223" w:line="560" w:lineRule="exact"/>
        <w:ind w:right="103" w:firstLine="644"/>
        <w:jc w:val="both"/>
        <w:textAlignment w:val="baseline"/>
        <w:rPr>
          <w:rFonts w:ascii="仿宋" w:hAnsi="仿宋" w:eastAsia="仿宋" w:cs="仿宋"/>
          <w:color w:val="000000" w:themeColor="text1"/>
          <w:spacing w:val="9"/>
          <w:sz w:val="31"/>
          <w:szCs w:val="31"/>
          <w:highlight w:val="none"/>
          <w:u w:val="none"/>
          <w14:textFill>
            <w14:solidFill>
              <w14:schemeClr w14:val="tx1"/>
            </w14:solidFill>
          </w14:textFill>
        </w:rPr>
      </w:pPr>
      <w:r>
        <w:rPr>
          <w:rFonts w:ascii="楷体" w:hAnsi="楷体" w:eastAsia="楷体" w:cs="楷体"/>
          <w:b/>
          <w:bCs/>
          <w:color w:val="000000" w:themeColor="text1"/>
          <w:spacing w:val="9"/>
          <w:sz w:val="31"/>
          <w:szCs w:val="31"/>
          <w:highlight w:val="none"/>
          <w:u w:val="none"/>
          <w14:textFill>
            <w14:solidFill>
              <w14:schemeClr w14:val="tx1"/>
            </w14:solidFill>
          </w14:textFill>
        </w:rPr>
        <w:t>第十条</w:t>
      </w:r>
      <w:r>
        <w:rPr>
          <w:rFonts w:hint="eastAsia" w:ascii="楷体" w:hAnsi="楷体" w:eastAsia="楷体" w:cs="楷体"/>
          <w:b/>
          <w:bCs/>
          <w:color w:val="000000" w:themeColor="text1"/>
          <w:spacing w:val="9"/>
          <w:sz w:val="31"/>
          <w:szCs w:val="31"/>
          <w:highlight w:val="none"/>
          <w:u w:val="none"/>
          <w:lang w:val="en-US" w:eastAsia="zh-CN"/>
          <w14:textFill>
            <w14:solidFill>
              <w14:schemeClr w14:val="tx1"/>
            </w14:solidFill>
          </w14:textFill>
        </w:rPr>
        <w:t xml:space="preserve">  </w:t>
      </w:r>
      <w:r>
        <w:rPr>
          <w:rFonts w:ascii="仿宋" w:hAnsi="仿宋" w:eastAsia="仿宋" w:cs="仿宋"/>
          <w:color w:val="000000" w:themeColor="text1"/>
          <w:spacing w:val="9"/>
          <w:sz w:val="31"/>
          <w:szCs w:val="31"/>
          <w:highlight w:val="none"/>
          <w:u w:val="none"/>
          <w14:textFill>
            <w14:solidFill>
              <w14:schemeClr w14:val="tx1"/>
            </w14:solidFill>
          </w14:textFill>
        </w:rPr>
        <w:t>其他有关职能部门按照职责分工承担</w:t>
      </w:r>
      <w:r>
        <w:rPr>
          <w:rFonts w:hint="eastAsia" w:ascii="仿宋" w:hAnsi="仿宋" w:eastAsia="仿宋" w:cs="仿宋"/>
          <w:color w:val="000000" w:themeColor="text1"/>
          <w:spacing w:val="9"/>
          <w:sz w:val="31"/>
          <w:szCs w:val="31"/>
          <w:highlight w:val="none"/>
          <w:u w:val="none"/>
          <w:lang w:eastAsia="zh-CN"/>
          <w14:textFill>
            <w14:solidFill>
              <w14:schemeClr w14:val="tx1"/>
            </w14:solidFill>
          </w14:textFill>
        </w:rPr>
        <w:t>行政事业单位</w:t>
      </w:r>
      <w:r>
        <w:rPr>
          <w:rFonts w:ascii="仿宋" w:hAnsi="仿宋" w:eastAsia="仿宋" w:cs="仿宋"/>
          <w:color w:val="000000" w:themeColor="text1"/>
          <w:spacing w:val="9"/>
          <w:sz w:val="31"/>
          <w:szCs w:val="31"/>
          <w:highlight w:val="none"/>
          <w:u w:val="none"/>
          <w14:textFill>
            <w14:solidFill>
              <w14:schemeClr w14:val="tx1"/>
            </w14:solidFill>
          </w14:textFill>
        </w:rPr>
        <w:t>国有资产管理各项工作。</w:t>
      </w:r>
    </w:p>
    <w:p w14:paraId="620D9B5D">
      <w:pPr>
        <w:keepNext w:val="0"/>
        <w:keepLines w:val="0"/>
        <w:pageBreakBefore w:val="0"/>
        <w:widowControl/>
        <w:kinsoku w:val="0"/>
        <w:wordWrap/>
        <w:overflowPunct/>
        <w:topLinePunct w:val="0"/>
        <w:autoSpaceDE w:val="0"/>
        <w:autoSpaceDN w:val="0"/>
        <w:bidi w:val="0"/>
        <w:adjustRightInd w:val="0"/>
        <w:snapToGrid w:val="0"/>
        <w:spacing w:before="101" w:line="560" w:lineRule="exact"/>
        <w:ind w:left="2694"/>
        <w:jc w:val="both"/>
        <w:textAlignment w:val="baseline"/>
        <w:outlineLvl w:val="0"/>
        <w:rPr>
          <w:rFonts w:ascii="黑体" w:hAnsi="黑体" w:eastAsia="黑体" w:cs="黑体"/>
          <w:color w:val="000000" w:themeColor="text1"/>
          <w:sz w:val="31"/>
          <w:szCs w:val="31"/>
          <w:highlight w:val="none"/>
          <w:u w:val="none"/>
          <w14:textFill>
            <w14:solidFill>
              <w14:schemeClr w14:val="tx1"/>
            </w14:solidFill>
          </w14:textFill>
        </w:rPr>
      </w:pPr>
      <w:r>
        <w:rPr>
          <w:rFonts w:ascii="黑体" w:hAnsi="黑体" w:eastAsia="黑体" w:cs="黑体"/>
          <w:b/>
          <w:bCs/>
          <w:color w:val="000000" w:themeColor="text1"/>
          <w:spacing w:val="1"/>
          <w:sz w:val="31"/>
          <w:szCs w:val="31"/>
          <w:highlight w:val="none"/>
          <w:u w:val="none"/>
          <w14:textFill>
            <w14:solidFill>
              <w14:schemeClr w14:val="tx1"/>
            </w14:solidFill>
          </w14:textFill>
        </w:rPr>
        <w:t>第二章</w:t>
      </w:r>
      <w:r>
        <w:rPr>
          <w:rFonts w:hint="eastAsia" w:ascii="黑体" w:hAnsi="黑体" w:eastAsia="黑体" w:cs="黑体"/>
          <w:b/>
          <w:bCs/>
          <w:color w:val="000000" w:themeColor="text1"/>
          <w:spacing w:val="1"/>
          <w:sz w:val="31"/>
          <w:szCs w:val="31"/>
          <w:highlight w:val="none"/>
          <w:u w:val="none"/>
          <w:lang w:val="en-US" w:eastAsia="zh-CN"/>
          <w14:textFill>
            <w14:solidFill>
              <w14:schemeClr w14:val="tx1"/>
            </w14:solidFill>
          </w14:textFill>
        </w:rPr>
        <w:t xml:space="preserve">  </w:t>
      </w:r>
      <w:r>
        <w:rPr>
          <w:rFonts w:ascii="黑体" w:hAnsi="黑体" w:eastAsia="黑体" w:cs="黑体"/>
          <w:b/>
          <w:bCs/>
          <w:color w:val="000000" w:themeColor="text1"/>
          <w:spacing w:val="1"/>
          <w:sz w:val="31"/>
          <w:szCs w:val="31"/>
          <w:highlight w:val="none"/>
          <w:u w:val="none"/>
          <w14:textFill>
            <w14:solidFill>
              <w14:schemeClr w14:val="tx1"/>
            </w14:solidFill>
          </w14:textFill>
        </w:rPr>
        <w:t>资产配置和使用</w:t>
      </w:r>
    </w:p>
    <w:p w14:paraId="527CE195">
      <w:pPr>
        <w:keepNext w:val="0"/>
        <w:keepLines w:val="0"/>
        <w:pageBreakBefore w:val="0"/>
        <w:widowControl/>
        <w:kinsoku w:val="0"/>
        <w:wordWrap/>
        <w:overflowPunct/>
        <w:topLinePunct w:val="0"/>
        <w:autoSpaceDE w:val="0"/>
        <w:autoSpaceDN w:val="0"/>
        <w:bidi w:val="0"/>
        <w:adjustRightInd w:val="0"/>
        <w:snapToGrid w:val="0"/>
        <w:spacing w:before="207" w:line="560" w:lineRule="exact"/>
        <w:ind w:right="93" w:firstLine="644"/>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楷体" w:hAnsi="楷体" w:eastAsia="楷体" w:cs="楷体"/>
          <w:b/>
          <w:bCs/>
          <w:color w:val="000000" w:themeColor="text1"/>
          <w:spacing w:val="9"/>
          <w:sz w:val="31"/>
          <w:szCs w:val="31"/>
          <w:highlight w:val="none"/>
          <w:u w:val="none"/>
          <w14:textFill>
            <w14:solidFill>
              <w14:schemeClr w14:val="tx1"/>
            </w14:solidFill>
          </w14:textFill>
        </w:rPr>
        <w:t>第十一条</w:t>
      </w:r>
      <w:r>
        <w:rPr>
          <w:rFonts w:hint="eastAsia" w:ascii="楷体" w:hAnsi="楷体" w:eastAsia="楷体" w:cs="楷体"/>
          <w:b/>
          <w:bCs/>
          <w:color w:val="000000" w:themeColor="text1"/>
          <w:spacing w:val="9"/>
          <w:sz w:val="31"/>
          <w:szCs w:val="31"/>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pacing w:val="9"/>
          <w:sz w:val="31"/>
          <w:szCs w:val="31"/>
          <w:highlight w:val="none"/>
          <w:u w:val="none"/>
          <w:lang w:eastAsia="zh-CN"/>
          <w14:textFill>
            <w14:solidFill>
              <w14:schemeClr w14:val="tx1"/>
            </w14:solidFill>
          </w14:textFill>
        </w:rPr>
        <w:t>行政事业单位</w:t>
      </w:r>
      <w:r>
        <w:rPr>
          <w:rFonts w:ascii="仿宋" w:hAnsi="仿宋" w:eastAsia="仿宋" w:cs="仿宋"/>
          <w:color w:val="000000" w:themeColor="text1"/>
          <w:spacing w:val="9"/>
          <w:sz w:val="31"/>
          <w:szCs w:val="31"/>
          <w:highlight w:val="none"/>
          <w:u w:val="none"/>
          <w14:textFill>
            <w14:solidFill>
              <w14:schemeClr w14:val="tx1"/>
            </w14:solidFill>
          </w14:textFill>
        </w:rPr>
        <w:t>应当根据保证履行职能和事业发展的需要，结合资产存量、资产配置标准、绩效目标和财政承受能力配置资产。</w:t>
      </w:r>
      <w:r>
        <w:rPr>
          <w:rFonts w:hint="eastAsia" w:ascii="仿宋" w:hAnsi="仿宋" w:eastAsia="仿宋" w:cs="仿宋"/>
          <w:color w:val="000000" w:themeColor="text1"/>
          <w:spacing w:val="9"/>
          <w:sz w:val="31"/>
          <w:szCs w:val="31"/>
          <w:highlight w:val="none"/>
          <w:u w:val="none"/>
          <w:lang w:eastAsia="zh-CN"/>
          <w14:textFill>
            <w14:solidFill>
              <w14:schemeClr w14:val="tx1"/>
            </w14:solidFill>
          </w14:textFill>
        </w:rPr>
        <w:t>行政事业单位</w:t>
      </w:r>
      <w:r>
        <w:rPr>
          <w:rFonts w:ascii="仿宋" w:hAnsi="仿宋" w:eastAsia="仿宋" w:cs="仿宋"/>
          <w:color w:val="000000" w:themeColor="text1"/>
          <w:spacing w:val="16"/>
          <w:sz w:val="31"/>
          <w:szCs w:val="31"/>
          <w:highlight w:val="none"/>
          <w:u w:val="none"/>
          <w14:textFill>
            <w14:solidFill>
              <w14:schemeClr w14:val="tx1"/>
            </w14:solidFill>
          </w14:textFill>
        </w:rPr>
        <w:t>应当优先通过调剂方式配置资产，不能</w:t>
      </w:r>
      <w:r>
        <w:rPr>
          <w:rFonts w:ascii="仿宋" w:hAnsi="仿宋" w:eastAsia="仿宋" w:cs="仿宋"/>
          <w:color w:val="000000" w:themeColor="text1"/>
          <w:spacing w:val="15"/>
          <w:sz w:val="31"/>
          <w:szCs w:val="31"/>
          <w:highlight w:val="none"/>
          <w:u w:val="none"/>
          <w14:textFill>
            <w14:solidFill>
              <w14:schemeClr w14:val="tx1"/>
            </w14:solidFill>
          </w14:textFill>
        </w:rPr>
        <w:t>调剂</w:t>
      </w:r>
      <w:r>
        <w:rPr>
          <w:rFonts w:ascii="仿宋" w:hAnsi="仿宋" w:eastAsia="仿宋" w:cs="仿宋"/>
          <w:color w:val="000000" w:themeColor="text1"/>
          <w:spacing w:val="-3"/>
          <w:sz w:val="31"/>
          <w:szCs w:val="31"/>
          <w:highlight w:val="none"/>
          <w:u w:val="none"/>
          <w14:textFill>
            <w14:solidFill>
              <w14:schemeClr w14:val="tx1"/>
            </w14:solidFill>
          </w14:textFill>
        </w:rPr>
        <w:t>的，可以采用其他方式配置资产。</w:t>
      </w:r>
    </w:p>
    <w:p w14:paraId="38F8F3D6">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58" w:firstLineChars="200"/>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楷体" w:hAnsi="楷体" w:eastAsia="楷体" w:cs="楷体"/>
          <w:b/>
          <w:bCs/>
          <w:color w:val="000000" w:themeColor="text1"/>
          <w:spacing w:val="9"/>
          <w:sz w:val="31"/>
          <w:szCs w:val="31"/>
          <w:highlight w:val="none"/>
          <w:u w:val="none"/>
          <w14:textFill>
            <w14:solidFill>
              <w14:schemeClr w14:val="tx1"/>
            </w14:solidFill>
          </w14:textFill>
        </w:rPr>
        <w:t>第十二条</w:t>
      </w:r>
      <w:r>
        <w:rPr>
          <w:rFonts w:hint="eastAsia" w:ascii="楷体" w:hAnsi="楷体" w:eastAsia="楷体" w:cs="楷体"/>
          <w:b/>
          <w:bCs/>
          <w:color w:val="000000" w:themeColor="text1"/>
          <w:spacing w:val="9"/>
          <w:sz w:val="31"/>
          <w:szCs w:val="31"/>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pacing w:val="9"/>
          <w:sz w:val="31"/>
          <w:szCs w:val="31"/>
          <w:highlight w:val="none"/>
          <w:u w:val="none"/>
          <w:lang w:eastAsia="zh-CN"/>
          <w14:textFill>
            <w14:solidFill>
              <w14:schemeClr w14:val="tx1"/>
            </w14:solidFill>
          </w14:textFill>
        </w:rPr>
        <w:t>行政事业单位</w:t>
      </w:r>
      <w:r>
        <w:rPr>
          <w:rFonts w:ascii="仿宋" w:hAnsi="仿宋" w:eastAsia="仿宋" w:cs="仿宋"/>
          <w:color w:val="000000" w:themeColor="text1"/>
          <w:spacing w:val="9"/>
          <w:sz w:val="31"/>
          <w:szCs w:val="31"/>
          <w:highlight w:val="none"/>
          <w:u w:val="none"/>
          <w14:textFill>
            <w14:solidFill>
              <w14:schemeClr w14:val="tx1"/>
            </w14:solidFill>
          </w14:textFill>
        </w:rPr>
        <w:t>国有资产配置标准由</w:t>
      </w:r>
      <w:r>
        <w:rPr>
          <w:rFonts w:hint="eastAsia" w:ascii="仿宋" w:hAnsi="仿宋" w:eastAsia="仿宋" w:cs="仿宋"/>
          <w:color w:val="000000" w:themeColor="text1"/>
          <w:spacing w:val="9"/>
          <w:sz w:val="31"/>
          <w:szCs w:val="31"/>
          <w:highlight w:val="none"/>
          <w:u w:val="none"/>
          <w:lang w:eastAsia="zh-CN"/>
          <w14:textFill>
            <w14:solidFill>
              <w14:schemeClr w14:val="tx1"/>
            </w14:solidFill>
          </w14:textFill>
        </w:rPr>
        <w:t>县</w:t>
      </w:r>
      <w:r>
        <w:rPr>
          <w:rFonts w:ascii="仿宋" w:hAnsi="仿宋" w:eastAsia="仿宋" w:cs="仿宋"/>
          <w:color w:val="000000" w:themeColor="text1"/>
          <w:spacing w:val="9"/>
          <w:sz w:val="31"/>
          <w:szCs w:val="31"/>
          <w:highlight w:val="none"/>
          <w:u w:val="none"/>
          <w14:textFill>
            <w14:solidFill>
              <w14:schemeClr w14:val="tx1"/>
            </w14:solidFill>
          </w14:textFill>
        </w:rPr>
        <w:t>财政局会同</w:t>
      </w:r>
      <w:r>
        <w:rPr>
          <w:rFonts w:hint="eastAsia" w:ascii="仿宋" w:hAnsi="仿宋" w:eastAsia="仿宋" w:cs="仿宋"/>
          <w:color w:val="000000" w:themeColor="text1"/>
          <w:spacing w:val="9"/>
          <w:sz w:val="31"/>
          <w:szCs w:val="31"/>
          <w:highlight w:val="none"/>
          <w:u w:val="none"/>
          <w:lang w:eastAsia="zh-CN"/>
          <w14:textFill>
            <w14:solidFill>
              <w14:schemeClr w14:val="tx1"/>
            </w14:solidFill>
          </w14:textFill>
        </w:rPr>
        <w:t>县机关事务服务中心</w:t>
      </w:r>
      <w:r>
        <w:rPr>
          <w:rFonts w:ascii="仿宋" w:hAnsi="仿宋" w:eastAsia="仿宋" w:cs="仿宋"/>
          <w:color w:val="000000" w:themeColor="text1"/>
          <w:spacing w:val="15"/>
          <w:sz w:val="31"/>
          <w:szCs w:val="31"/>
          <w:highlight w:val="none"/>
          <w:u w:val="none"/>
          <w14:textFill>
            <w14:solidFill>
              <w14:schemeClr w14:val="tx1"/>
            </w14:solidFill>
          </w14:textFill>
        </w:rPr>
        <w:t>等有关部门根据国家有关法规政策、</w:t>
      </w:r>
      <w:r>
        <w:rPr>
          <w:rFonts w:hint="eastAsia" w:ascii="仿宋" w:hAnsi="仿宋" w:eastAsia="仿宋" w:cs="仿宋"/>
          <w:color w:val="000000" w:themeColor="text1"/>
          <w:spacing w:val="15"/>
          <w:sz w:val="31"/>
          <w:szCs w:val="31"/>
          <w:highlight w:val="none"/>
          <w:u w:val="none"/>
          <w:lang w:eastAsia="zh-CN"/>
          <w14:textFill>
            <w14:solidFill>
              <w14:schemeClr w14:val="tx1"/>
            </w14:solidFill>
          </w14:textFill>
        </w:rPr>
        <w:t>行政事业单位</w:t>
      </w:r>
      <w:r>
        <w:rPr>
          <w:rFonts w:ascii="仿宋" w:hAnsi="仿宋" w:eastAsia="仿宋" w:cs="仿宋"/>
          <w:color w:val="000000" w:themeColor="text1"/>
          <w:spacing w:val="15"/>
          <w:sz w:val="31"/>
          <w:szCs w:val="31"/>
          <w:highlight w:val="none"/>
          <w:u w:val="none"/>
          <w14:textFill>
            <w14:solidFill>
              <w14:schemeClr w14:val="tx1"/>
            </w14:solidFill>
          </w14:textFill>
        </w:rPr>
        <w:t>业务需</w:t>
      </w:r>
      <w:r>
        <w:rPr>
          <w:rFonts w:ascii="仿宋" w:hAnsi="仿宋" w:eastAsia="仿宋" w:cs="仿宋"/>
          <w:color w:val="000000" w:themeColor="text1"/>
          <w:spacing w:val="2"/>
          <w:sz w:val="31"/>
          <w:szCs w:val="31"/>
          <w:highlight w:val="none"/>
          <w:u w:val="none"/>
          <w14:textFill>
            <w14:solidFill>
              <w14:schemeClr w14:val="tx1"/>
            </w14:solidFill>
          </w14:textFill>
        </w:rPr>
        <w:t>要，以及地方财力状况等研究制定，报</w:t>
      </w:r>
      <w:r>
        <w:rPr>
          <w:rFonts w:hint="eastAsia" w:ascii="仿宋" w:hAnsi="仿宋" w:eastAsia="仿宋" w:cs="仿宋"/>
          <w:color w:val="000000" w:themeColor="text1"/>
          <w:spacing w:val="2"/>
          <w:sz w:val="31"/>
          <w:szCs w:val="31"/>
          <w:highlight w:val="none"/>
          <w:u w:val="none"/>
          <w:lang w:eastAsia="zh-CN"/>
          <w14:textFill>
            <w14:solidFill>
              <w14:schemeClr w14:val="tx1"/>
            </w14:solidFill>
          </w14:textFill>
        </w:rPr>
        <w:t>县</w:t>
      </w:r>
      <w:r>
        <w:rPr>
          <w:rFonts w:ascii="仿宋" w:hAnsi="仿宋" w:eastAsia="仿宋" w:cs="仿宋"/>
          <w:color w:val="000000" w:themeColor="text1"/>
          <w:spacing w:val="2"/>
          <w:sz w:val="31"/>
          <w:szCs w:val="31"/>
          <w:highlight w:val="none"/>
          <w:u w:val="none"/>
          <w14:textFill>
            <w14:solidFill>
              <w14:schemeClr w14:val="tx1"/>
            </w14:solidFill>
          </w14:textFill>
        </w:rPr>
        <w:t>人民政府批准后执</w:t>
      </w:r>
      <w:r>
        <w:rPr>
          <w:rFonts w:ascii="仿宋" w:hAnsi="仿宋" w:eastAsia="仿宋" w:cs="仿宋"/>
          <w:color w:val="000000" w:themeColor="text1"/>
          <w:spacing w:val="1"/>
          <w:sz w:val="31"/>
          <w:szCs w:val="31"/>
          <w:highlight w:val="none"/>
          <w:u w:val="none"/>
          <w14:textFill>
            <w14:solidFill>
              <w14:schemeClr w14:val="tx1"/>
            </w14:solidFill>
          </w14:textFill>
        </w:rPr>
        <w:t>行。</w:t>
      </w:r>
    </w:p>
    <w:p w14:paraId="22B33C92">
      <w:pPr>
        <w:keepNext w:val="0"/>
        <w:keepLines w:val="0"/>
        <w:pageBreakBefore w:val="0"/>
        <w:widowControl/>
        <w:kinsoku w:val="0"/>
        <w:wordWrap/>
        <w:overflowPunct/>
        <w:topLinePunct w:val="0"/>
        <w:autoSpaceDE w:val="0"/>
        <w:autoSpaceDN w:val="0"/>
        <w:bidi w:val="0"/>
        <w:adjustRightInd w:val="0"/>
        <w:snapToGrid w:val="0"/>
        <w:spacing w:before="221" w:line="560" w:lineRule="exact"/>
        <w:ind w:right="21" w:firstLine="649"/>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hint="eastAsia" w:ascii="仿宋" w:hAnsi="仿宋" w:eastAsia="仿宋" w:cs="仿宋"/>
          <w:color w:val="000000" w:themeColor="text1"/>
          <w:spacing w:val="3"/>
          <w:sz w:val="31"/>
          <w:szCs w:val="31"/>
          <w:highlight w:val="none"/>
          <w:u w:val="none"/>
          <w:lang w:eastAsia="zh-CN"/>
          <w14:textFill>
            <w14:solidFill>
              <w14:schemeClr w14:val="tx1"/>
            </w14:solidFill>
          </w14:textFill>
        </w:rPr>
        <w:t>县</w:t>
      </w:r>
      <w:r>
        <w:rPr>
          <w:rFonts w:ascii="仿宋" w:hAnsi="仿宋" w:eastAsia="仿宋" w:cs="仿宋"/>
          <w:color w:val="000000" w:themeColor="text1"/>
          <w:spacing w:val="3"/>
          <w:sz w:val="31"/>
          <w:szCs w:val="31"/>
          <w:highlight w:val="none"/>
          <w:u w:val="none"/>
          <w14:textFill>
            <w14:solidFill>
              <w14:schemeClr w14:val="tx1"/>
            </w14:solidFill>
          </w14:textFill>
        </w:rPr>
        <w:t>财政局可以根据国家有关政策、社会经济发展水平、市场</w:t>
      </w:r>
      <w:r>
        <w:rPr>
          <w:rFonts w:ascii="仿宋" w:hAnsi="仿宋" w:eastAsia="仿宋" w:cs="仿宋"/>
          <w:color w:val="000000" w:themeColor="text1"/>
          <w:spacing w:val="4"/>
          <w:sz w:val="31"/>
          <w:szCs w:val="31"/>
          <w:highlight w:val="none"/>
          <w:u w:val="none"/>
          <w14:textFill>
            <w14:solidFill>
              <w14:schemeClr w14:val="tx1"/>
            </w14:solidFill>
          </w14:textFill>
        </w:rPr>
        <w:t>价格变化和技术进步等因素适时调整和更新资产配置标准，</w:t>
      </w:r>
      <w:r>
        <w:rPr>
          <w:rFonts w:ascii="仿宋" w:hAnsi="仿宋" w:eastAsia="仿宋" w:cs="仿宋"/>
          <w:color w:val="000000" w:themeColor="text1"/>
          <w:spacing w:val="3"/>
          <w:sz w:val="31"/>
          <w:szCs w:val="31"/>
          <w:highlight w:val="none"/>
          <w:u w:val="none"/>
          <w14:textFill>
            <w14:solidFill>
              <w14:schemeClr w14:val="tx1"/>
            </w14:solidFill>
          </w14:textFill>
        </w:rPr>
        <w:t>并公</w:t>
      </w:r>
      <w:r>
        <w:rPr>
          <w:rFonts w:ascii="仿宋" w:hAnsi="仿宋" w:eastAsia="仿宋" w:cs="仿宋"/>
          <w:color w:val="000000" w:themeColor="text1"/>
          <w:spacing w:val="-13"/>
          <w:sz w:val="31"/>
          <w:szCs w:val="31"/>
          <w:highlight w:val="none"/>
          <w:u w:val="none"/>
          <w14:textFill>
            <w14:solidFill>
              <w14:schemeClr w14:val="tx1"/>
            </w14:solidFill>
          </w14:textFill>
        </w:rPr>
        <w:t>布执行。</w:t>
      </w:r>
    </w:p>
    <w:p w14:paraId="360AE521">
      <w:pPr>
        <w:keepNext w:val="0"/>
        <w:keepLines w:val="0"/>
        <w:pageBreakBefore w:val="0"/>
        <w:widowControl/>
        <w:kinsoku w:val="0"/>
        <w:wordWrap/>
        <w:overflowPunct/>
        <w:topLinePunct w:val="0"/>
        <w:autoSpaceDE w:val="0"/>
        <w:autoSpaceDN w:val="0"/>
        <w:bidi w:val="0"/>
        <w:adjustRightInd w:val="0"/>
        <w:snapToGrid w:val="0"/>
        <w:spacing w:before="84" w:line="560" w:lineRule="exact"/>
        <w:ind w:right="6" w:firstLine="649"/>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楷体" w:hAnsi="楷体" w:eastAsia="楷体" w:cs="楷体"/>
          <w:b/>
          <w:bCs/>
          <w:color w:val="000000" w:themeColor="text1"/>
          <w:spacing w:val="10"/>
          <w:sz w:val="31"/>
          <w:szCs w:val="31"/>
          <w:highlight w:val="none"/>
          <w:u w:val="none"/>
          <w14:textFill>
            <w14:solidFill>
              <w14:schemeClr w14:val="tx1"/>
            </w14:solidFill>
          </w14:textFill>
        </w:rPr>
        <w:t>第十三条</w:t>
      </w:r>
      <w:r>
        <w:rPr>
          <w:rFonts w:hint="eastAsia" w:ascii="楷体" w:hAnsi="楷体" w:eastAsia="楷体" w:cs="楷体"/>
          <w:color w:val="000000" w:themeColor="text1"/>
          <w:spacing w:val="10"/>
          <w:sz w:val="31"/>
          <w:szCs w:val="31"/>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pacing w:val="10"/>
          <w:sz w:val="31"/>
          <w:szCs w:val="31"/>
          <w:highlight w:val="none"/>
          <w:u w:val="none"/>
          <w:lang w:eastAsia="zh-CN"/>
          <w14:textFill>
            <w14:solidFill>
              <w14:schemeClr w14:val="tx1"/>
            </w14:solidFill>
          </w14:textFill>
        </w:rPr>
        <w:t>行政事业单位</w:t>
      </w:r>
      <w:r>
        <w:rPr>
          <w:rFonts w:ascii="仿宋" w:hAnsi="仿宋" w:eastAsia="仿宋" w:cs="仿宋"/>
          <w:color w:val="000000" w:themeColor="text1"/>
          <w:spacing w:val="10"/>
          <w:sz w:val="31"/>
          <w:szCs w:val="31"/>
          <w:highlight w:val="none"/>
          <w:u w:val="none"/>
          <w14:textFill>
            <w14:solidFill>
              <w14:schemeClr w14:val="tx1"/>
            </w14:solidFill>
          </w14:textFill>
        </w:rPr>
        <w:t>应当严格按照规定标准</w:t>
      </w:r>
      <w:r>
        <w:rPr>
          <w:rFonts w:ascii="仿宋" w:hAnsi="仿宋" w:eastAsia="仿宋" w:cs="仿宋"/>
          <w:color w:val="000000" w:themeColor="text1"/>
          <w:spacing w:val="9"/>
          <w:sz w:val="31"/>
          <w:szCs w:val="31"/>
          <w:highlight w:val="none"/>
          <w:u w:val="none"/>
          <w14:textFill>
            <w14:solidFill>
              <w14:schemeClr w14:val="tx1"/>
            </w14:solidFill>
          </w14:textFill>
        </w:rPr>
        <w:t>配置资产，不得</w:t>
      </w:r>
      <w:r>
        <w:rPr>
          <w:rFonts w:ascii="仿宋" w:hAnsi="仿宋" w:eastAsia="仿宋" w:cs="仿宋"/>
          <w:color w:val="000000" w:themeColor="text1"/>
          <w:spacing w:val="4"/>
          <w:sz w:val="31"/>
          <w:szCs w:val="31"/>
          <w:highlight w:val="none"/>
          <w:u w:val="none"/>
          <w14:textFill>
            <w14:solidFill>
              <w14:schemeClr w14:val="tx1"/>
            </w14:solidFill>
          </w14:textFill>
        </w:rPr>
        <w:t>超标准或变相超标准配置。对未制定资产配置标准的，应当坚持厉行节约、从严控制的原则，结合单位履职需要、存量资产状况和财力情况等，在可行性研究和集体决策的基础上，采取最优的</w:t>
      </w:r>
      <w:r>
        <w:rPr>
          <w:rFonts w:ascii="仿宋" w:hAnsi="仿宋" w:eastAsia="仿宋" w:cs="仿宋"/>
          <w:color w:val="000000" w:themeColor="text1"/>
          <w:spacing w:val="-9"/>
          <w:sz w:val="31"/>
          <w:szCs w:val="31"/>
          <w:highlight w:val="none"/>
          <w:u w:val="none"/>
          <w14:textFill>
            <w14:solidFill>
              <w14:schemeClr w14:val="tx1"/>
            </w14:solidFill>
          </w14:textFill>
        </w:rPr>
        <w:t>方式进行配置。</w:t>
      </w:r>
    </w:p>
    <w:p w14:paraId="377522D0">
      <w:pPr>
        <w:keepNext w:val="0"/>
        <w:keepLines w:val="0"/>
        <w:pageBreakBefore w:val="0"/>
        <w:widowControl/>
        <w:kinsoku w:val="0"/>
        <w:wordWrap/>
        <w:overflowPunct/>
        <w:topLinePunct w:val="0"/>
        <w:autoSpaceDE w:val="0"/>
        <w:autoSpaceDN w:val="0"/>
        <w:bidi w:val="0"/>
        <w:adjustRightInd w:val="0"/>
        <w:snapToGrid w:val="0"/>
        <w:spacing w:before="104" w:line="560" w:lineRule="exact"/>
        <w:ind w:right="31" w:firstLine="649"/>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仿宋" w:hAnsi="仿宋" w:eastAsia="仿宋" w:cs="仿宋"/>
          <w:color w:val="000000" w:themeColor="text1"/>
          <w:spacing w:val="3"/>
          <w:sz w:val="31"/>
          <w:szCs w:val="31"/>
          <w:highlight w:val="none"/>
          <w:u w:val="none"/>
          <w14:textFill>
            <w14:solidFill>
              <w14:schemeClr w14:val="tx1"/>
            </w14:solidFill>
          </w14:textFill>
        </w:rPr>
        <w:t>因特殊原因，需要超标准配置的，由单位提出</w:t>
      </w:r>
      <w:r>
        <w:rPr>
          <w:rFonts w:ascii="仿宋" w:hAnsi="仿宋" w:eastAsia="仿宋" w:cs="仿宋"/>
          <w:color w:val="000000" w:themeColor="text1"/>
          <w:spacing w:val="2"/>
          <w:sz w:val="31"/>
          <w:szCs w:val="31"/>
          <w:highlight w:val="none"/>
          <w:u w:val="none"/>
          <w14:textFill>
            <w14:solidFill>
              <w14:schemeClr w14:val="tx1"/>
            </w14:solidFill>
          </w14:textFill>
        </w:rPr>
        <w:t>申请和提供相</w:t>
      </w:r>
      <w:r>
        <w:rPr>
          <w:rFonts w:ascii="仿宋" w:hAnsi="仿宋" w:eastAsia="仿宋" w:cs="仿宋"/>
          <w:color w:val="000000" w:themeColor="text1"/>
          <w:spacing w:val="1"/>
          <w:sz w:val="31"/>
          <w:szCs w:val="31"/>
          <w:highlight w:val="none"/>
          <w:u w:val="none"/>
          <w14:textFill>
            <w14:solidFill>
              <w14:schemeClr w14:val="tx1"/>
            </w14:solidFill>
          </w14:textFill>
        </w:rPr>
        <w:t>关依据及资料，经</w:t>
      </w:r>
      <w:r>
        <w:rPr>
          <w:rFonts w:hint="eastAsia" w:ascii="仿宋" w:hAnsi="仿宋" w:eastAsia="仿宋" w:cs="仿宋"/>
          <w:color w:val="000000" w:themeColor="text1"/>
          <w:spacing w:val="1"/>
          <w:sz w:val="31"/>
          <w:szCs w:val="31"/>
          <w:highlight w:val="none"/>
          <w:u w:val="none"/>
          <w:lang w:eastAsia="zh-CN"/>
          <w14:textFill>
            <w14:solidFill>
              <w14:schemeClr w14:val="tx1"/>
            </w14:solidFill>
          </w14:textFill>
        </w:rPr>
        <w:t>县机关事务服务中心</w:t>
      </w:r>
      <w:r>
        <w:rPr>
          <w:rFonts w:ascii="仿宋" w:hAnsi="仿宋" w:eastAsia="仿宋" w:cs="仿宋"/>
          <w:color w:val="000000" w:themeColor="text1"/>
          <w:spacing w:val="1"/>
          <w:sz w:val="31"/>
          <w:szCs w:val="31"/>
          <w:highlight w:val="none"/>
          <w:u w:val="none"/>
          <w14:textFill>
            <w14:solidFill>
              <w14:schemeClr w14:val="tx1"/>
            </w14:solidFill>
          </w14:textFill>
        </w:rPr>
        <w:t>审核后，报送</w:t>
      </w:r>
      <w:r>
        <w:rPr>
          <w:rFonts w:hint="eastAsia" w:ascii="仿宋" w:hAnsi="仿宋" w:eastAsia="仿宋" w:cs="仿宋"/>
          <w:color w:val="000000" w:themeColor="text1"/>
          <w:spacing w:val="1"/>
          <w:sz w:val="31"/>
          <w:szCs w:val="31"/>
          <w:highlight w:val="none"/>
          <w:u w:val="none"/>
          <w:lang w:eastAsia="zh-CN"/>
          <w14:textFill>
            <w14:solidFill>
              <w14:schemeClr w14:val="tx1"/>
            </w14:solidFill>
          </w14:textFill>
        </w:rPr>
        <w:t>县</w:t>
      </w:r>
      <w:r>
        <w:rPr>
          <w:rFonts w:ascii="仿宋" w:hAnsi="仿宋" w:eastAsia="仿宋" w:cs="仿宋"/>
          <w:color w:val="000000" w:themeColor="text1"/>
          <w:spacing w:val="1"/>
          <w:sz w:val="31"/>
          <w:szCs w:val="31"/>
          <w:highlight w:val="none"/>
          <w:u w:val="none"/>
          <w14:textFill>
            <w14:solidFill>
              <w14:schemeClr w14:val="tx1"/>
            </w14:solidFill>
          </w14:textFill>
        </w:rPr>
        <w:t>财政局审批。</w:t>
      </w:r>
    </w:p>
    <w:p w14:paraId="543EAE97">
      <w:pPr>
        <w:keepNext w:val="0"/>
        <w:keepLines w:val="0"/>
        <w:pageBreakBefore w:val="0"/>
        <w:widowControl/>
        <w:kinsoku w:val="0"/>
        <w:wordWrap/>
        <w:overflowPunct/>
        <w:topLinePunct w:val="0"/>
        <w:autoSpaceDE w:val="0"/>
        <w:autoSpaceDN w:val="0"/>
        <w:bidi w:val="0"/>
        <w:adjustRightInd w:val="0"/>
        <w:snapToGrid w:val="0"/>
        <w:spacing w:before="53" w:line="560" w:lineRule="exact"/>
        <w:ind w:right="13" w:firstLine="649"/>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楷体" w:hAnsi="楷体" w:eastAsia="楷体" w:cs="楷体"/>
          <w:b/>
          <w:bCs/>
          <w:color w:val="000000" w:themeColor="text1"/>
          <w:spacing w:val="9"/>
          <w:sz w:val="31"/>
          <w:szCs w:val="31"/>
          <w:highlight w:val="none"/>
          <w:u w:val="none"/>
          <w14:textFill>
            <w14:solidFill>
              <w14:schemeClr w14:val="tx1"/>
            </w14:solidFill>
          </w14:textFill>
        </w:rPr>
        <w:t>第十四条</w:t>
      </w:r>
      <w:r>
        <w:rPr>
          <w:rFonts w:hint="eastAsia" w:ascii="楷体" w:hAnsi="楷体" w:eastAsia="楷体" w:cs="楷体"/>
          <w:color w:val="000000" w:themeColor="text1"/>
          <w:spacing w:val="9"/>
          <w:sz w:val="31"/>
          <w:szCs w:val="31"/>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pacing w:val="9"/>
          <w:sz w:val="31"/>
          <w:szCs w:val="31"/>
          <w:highlight w:val="none"/>
          <w:u w:val="none"/>
          <w:lang w:eastAsia="zh-CN"/>
          <w14:textFill>
            <w14:solidFill>
              <w14:schemeClr w14:val="tx1"/>
            </w14:solidFill>
          </w14:textFill>
        </w:rPr>
        <w:t>行政事业单位</w:t>
      </w:r>
      <w:r>
        <w:rPr>
          <w:rFonts w:ascii="仿宋" w:hAnsi="仿宋" w:eastAsia="仿宋" w:cs="仿宋"/>
          <w:color w:val="000000" w:themeColor="text1"/>
          <w:spacing w:val="9"/>
          <w:sz w:val="31"/>
          <w:szCs w:val="31"/>
          <w:highlight w:val="none"/>
          <w:u w:val="none"/>
          <w14:textFill>
            <w14:solidFill>
              <w14:schemeClr w14:val="tx1"/>
            </w14:solidFill>
          </w14:textFill>
        </w:rPr>
        <w:t>配置资产的，应当按照</w:t>
      </w:r>
      <w:r>
        <w:rPr>
          <w:rFonts w:hint="eastAsia" w:ascii="仿宋" w:hAnsi="仿宋" w:eastAsia="仿宋" w:cs="仿宋"/>
          <w:color w:val="000000" w:themeColor="text1"/>
          <w:spacing w:val="9"/>
          <w:sz w:val="31"/>
          <w:szCs w:val="31"/>
          <w:highlight w:val="none"/>
          <w:u w:val="none"/>
          <w:lang w:eastAsia="zh-CN"/>
          <w14:textFill>
            <w14:solidFill>
              <w14:schemeClr w14:val="tx1"/>
            </w14:solidFill>
          </w14:textFill>
        </w:rPr>
        <w:t>行政事业单位</w:t>
      </w:r>
      <w:r>
        <w:rPr>
          <w:rFonts w:ascii="仿宋" w:hAnsi="仿宋" w:eastAsia="仿宋" w:cs="仿宋"/>
          <w:color w:val="000000" w:themeColor="text1"/>
          <w:spacing w:val="9"/>
          <w:sz w:val="31"/>
          <w:szCs w:val="31"/>
          <w:highlight w:val="none"/>
          <w:u w:val="none"/>
          <w14:textFill>
            <w14:solidFill>
              <w14:schemeClr w14:val="tx1"/>
            </w14:solidFill>
          </w14:textFill>
        </w:rPr>
        <w:t>国有资</w:t>
      </w:r>
      <w:r>
        <w:rPr>
          <w:rFonts w:ascii="仿宋" w:hAnsi="仿宋" w:eastAsia="仿宋" w:cs="仿宋"/>
          <w:color w:val="000000" w:themeColor="text1"/>
          <w:spacing w:val="4"/>
          <w:sz w:val="31"/>
          <w:szCs w:val="31"/>
          <w:highlight w:val="none"/>
          <w:u w:val="none"/>
          <w14:textFill>
            <w14:solidFill>
              <w14:schemeClr w14:val="tx1"/>
            </w14:solidFill>
          </w14:textFill>
        </w:rPr>
        <w:t>产配置标准，结合存量资产现状编制资产年度配置计划及配置预</w:t>
      </w:r>
      <w:r>
        <w:rPr>
          <w:rFonts w:ascii="仿宋" w:hAnsi="仿宋" w:eastAsia="仿宋" w:cs="仿宋"/>
          <w:color w:val="000000" w:themeColor="text1"/>
          <w:spacing w:val="-9"/>
          <w:sz w:val="31"/>
          <w:szCs w:val="31"/>
          <w:highlight w:val="none"/>
          <w:u w:val="none"/>
          <w14:textFill>
            <w14:solidFill>
              <w14:schemeClr w14:val="tx1"/>
            </w14:solidFill>
          </w14:textFill>
        </w:rPr>
        <w:t>算。</w:t>
      </w:r>
    </w:p>
    <w:p w14:paraId="6FAE02BA">
      <w:pPr>
        <w:keepNext w:val="0"/>
        <w:keepLines w:val="0"/>
        <w:pageBreakBefore w:val="0"/>
        <w:widowControl/>
        <w:kinsoku w:val="0"/>
        <w:wordWrap/>
        <w:overflowPunct/>
        <w:topLinePunct w:val="0"/>
        <w:autoSpaceDE w:val="0"/>
        <w:autoSpaceDN w:val="0"/>
        <w:bidi w:val="0"/>
        <w:adjustRightInd w:val="0"/>
        <w:snapToGrid w:val="0"/>
        <w:spacing w:before="61" w:line="560" w:lineRule="exact"/>
        <w:ind w:firstLine="649"/>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仿宋" w:hAnsi="仿宋" w:eastAsia="仿宋" w:cs="仿宋"/>
          <w:color w:val="000000" w:themeColor="text1"/>
          <w:spacing w:val="4"/>
          <w:sz w:val="31"/>
          <w:szCs w:val="31"/>
          <w:highlight w:val="none"/>
          <w:u w:val="none"/>
          <w14:textFill>
            <w14:solidFill>
              <w14:schemeClr w14:val="tx1"/>
            </w14:solidFill>
          </w14:textFill>
        </w:rPr>
        <w:t>资产年度配置计划经</w:t>
      </w:r>
      <w:r>
        <w:rPr>
          <w:rFonts w:hint="eastAsia" w:ascii="仿宋" w:hAnsi="仿宋" w:eastAsia="仿宋" w:cs="仿宋"/>
          <w:color w:val="000000" w:themeColor="text1"/>
          <w:spacing w:val="4"/>
          <w:sz w:val="31"/>
          <w:szCs w:val="31"/>
          <w:highlight w:val="none"/>
          <w:u w:val="none"/>
          <w:lang w:eastAsia="zh-CN"/>
          <w14:textFill>
            <w14:solidFill>
              <w14:schemeClr w14:val="tx1"/>
            </w14:solidFill>
          </w14:textFill>
        </w:rPr>
        <w:t>县机关事务服务中心</w:t>
      </w:r>
      <w:r>
        <w:rPr>
          <w:rFonts w:ascii="仿宋" w:hAnsi="仿宋" w:eastAsia="仿宋" w:cs="仿宋"/>
          <w:color w:val="000000" w:themeColor="text1"/>
          <w:spacing w:val="4"/>
          <w:sz w:val="31"/>
          <w:szCs w:val="31"/>
          <w:highlight w:val="none"/>
          <w:u w:val="none"/>
          <w14:textFill>
            <w14:solidFill>
              <w14:schemeClr w14:val="tx1"/>
            </w14:solidFill>
          </w14:textFill>
        </w:rPr>
        <w:t>、</w:t>
      </w:r>
      <w:r>
        <w:rPr>
          <w:rFonts w:hint="eastAsia" w:ascii="仿宋" w:hAnsi="仿宋" w:eastAsia="仿宋" w:cs="仿宋"/>
          <w:color w:val="000000" w:themeColor="text1"/>
          <w:spacing w:val="4"/>
          <w:sz w:val="31"/>
          <w:szCs w:val="31"/>
          <w:highlight w:val="none"/>
          <w:u w:val="none"/>
          <w:lang w:eastAsia="zh-CN"/>
          <w14:textFill>
            <w14:solidFill>
              <w14:schemeClr w14:val="tx1"/>
            </w14:solidFill>
          </w14:textFill>
        </w:rPr>
        <w:t>县</w:t>
      </w:r>
      <w:r>
        <w:rPr>
          <w:rFonts w:ascii="仿宋" w:hAnsi="仿宋" w:eastAsia="仿宋" w:cs="仿宋"/>
          <w:color w:val="000000" w:themeColor="text1"/>
          <w:spacing w:val="4"/>
          <w:sz w:val="31"/>
          <w:szCs w:val="31"/>
          <w:highlight w:val="none"/>
          <w:u w:val="none"/>
          <w14:textFill>
            <w14:solidFill>
              <w14:schemeClr w14:val="tx1"/>
            </w14:solidFill>
          </w14:textFill>
        </w:rPr>
        <w:t>财政局审批后，作为</w:t>
      </w:r>
      <w:r>
        <w:rPr>
          <w:rFonts w:hint="eastAsia" w:ascii="仿宋" w:hAnsi="仿宋" w:eastAsia="仿宋" w:cs="仿宋"/>
          <w:color w:val="000000" w:themeColor="text1"/>
          <w:spacing w:val="3"/>
          <w:sz w:val="31"/>
          <w:szCs w:val="31"/>
          <w:highlight w:val="none"/>
          <w:u w:val="none"/>
          <w:lang w:eastAsia="zh-CN"/>
          <w14:textFill>
            <w14:solidFill>
              <w14:schemeClr w14:val="tx1"/>
            </w14:solidFill>
          </w14:textFill>
        </w:rPr>
        <w:t>行政事业单位</w:t>
      </w:r>
      <w:r>
        <w:rPr>
          <w:rFonts w:ascii="仿宋" w:hAnsi="仿宋" w:eastAsia="仿宋" w:cs="仿宋"/>
          <w:color w:val="000000" w:themeColor="text1"/>
          <w:spacing w:val="3"/>
          <w:sz w:val="31"/>
          <w:szCs w:val="31"/>
          <w:highlight w:val="none"/>
          <w:u w:val="none"/>
          <w14:textFill>
            <w14:solidFill>
              <w14:schemeClr w14:val="tx1"/>
            </w14:solidFill>
          </w14:textFill>
        </w:rPr>
        <w:t>编制资产配置预算的依据。资产配置预算与部门预算同</w:t>
      </w:r>
      <w:r>
        <w:rPr>
          <w:rFonts w:ascii="仿宋" w:hAnsi="仿宋" w:eastAsia="仿宋" w:cs="仿宋"/>
          <w:color w:val="000000" w:themeColor="text1"/>
          <w:spacing w:val="4"/>
          <w:sz w:val="31"/>
          <w:szCs w:val="31"/>
          <w:highlight w:val="none"/>
          <w:u w:val="none"/>
          <w14:textFill>
            <w14:solidFill>
              <w14:schemeClr w14:val="tx1"/>
            </w14:solidFill>
          </w14:textFill>
        </w:rPr>
        <w:t>步申报、同步批复，</w:t>
      </w:r>
      <w:r>
        <w:rPr>
          <w:rFonts w:hint="eastAsia" w:ascii="仿宋" w:hAnsi="仿宋" w:eastAsia="仿宋" w:cs="仿宋"/>
          <w:color w:val="000000" w:themeColor="text1"/>
          <w:spacing w:val="4"/>
          <w:sz w:val="31"/>
          <w:szCs w:val="31"/>
          <w:highlight w:val="none"/>
          <w:u w:val="none"/>
          <w:lang w:eastAsia="zh-CN"/>
          <w14:textFill>
            <w14:solidFill>
              <w14:schemeClr w14:val="tx1"/>
            </w14:solidFill>
          </w14:textFill>
        </w:rPr>
        <w:t>行政事业单位</w:t>
      </w:r>
      <w:r>
        <w:rPr>
          <w:rFonts w:ascii="仿宋" w:hAnsi="仿宋" w:eastAsia="仿宋" w:cs="仿宋"/>
          <w:color w:val="000000" w:themeColor="text1"/>
          <w:spacing w:val="4"/>
          <w:sz w:val="31"/>
          <w:szCs w:val="31"/>
          <w:highlight w:val="none"/>
          <w:u w:val="none"/>
          <w14:textFill>
            <w14:solidFill>
              <w14:schemeClr w14:val="tx1"/>
            </w14:solidFill>
          </w14:textFill>
        </w:rPr>
        <w:t>应当严格按照批复的资产配置预算</w:t>
      </w:r>
      <w:r>
        <w:rPr>
          <w:rFonts w:ascii="仿宋" w:hAnsi="仿宋" w:eastAsia="仿宋" w:cs="仿宋"/>
          <w:color w:val="000000" w:themeColor="text1"/>
          <w:spacing w:val="-8"/>
          <w:sz w:val="31"/>
          <w:szCs w:val="31"/>
          <w:highlight w:val="none"/>
          <w:u w:val="none"/>
          <w14:textFill>
            <w14:solidFill>
              <w14:schemeClr w14:val="tx1"/>
            </w14:solidFill>
          </w14:textFill>
        </w:rPr>
        <w:t>执行。</w:t>
      </w:r>
    </w:p>
    <w:p w14:paraId="1F9D56D1">
      <w:pPr>
        <w:keepNext w:val="0"/>
        <w:keepLines w:val="0"/>
        <w:pageBreakBefore w:val="0"/>
        <w:widowControl/>
        <w:kinsoku w:val="0"/>
        <w:wordWrap/>
        <w:overflowPunct/>
        <w:topLinePunct w:val="0"/>
        <w:autoSpaceDE w:val="0"/>
        <w:autoSpaceDN w:val="0"/>
        <w:bidi w:val="0"/>
        <w:adjustRightInd w:val="0"/>
        <w:snapToGrid w:val="0"/>
        <w:spacing w:before="64" w:line="560" w:lineRule="exact"/>
        <w:ind w:right="15" w:firstLine="649"/>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楷体" w:hAnsi="楷体" w:eastAsia="楷体" w:cs="楷体"/>
          <w:b/>
          <w:bCs/>
          <w:color w:val="000000" w:themeColor="text1"/>
          <w:spacing w:val="9"/>
          <w:sz w:val="31"/>
          <w:szCs w:val="31"/>
          <w:highlight w:val="none"/>
          <w:u w:val="none"/>
          <w14:textFill>
            <w14:solidFill>
              <w14:schemeClr w14:val="tx1"/>
            </w14:solidFill>
          </w14:textFill>
        </w:rPr>
        <w:t>第十五条</w:t>
      </w:r>
      <w:r>
        <w:rPr>
          <w:rFonts w:hint="eastAsia" w:ascii="楷体" w:hAnsi="楷体" w:eastAsia="楷体" w:cs="楷体"/>
          <w:b/>
          <w:bCs/>
          <w:color w:val="000000" w:themeColor="text1"/>
          <w:spacing w:val="9"/>
          <w:sz w:val="31"/>
          <w:szCs w:val="31"/>
          <w:highlight w:val="none"/>
          <w:u w:val="none"/>
          <w:lang w:val="en-US" w:eastAsia="zh-CN"/>
          <w14:textFill>
            <w14:solidFill>
              <w14:schemeClr w14:val="tx1"/>
            </w14:solidFill>
          </w14:textFill>
        </w:rPr>
        <w:t xml:space="preserve"> </w:t>
      </w:r>
      <w:r>
        <w:rPr>
          <w:rFonts w:hint="eastAsia" w:ascii="楷体" w:hAnsi="楷体" w:eastAsia="楷体" w:cs="楷体"/>
          <w:color w:val="000000" w:themeColor="text1"/>
          <w:spacing w:val="9"/>
          <w:sz w:val="31"/>
          <w:szCs w:val="31"/>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pacing w:val="9"/>
          <w:sz w:val="31"/>
          <w:szCs w:val="31"/>
          <w:highlight w:val="none"/>
          <w:u w:val="none"/>
          <w:lang w:eastAsia="zh-CN"/>
          <w14:textFill>
            <w14:solidFill>
              <w14:schemeClr w14:val="tx1"/>
            </w14:solidFill>
          </w14:textFill>
        </w:rPr>
        <w:t>行政事业单位</w:t>
      </w:r>
      <w:r>
        <w:rPr>
          <w:rFonts w:ascii="仿宋" w:hAnsi="仿宋" w:eastAsia="仿宋" w:cs="仿宋"/>
          <w:color w:val="000000" w:themeColor="text1"/>
          <w:spacing w:val="9"/>
          <w:sz w:val="31"/>
          <w:szCs w:val="31"/>
          <w:highlight w:val="none"/>
          <w:u w:val="none"/>
          <w14:textFill>
            <w14:solidFill>
              <w14:schemeClr w14:val="tx1"/>
            </w14:solidFill>
          </w14:textFill>
        </w:rPr>
        <w:t>应当严格按照本办法及其他相关规定的</w:t>
      </w:r>
      <w:r>
        <w:rPr>
          <w:rFonts w:ascii="仿宋" w:hAnsi="仿宋" w:eastAsia="仿宋" w:cs="仿宋"/>
          <w:color w:val="000000" w:themeColor="text1"/>
          <w:spacing w:val="4"/>
          <w:sz w:val="31"/>
          <w:szCs w:val="31"/>
          <w:highlight w:val="none"/>
          <w:u w:val="none"/>
          <w14:textFill>
            <w14:solidFill>
              <w14:schemeClr w14:val="tx1"/>
            </w14:solidFill>
          </w14:textFill>
        </w:rPr>
        <w:t>审批程序进行资产配置，未经</w:t>
      </w:r>
      <w:r>
        <w:rPr>
          <w:rFonts w:hint="eastAsia" w:ascii="仿宋" w:hAnsi="仿宋" w:eastAsia="仿宋" w:cs="仿宋"/>
          <w:color w:val="000000" w:themeColor="text1"/>
          <w:spacing w:val="4"/>
          <w:sz w:val="31"/>
          <w:szCs w:val="31"/>
          <w:highlight w:val="none"/>
          <w:u w:val="none"/>
          <w:lang w:eastAsia="zh-CN"/>
          <w14:textFill>
            <w14:solidFill>
              <w14:schemeClr w14:val="tx1"/>
            </w14:solidFill>
          </w14:textFill>
        </w:rPr>
        <w:t>县机关事务服务中心</w:t>
      </w:r>
      <w:r>
        <w:rPr>
          <w:rFonts w:ascii="仿宋" w:hAnsi="仿宋" w:eastAsia="仿宋" w:cs="仿宋"/>
          <w:color w:val="000000" w:themeColor="text1"/>
          <w:spacing w:val="4"/>
          <w:sz w:val="31"/>
          <w:szCs w:val="31"/>
          <w:highlight w:val="none"/>
          <w:u w:val="none"/>
          <w14:textFill>
            <w14:solidFill>
              <w14:schemeClr w14:val="tx1"/>
            </w14:solidFill>
          </w14:textFill>
        </w:rPr>
        <w:t>、</w:t>
      </w:r>
      <w:r>
        <w:rPr>
          <w:rFonts w:hint="eastAsia" w:ascii="仿宋" w:hAnsi="仿宋" w:eastAsia="仿宋" w:cs="仿宋"/>
          <w:color w:val="000000" w:themeColor="text1"/>
          <w:spacing w:val="4"/>
          <w:sz w:val="31"/>
          <w:szCs w:val="31"/>
          <w:highlight w:val="none"/>
          <w:u w:val="none"/>
          <w:lang w:eastAsia="zh-CN"/>
          <w14:textFill>
            <w14:solidFill>
              <w14:schemeClr w14:val="tx1"/>
            </w14:solidFill>
          </w14:textFill>
        </w:rPr>
        <w:t>县</w:t>
      </w:r>
      <w:r>
        <w:rPr>
          <w:rFonts w:ascii="仿宋" w:hAnsi="仿宋" w:eastAsia="仿宋" w:cs="仿宋"/>
          <w:color w:val="000000" w:themeColor="text1"/>
          <w:spacing w:val="4"/>
          <w:sz w:val="31"/>
          <w:szCs w:val="31"/>
          <w:highlight w:val="none"/>
          <w:u w:val="none"/>
          <w14:textFill>
            <w14:solidFill>
              <w14:schemeClr w14:val="tx1"/>
            </w14:solidFill>
          </w14:textFill>
        </w:rPr>
        <w:t>财政</w:t>
      </w:r>
      <w:r>
        <w:rPr>
          <w:rFonts w:ascii="仿宋" w:hAnsi="仿宋" w:eastAsia="仿宋" w:cs="仿宋"/>
          <w:color w:val="000000" w:themeColor="text1"/>
          <w:spacing w:val="3"/>
          <w:sz w:val="31"/>
          <w:szCs w:val="31"/>
          <w:highlight w:val="none"/>
          <w:u w:val="none"/>
          <w14:textFill>
            <w14:solidFill>
              <w14:schemeClr w14:val="tx1"/>
            </w14:solidFill>
          </w14:textFill>
        </w:rPr>
        <w:t>局审批不得</w:t>
      </w:r>
      <w:r>
        <w:rPr>
          <w:rFonts w:ascii="仿宋" w:hAnsi="仿宋" w:eastAsia="仿宋" w:cs="仿宋"/>
          <w:color w:val="000000" w:themeColor="text1"/>
          <w:spacing w:val="-5"/>
          <w:sz w:val="31"/>
          <w:szCs w:val="31"/>
          <w:highlight w:val="none"/>
          <w:u w:val="none"/>
          <w14:textFill>
            <w14:solidFill>
              <w14:schemeClr w14:val="tx1"/>
            </w14:solidFill>
          </w14:textFill>
        </w:rPr>
        <w:t>擅自配置资产。</w:t>
      </w:r>
    </w:p>
    <w:p w14:paraId="2A45CD61">
      <w:pPr>
        <w:keepNext w:val="0"/>
        <w:keepLines w:val="0"/>
        <w:pageBreakBefore w:val="0"/>
        <w:widowControl/>
        <w:kinsoku w:val="0"/>
        <w:wordWrap/>
        <w:overflowPunct/>
        <w:topLinePunct w:val="0"/>
        <w:autoSpaceDE w:val="0"/>
        <w:autoSpaceDN w:val="0"/>
        <w:bidi w:val="0"/>
        <w:adjustRightInd w:val="0"/>
        <w:snapToGrid w:val="0"/>
        <w:spacing w:before="212" w:line="560" w:lineRule="exact"/>
        <w:ind w:firstLine="644"/>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楷体" w:hAnsi="楷体" w:eastAsia="楷体" w:cs="楷体"/>
          <w:b/>
          <w:bCs/>
          <w:color w:val="000000" w:themeColor="text1"/>
          <w:spacing w:val="9"/>
          <w:sz w:val="31"/>
          <w:szCs w:val="31"/>
          <w:highlight w:val="none"/>
          <w:u w:val="none"/>
          <w14:textFill>
            <w14:solidFill>
              <w14:schemeClr w14:val="tx1"/>
            </w14:solidFill>
          </w14:textFill>
        </w:rPr>
        <w:t>第十六条</w:t>
      </w:r>
      <w:r>
        <w:rPr>
          <w:rFonts w:hint="eastAsia" w:ascii="楷体" w:hAnsi="楷体" w:eastAsia="楷体" w:cs="楷体"/>
          <w:b/>
          <w:bCs/>
          <w:color w:val="000000" w:themeColor="text1"/>
          <w:spacing w:val="9"/>
          <w:sz w:val="31"/>
          <w:szCs w:val="31"/>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pacing w:val="9"/>
          <w:sz w:val="31"/>
          <w:szCs w:val="31"/>
          <w:highlight w:val="none"/>
          <w:u w:val="none"/>
          <w:lang w:eastAsia="zh-CN"/>
          <w14:textFill>
            <w14:solidFill>
              <w14:schemeClr w14:val="tx1"/>
            </w14:solidFill>
          </w14:textFill>
        </w:rPr>
        <w:t>行政事业单位</w:t>
      </w:r>
      <w:r>
        <w:rPr>
          <w:rFonts w:ascii="仿宋" w:hAnsi="仿宋" w:eastAsia="仿宋" w:cs="仿宋"/>
          <w:color w:val="000000" w:themeColor="text1"/>
          <w:spacing w:val="9"/>
          <w:sz w:val="31"/>
          <w:szCs w:val="31"/>
          <w:highlight w:val="none"/>
          <w:u w:val="none"/>
          <w14:textFill>
            <w14:solidFill>
              <w14:schemeClr w14:val="tx1"/>
            </w14:solidFill>
          </w14:textFill>
        </w:rPr>
        <w:t>应当加强国有资产日常管理，明确使用</w:t>
      </w:r>
      <w:r>
        <w:rPr>
          <w:rFonts w:ascii="仿宋" w:hAnsi="仿宋" w:eastAsia="仿宋" w:cs="仿宋"/>
          <w:color w:val="000000" w:themeColor="text1"/>
          <w:spacing w:val="8"/>
          <w:sz w:val="31"/>
          <w:szCs w:val="31"/>
          <w:highlight w:val="none"/>
          <w:u w:val="none"/>
          <w14:textFill>
            <w14:solidFill>
              <w14:schemeClr w14:val="tx1"/>
            </w14:solidFill>
          </w14:textFill>
        </w:rPr>
        <w:t>管理机构和人员，完善资产使用管理制度，规范资产使用行为，建立健全国有资产验收、入库、保管、领用、交回、维护维修、</w:t>
      </w:r>
      <w:r>
        <w:rPr>
          <w:rFonts w:ascii="仿宋" w:hAnsi="仿宋" w:eastAsia="仿宋" w:cs="仿宋"/>
          <w:color w:val="000000" w:themeColor="text1"/>
          <w:spacing w:val="3"/>
          <w:sz w:val="31"/>
          <w:szCs w:val="31"/>
          <w:highlight w:val="none"/>
          <w:u w:val="none"/>
          <w14:textFill>
            <w14:solidFill>
              <w14:schemeClr w14:val="tx1"/>
            </w14:solidFill>
          </w14:textFill>
        </w:rPr>
        <w:t>入账、交接等管理制度，提高资产使用效益，确保资产安全，对</w:t>
      </w:r>
      <w:r>
        <w:rPr>
          <w:rFonts w:ascii="仿宋" w:hAnsi="仿宋" w:eastAsia="仿宋" w:cs="仿宋"/>
          <w:color w:val="000000" w:themeColor="text1"/>
          <w:spacing w:val="8"/>
          <w:sz w:val="31"/>
          <w:szCs w:val="31"/>
          <w:highlight w:val="none"/>
          <w:u w:val="none"/>
          <w14:textFill>
            <w14:solidFill>
              <w14:schemeClr w14:val="tx1"/>
            </w14:solidFill>
          </w14:textFill>
        </w:rPr>
        <w:t>资产进行登记，并定期清查盘点，做到账账、账卡、账实相符，</w:t>
      </w:r>
      <w:r>
        <w:rPr>
          <w:rFonts w:ascii="仿宋" w:hAnsi="仿宋" w:eastAsia="仿宋" w:cs="仿宋"/>
          <w:color w:val="000000" w:themeColor="text1"/>
          <w:sz w:val="31"/>
          <w:szCs w:val="31"/>
          <w:highlight w:val="none"/>
          <w:u w:val="none"/>
          <w14:textFill>
            <w14:solidFill>
              <w14:schemeClr w14:val="tx1"/>
            </w14:solidFill>
          </w14:textFill>
        </w:rPr>
        <w:t>确保资产清晰，防止国有资产流失。</w:t>
      </w:r>
    </w:p>
    <w:p w14:paraId="055654A8">
      <w:pPr>
        <w:keepNext w:val="0"/>
        <w:keepLines w:val="0"/>
        <w:pageBreakBefore w:val="0"/>
        <w:widowControl/>
        <w:kinsoku w:val="0"/>
        <w:wordWrap/>
        <w:overflowPunct/>
        <w:topLinePunct w:val="0"/>
        <w:autoSpaceDE w:val="0"/>
        <w:autoSpaceDN w:val="0"/>
        <w:bidi w:val="0"/>
        <w:adjustRightInd w:val="0"/>
        <w:snapToGrid w:val="0"/>
        <w:spacing w:before="49" w:line="560" w:lineRule="exact"/>
        <w:ind w:right="120" w:firstLine="644"/>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楷体" w:hAnsi="楷体" w:eastAsia="楷体" w:cs="楷体"/>
          <w:b/>
          <w:bCs/>
          <w:color w:val="000000" w:themeColor="text1"/>
          <w:spacing w:val="9"/>
          <w:sz w:val="31"/>
          <w:szCs w:val="31"/>
          <w:highlight w:val="none"/>
          <w:u w:val="none"/>
          <w14:textFill>
            <w14:solidFill>
              <w14:schemeClr w14:val="tx1"/>
            </w14:solidFill>
          </w14:textFill>
        </w:rPr>
        <w:t>第十七条</w:t>
      </w:r>
      <w:r>
        <w:rPr>
          <w:rFonts w:hint="eastAsia" w:ascii="仿宋" w:hAnsi="仿宋" w:eastAsia="仿宋" w:cs="仿宋"/>
          <w:color w:val="000000" w:themeColor="text1"/>
          <w:spacing w:val="9"/>
          <w:sz w:val="31"/>
          <w:szCs w:val="31"/>
          <w:highlight w:val="none"/>
          <w:u w:val="none"/>
          <w:lang w:val="en-US" w:eastAsia="zh-CN"/>
          <w14:textFill>
            <w14:solidFill>
              <w14:schemeClr w14:val="tx1"/>
            </w14:solidFill>
          </w14:textFill>
        </w:rPr>
        <w:t xml:space="preserve"> 行政单位</w:t>
      </w:r>
      <w:r>
        <w:rPr>
          <w:rFonts w:ascii="仿宋" w:hAnsi="仿宋" w:eastAsia="仿宋" w:cs="仿宋"/>
          <w:color w:val="000000" w:themeColor="text1"/>
          <w:spacing w:val="9"/>
          <w:sz w:val="31"/>
          <w:szCs w:val="31"/>
          <w:highlight w:val="none"/>
          <w:u w:val="none"/>
          <w14:textFill>
            <w14:solidFill>
              <w14:schemeClr w14:val="tx1"/>
            </w14:solidFill>
          </w14:textFill>
        </w:rPr>
        <w:t>国有资产应当用于本单位履行职</w:t>
      </w:r>
      <w:r>
        <w:rPr>
          <w:rFonts w:ascii="仿宋" w:hAnsi="仿宋" w:eastAsia="仿宋" w:cs="仿宋"/>
          <w:color w:val="000000" w:themeColor="text1"/>
          <w:spacing w:val="8"/>
          <w:sz w:val="31"/>
          <w:szCs w:val="31"/>
          <w:highlight w:val="none"/>
          <w:u w:val="none"/>
          <w14:textFill>
            <w14:solidFill>
              <w14:schemeClr w14:val="tx1"/>
            </w14:solidFill>
          </w14:textFill>
        </w:rPr>
        <w:t>能的需</w:t>
      </w:r>
      <w:r>
        <w:rPr>
          <w:rFonts w:ascii="仿宋" w:hAnsi="仿宋" w:eastAsia="仿宋" w:cs="仿宋"/>
          <w:color w:val="000000" w:themeColor="text1"/>
          <w:spacing w:val="4"/>
          <w:sz w:val="31"/>
          <w:szCs w:val="31"/>
          <w:highlight w:val="none"/>
          <w:u w:val="none"/>
          <w14:textFill>
            <w14:solidFill>
              <w14:schemeClr w14:val="tx1"/>
            </w14:solidFill>
          </w14:textFill>
        </w:rPr>
        <w:t>要。除国家法律另有规定外，行政单位不得以任何形式将国有资</w:t>
      </w:r>
      <w:r>
        <w:rPr>
          <w:rFonts w:ascii="仿宋" w:hAnsi="仿宋" w:eastAsia="仿宋" w:cs="仿宋"/>
          <w:color w:val="000000" w:themeColor="text1"/>
          <w:spacing w:val="-1"/>
          <w:sz w:val="31"/>
          <w:szCs w:val="31"/>
          <w:highlight w:val="none"/>
          <w:u w:val="none"/>
          <w14:textFill>
            <w14:solidFill>
              <w14:schemeClr w14:val="tx1"/>
            </w14:solidFill>
          </w14:textFill>
        </w:rPr>
        <w:t>产用于对外投资或者设立营利性组织。</w:t>
      </w:r>
    </w:p>
    <w:p w14:paraId="34288475">
      <w:pPr>
        <w:keepNext w:val="0"/>
        <w:keepLines w:val="0"/>
        <w:pageBreakBefore w:val="0"/>
        <w:widowControl/>
        <w:kinsoku w:val="0"/>
        <w:wordWrap/>
        <w:overflowPunct/>
        <w:topLinePunct w:val="0"/>
        <w:autoSpaceDE w:val="0"/>
        <w:autoSpaceDN w:val="0"/>
        <w:bidi w:val="0"/>
        <w:adjustRightInd w:val="0"/>
        <w:snapToGrid w:val="0"/>
        <w:spacing w:before="47" w:line="560" w:lineRule="exact"/>
        <w:ind w:left="639"/>
        <w:jc w:val="both"/>
        <w:textAlignment w:val="baseline"/>
        <w:rPr>
          <w:rFonts w:ascii="仿宋" w:hAnsi="仿宋" w:eastAsia="仿宋" w:cs="仿宋"/>
          <w:color w:val="000000" w:themeColor="text1"/>
          <w:spacing w:val="1"/>
          <w:sz w:val="31"/>
          <w:szCs w:val="31"/>
          <w:highlight w:val="none"/>
          <w:u w:val="none"/>
          <w14:textFill>
            <w14:solidFill>
              <w14:schemeClr w14:val="tx1"/>
            </w14:solidFill>
          </w14:textFill>
        </w:rPr>
      </w:pPr>
      <w:r>
        <w:rPr>
          <w:rFonts w:ascii="仿宋" w:hAnsi="仿宋" w:eastAsia="仿宋" w:cs="仿宋"/>
          <w:color w:val="000000" w:themeColor="text1"/>
          <w:spacing w:val="1"/>
          <w:sz w:val="31"/>
          <w:szCs w:val="31"/>
          <w:highlight w:val="none"/>
          <w:u w:val="none"/>
          <w14:textFill>
            <w14:solidFill>
              <w14:schemeClr w14:val="tx1"/>
            </w14:solidFill>
          </w14:textFill>
        </w:rPr>
        <w:t>事业单位国有资产应当用于保障事业发展、提供公共服务。</w:t>
      </w:r>
    </w:p>
    <w:p w14:paraId="47515F6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7" w:line="560" w:lineRule="exact"/>
        <w:ind w:firstLine="658" w:firstLineChars="200"/>
        <w:jc w:val="both"/>
        <w:textAlignment w:val="baseline"/>
        <w:rPr>
          <w:rFonts w:ascii="仿宋" w:hAnsi="仿宋" w:eastAsia="仿宋" w:cs="仿宋"/>
          <w:color w:val="000000" w:themeColor="text1"/>
          <w:spacing w:val="1"/>
          <w:sz w:val="31"/>
          <w:szCs w:val="31"/>
          <w:highlight w:val="none"/>
          <w:u w:val="none"/>
          <w14:textFill>
            <w14:solidFill>
              <w14:schemeClr w14:val="tx1"/>
            </w14:solidFill>
          </w14:textFill>
        </w:rPr>
      </w:pPr>
      <w:r>
        <w:rPr>
          <w:rFonts w:hint="eastAsia" w:ascii="楷体" w:hAnsi="楷体" w:eastAsia="楷体" w:cs="楷体"/>
          <w:b/>
          <w:bCs/>
          <w:color w:val="000000" w:themeColor="text1"/>
          <w:spacing w:val="9"/>
          <w:sz w:val="31"/>
          <w:szCs w:val="31"/>
          <w:highlight w:val="none"/>
          <w:u w:val="none"/>
          <w:lang w:val="en-US" w:eastAsia="zh-CN"/>
          <w14:textFill>
            <w14:solidFill>
              <w14:schemeClr w14:val="tx1"/>
            </w14:solidFill>
          </w14:textFill>
        </w:rPr>
        <w:t xml:space="preserve">第十八条 </w:t>
      </w:r>
      <w:r>
        <w:rPr>
          <w:rFonts w:hint="eastAsia" w:ascii="仿宋" w:hAnsi="仿宋" w:eastAsia="仿宋" w:cs="仿宋"/>
          <w:color w:val="000000" w:themeColor="text1"/>
          <w:spacing w:val="1"/>
          <w:sz w:val="31"/>
          <w:szCs w:val="31"/>
          <w:highlight w:val="none"/>
          <w:u w:val="none"/>
          <w:lang w:val="en-US" w:eastAsia="zh-CN"/>
          <w14:textFill>
            <w14:solidFill>
              <w14:schemeClr w14:val="tx1"/>
            </w14:solidFill>
          </w14:textFill>
        </w:rPr>
        <w:t>逐步将行政事业单位</w:t>
      </w:r>
      <w:r>
        <w:rPr>
          <w:rFonts w:ascii="仿宋" w:hAnsi="仿宋" w:eastAsia="仿宋" w:cs="仿宋"/>
          <w:color w:val="000000" w:themeColor="text1"/>
          <w:spacing w:val="1"/>
          <w:sz w:val="31"/>
          <w:szCs w:val="31"/>
          <w:highlight w:val="none"/>
          <w:u w:val="none"/>
          <w14:textFill>
            <w14:solidFill>
              <w14:schemeClr w14:val="tx1"/>
            </w14:solidFill>
          </w14:textFill>
        </w:rPr>
        <w:t>名下与其行使公共职能或发展公共事业无关的企业、土地、房屋等经营性资产实行“集中统一管理、收支两条线”的管理体制，由</w:t>
      </w:r>
      <w:r>
        <w:rPr>
          <w:rFonts w:hint="eastAsia" w:ascii="仿宋" w:hAnsi="仿宋" w:eastAsia="仿宋" w:cs="仿宋"/>
          <w:color w:val="000000" w:themeColor="text1"/>
          <w:spacing w:val="1"/>
          <w:sz w:val="31"/>
          <w:szCs w:val="31"/>
          <w:highlight w:val="none"/>
          <w:u w:val="none"/>
          <w:lang w:eastAsia="zh-CN"/>
          <w14:textFill>
            <w14:solidFill>
              <w14:schemeClr w14:val="tx1"/>
            </w14:solidFill>
          </w14:textFill>
        </w:rPr>
        <w:t>县机关事务服务中心</w:t>
      </w:r>
      <w:r>
        <w:rPr>
          <w:rFonts w:ascii="仿宋" w:hAnsi="仿宋" w:eastAsia="仿宋" w:cs="仿宋"/>
          <w:color w:val="000000" w:themeColor="text1"/>
          <w:spacing w:val="1"/>
          <w:sz w:val="31"/>
          <w:szCs w:val="31"/>
          <w:highlight w:val="none"/>
          <w:u w:val="none"/>
          <w14:textFill>
            <w14:solidFill>
              <w14:schemeClr w14:val="tx1"/>
            </w14:solidFill>
          </w14:textFill>
        </w:rPr>
        <w:t>统一管理。</w:t>
      </w:r>
    </w:p>
    <w:p w14:paraId="6FF520D6">
      <w:pPr>
        <w:keepNext w:val="0"/>
        <w:keepLines w:val="0"/>
        <w:pageBreakBefore w:val="0"/>
        <w:widowControl/>
        <w:kinsoku w:val="0"/>
        <w:wordWrap/>
        <w:overflowPunct/>
        <w:topLinePunct w:val="0"/>
        <w:autoSpaceDE w:val="0"/>
        <w:autoSpaceDN w:val="0"/>
        <w:bidi w:val="0"/>
        <w:adjustRightInd w:val="0"/>
        <w:snapToGrid w:val="0"/>
        <w:spacing w:before="102" w:line="560" w:lineRule="exact"/>
        <w:jc w:val="center"/>
        <w:textAlignment w:val="baseline"/>
        <w:outlineLvl w:val="0"/>
        <w:rPr>
          <w:rFonts w:ascii="黑体" w:hAnsi="黑体" w:eastAsia="黑体" w:cs="黑体"/>
          <w:color w:val="000000" w:themeColor="text1"/>
          <w:sz w:val="31"/>
          <w:szCs w:val="31"/>
          <w:highlight w:val="none"/>
          <w:u w:val="none"/>
          <w14:textFill>
            <w14:solidFill>
              <w14:schemeClr w14:val="tx1"/>
            </w14:solidFill>
          </w14:textFill>
        </w:rPr>
      </w:pPr>
      <w:r>
        <w:rPr>
          <w:rFonts w:ascii="黑体" w:hAnsi="黑体" w:eastAsia="黑体" w:cs="黑体"/>
          <w:b/>
          <w:bCs/>
          <w:color w:val="000000" w:themeColor="text1"/>
          <w:spacing w:val="38"/>
          <w:sz w:val="31"/>
          <w:szCs w:val="31"/>
          <w:highlight w:val="none"/>
          <w:u w:val="none"/>
          <w14:textFill>
            <w14:solidFill>
              <w14:schemeClr w14:val="tx1"/>
            </w14:solidFill>
          </w14:textFill>
        </w:rPr>
        <w:t>第三章</w:t>
      </w:r>
      <w:r>
        <w:rPr>
          <w:rFonts w:hint="eastAsia" w:ascii="黑体" w:hAnsi="黑体" w:eastAsia="黑体" w:cs="黑体"/>
          <w:b/>
          <w:bCs/>
          <w:color w:val="000000" w:themeColor="text1"/>
          <w:spacing w:val="38"/>
          <w:sz w:val="31"/>
          <w:szCs w:val="31"/>
          <w:highlight w:val="none"/>
          <w:u w:val="none"/>
          <w:lang w:val="en-US" w:eastAsia="zh-CN"/>
          <w14:textFill>
            <w14:solidFill>
              <w14:schemeClr w14:val="tx1"/>
            </w14:solidFill>
          </w14:textFill>
        </w:rPr>
        <w:t xml:space="preserve">  </w:t>
      </w:r>
      <w:r>
        <w:rPr>
          <w:rFonts w:ascii="黑体" w:hAnsi="黑体" w:eastAsia="黑体" w:cs="黑体"/>
          <w:b/>
          <w:bCs/>
          <w:color w:val="000000" w:themeColor="text1"/>
          <w:spacing w:val="38"/>
          <w:sz w:val="31"/>
          <w:szCs w:val="31"/>
          <w:highlight w:val="none"/>
          <w:u w:val="none"/>
          <w14:textFill>
            <w14:solidFill>
              <w14:schemeClr w14:val="tx1"/>
            </w14:solidFill>
          </w14:textFill>
        </w:rPr>
        <w:t>资产处置</w:t>
      </w:r>
    </w:p>
    <w:p w14:paraId="38B94C52">
      <w:pPr>
        <w:keepNext w:val="0"/>
        <w:keepLines w:val="0"/>
        <w:pageBreakBefore w:val="0"/>
        <w:widowControl/>
        <w:kinsoku w:val="0"/>
        <w:wordWrap/>
        <w:overflowPunct/>
        <w:topLinePunct w:val="0"/>
        <w:autoSpaceDE w:val="0"/>
        <w:autoSpaceDN w:val="0"/>
        <w:bidi w:val="0"/>
        <w:adjustRightInd w:val="0"/>
        <w:snapToGrid w:val="0"/>
        <w:spacing w:before="191" w:line="560" w:lineRule="exact"/>
        <w:ind w:right="133" w:firstLine="644"/>
        <w:jc w:val="both"/>
        <w:textAlignment w:val="baseline"/>
        <w:rPr>
          <w:rFonts w:ascii="仿宋" w:hAnsi="仿宋" w:eastAsia="仿宋" w:cs="仿宋"/>
          <w:color w:val="000000" w:themeColor="text1"/>
          <w:sz w:val="31"/>
          <w:szCs w:val="31"/>
          <w:highlight w:val="none"/>
          <w:u w:val="none"/>
          <w14:textFill>
            <w14:solidFill>
              <w14:schemeClr w14:val="tx1"/>
            </w14:solidFill>
          </w14:textFill>
        </w:rPr>
      </w:pPr>
      <w:r>
        <w:rPr>
          <w:rFonts w:ascii="楷体" w:hAnsi="楷体" w:eastAsia="楷体" w:cs="楷体"/>
          <w:b/>
          <w:bCs/>
          <w:color w:val="000000" w:themeColor="text1"/>
          <w:spacing w:val="10"/>
          <w:sz w:val="31"/>
          <w:szCs w:val="31"/>
          <w:highlight w:val="none"/>
          <w:u w:val="none"/>
          <w14:textFill>
            <w14:solidFill>
              <w14:schemeClr w14:val="tx1"/>
            </w14:solidFill>
          </w14:textFill>
        </w:rPr>
        <w:t>第十九条</w:t>
      </w:r>
      <w:r>
        <w:rPr>
          <w:rFonts w:hint="eastAsia" w:ascii="楷体" w:hAnsi="楷体" w:eastAsia="楷体" w:cs="楷体"/>
          <w:b/>
          <w:bCs/>
          <w:color w:val="000000" w:themeColor="text1"/>
          <w:spacing w:val="10"/>
          <w:sz w:val="31"/>
          <w:szCs w:val="31"/>
          <w:highlight w:val="none"/>
          <w:u w:val="none"/>
          <w:lang w:val="en-US" w:eastAsia="zh-CN"/>
          <w14:textFill>
            <w14:solidFill>
              <w14:schemeClr w14:val="tx1"/>
            </w14:solidFill>
          </w14:textFill>
        </w:rPr>
        <w:t xml:space="preserve">  </w:t>
      </w:r>
      <w:r>
        <w:rPr>
          <w:rFonts w:ascii="仿宋" w:hAnsi="仿宋" w:eastAsia="仿宋" w:cs="仿宋"/>
          <w:color w:val="000000" w:themeColor="text1"/>
          <w:spacing w:val="10"/>
          <w:sz w:val="31"/>
          <w:szCs w:val="31"/>
          <w:highlight w:val="none"/>
          <w:u w:val="none"/>
          <w14:textFill>
            <w14:solidFill>
              <w14:schemeClr w14:val="tx1"/>
            </w14:solidFill>
          </w14:textFill>
        </w:rPr>
        <w:t>本办法所称的</w:t>
      </w:r>
      <w:r>
        <w:rPr>
          <w:rFonts w:hint="eastAsia" w:ascii="仿宋" w:hAnsi="仿宋" w:eastAsia="仿宋" w:cs="仿宋"/>
          <w:color w:val="000000" w:themeColor="text1"/>
          <w:spacing w:val="10"/>
          <w:sz w:val="31"/>
          <w:szCs w:val="31"/>
          <w:highlight w:val="none"/>
          <w:u w:val="none"/>
          <w:lang w:eastAsia="zh-CN"/>
          <w14:textFill>
            <w14:solidFill>
              <w14:schemeClr w14:val="tx1"/>
            </w14:solidFill>
          </w14:textFill>
        </w:rPr>
        <w:t>行政事业单位</w:t>
      </w:r>
      <w:r>
        <w:rPr>
          <w:rFonts w:ascii="仿宋" w:hAnsi="仿宋" w:eastAsia="仿宋" w:cs="仿宋"/>
          <w:color w:val="000000" w:themeColor="text1"/>
          <w:spacing w:val="10"/>
          <w:sz w:val="31"/>
          <w:szCs w:val="31"/>
          <w:highlight w:val="none"/>
          <w:u w:val="none"/>
          <w14:textFill>
            <w14:solidFill>
              <w14:schemeClr w14:val="tx1"/>
            </w14:solidFill>
          </w14:textFill>
        </w:rPr>
        <w:t>国有资产处置是指</w:t>
      </w:r>
      <w:r>
        <w:rPr>
          <w:rFonts w:hint="eastAsia" w:ascii="仿宋" w:hAnsi="仿宋" w:eastAsia="仿宋" w:cs="仿宋"/>
          <w:color w:val="000000" w:themeColor="text1"/>
          <w:spacing w:val="10"/>
          <w:sz w:val="31"/>
          <w:szCs w:val="31"/>
          <w:highlight w:val="none"/>
          <w:u w:val="none"/>
          <w:lang w:eastAsia="zh-CN"/>
          <w14:textFill>
            <w14:solidFill>
              <w14:schemeClr w14:val="tx1"/>
            </w14:solidFill>
          </w14:textFill>
        </w:rPr>
        <w:t>行政事业单位</w:t>
      </w:r>
      <w:r>
        <w:rPr>
          <w:rFonts w:ascii="仿宋" w:hAnsi="仿宋" w:eastAsia="仿宋" w:cs="仿宋"/>
          <w:color w:val="000000" w:themeColor="text1"/>
          <w:spacing w:val="3"/>
          <w:sz w:val="31"/>
          <w:szCs w:val="31"/>
          <w:highlight w:val="none"/>
          <w:u w:val="none"/>
          <w14:textFill>
            <w14:solidFill>
              <w14:schemeClr w14:val="tx1"/>
            </w14:solidFill>
          </w14:textFill>
        </w:rPr>
        <w:t>对其占有、使用的资产，进行产权转移或核销的行为。处置方</w:t>
      </w:r>
      <w:r>
        <w:rPr>
          <w:rFonts w:ascii="仿宋" w:hAnsi="仿宋" w:eastAsia="仿宋" w:cs="仿宋"/>
          <w:color w:val="000000" w:themeColor="text1"/>
          <w:spacing w:val="1"/>
          <w:sz w:val="31"/>
          <w:szCs w:val="31"/>
          <w:highlight w:val="none"/>
          <w:u w:val="none"/>
          <w14:textFill>
            <w14:solidFill>
              <w14:schemeClr w14:val="tx1"/>
            </w14:solidFill>
          </w14:textFill>
        </w:rPr>
        <w:t>式包括无偿划转、对外捐赠、转让、置换、报废、损失核销等。</w:t>
      </w:r>
    </w:p>
    <w:p w14:paraId="30CC115E">
      <w:pPr>
        <w:keepNext w:val="0"/>
        <w:keepLines w:val="0"/>
        <w:pageBreakBefore w:val="0"/>
        <w:widowControl/>
        <w:kinsoku w:val="0"/>
        <w:wordWrap/>
        <w:overflowPunct/>
        <w:topLinePunct w:val="0"/>
        <w:autoSpaceDE w:val="0"/>
        <w:autoSpaceDN w:val="0"/>
        <w:bidi w:val="0"/>
        <w:adjustRightInd w:val="0"/>
        <w:snapToGrid w:val="0"/>
        <w:spacing w:before="104" w:line="560" w:lineRule="exact"/>
        <w:ind w:left="7" w:right="123" w:firstLine="654" w:firstLineChars="200"/>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ascii="楷体" w:hAnsi="楷体" w:eastAsia="楷体" w:cs="楷体"/>
          <w:b/>
          <w:bCs/>
          <w:color w:val="000000" w:themeColor="text1"/>
          <w:spacing w:val="8"/>
          <w:sz w:val="31"/>
          <w:szCs w:val="31"/>
          <w:highlight w:val="none"/>
          <w:u w:val="none"/>
          <w14:textFill>
            <w14:solidFill>
              <w14:schemeClr w14:val="tx1"/>
            </w14:solidFill>
          </w14:textFill>
        </w:rPr>
        <w:t>第二十条</w:t>
      </w:r>
      <w:r>
        <w:rPr>
          <w:rFonts w:hint="eastAsia" w:ascii="楷体" w:hAnsi="楷体" w:eastAsia="楷体" w:cs="楷体"/>
          <w:b/>
          <w:bCs/>
          <w:color w:val="000000" w:themeColor="text1"/>
          <w:spacing w:val="8"/>
          <w:sz w:val="31"/>
          <w:szCs w:val="31"/>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pacing w:val="8"/>
          <w:sz w:val="31"/>
          <w:szCs w:val="31"/>
          <w:highlight w:val="none"/>
          <w:u w:val="none"/>
          <w:lang w:eastAsia="zh-CN"/>
          <w14:textFill>
            <w14:solidFill>
              <w14:schemeClr w14:val="tx1"/>
            </w14:solidFill>
          </w14:textFill>
        </w:rPr>
        <w:t>行政事业单位</w:t>
      </w:r>
      <w:r>
        <w:rPr>
          <w:rFonts w:ascii="仿宋" w:hAnsi="仿宋" w:eastAsia="仿宋" w:cs="仿宋"/>
          <w:color w:val="000000" w:themeColor="text1"/>
          <w:spacing w:val="8"/>
          <w:sz w:val="31"/>
          <w:szCs w:val="31"/>
          <w:highlight w:val="none"/>
          <w:u w:val="none"/>
          <w14:textFill>
            <w14:solidFill>
              <w14:schemeClr w14:val="tx1"/>
            </w14:solidFill>
          </w14:textFill>
        </w:rPr>
        <w:t>国有资产处置应当遵循法律法规的有关</w:t>
      </w:r>
      <w:r>
        <w:rPr>
          <w:rFonts w:ascii="仿宋" w:hAnsi="仿宋" w:eastAsia="仿宋" w:cs="仿宋"/>
          <w:color w:val="000000" w:themeColor="text1"/>
          <w:spacing w:val="5"/>
          <w:sz w:val="32"/>
          <w:szCs w:val="32"/>
          <w:highlight w:val="none"/>
          <w:u w:val="none"/>
          <w14:textFill>
            <w14:solidFill>
              <w14:schemeClr w14:val="tx1"/>
            </w14:solidFill>
          </w14:textFill>
        </w:rPr>
        <w:t>规定，完善资产处置审批、评估、拍卖、报废、回收等工作规</w:t>
      </w:r>
      <w:r>
        <w:rPr>
          <w:rFonts w:ascii="仿宋" w:hAnsi="仿宋" w:eastAsia="仿宋" w:cs="仿宋"/>
          <w:color w:val="000000" w:themeColor="text1"/>
          <w:spacing w:val="-7"/>
          <w:sz w:val="32"/>
          <w:szCs w:val="32"/>
          <w:highlight w:val="none"/>
          <w:u w:val="none"/>
          <w14:textFill>
            <w14:solidFill>
              <w14:schemeClr w14:val="tx1"/>
            </w14:solidFill>
          </w14:textFill>
        </w:rPr>
        <w:t>程，厉行公开、公平、公正、节约、科学合理，与资产配置、使</w:t>
      </w:r>
      <w:r>
        <w:rPr>
          <w:rFonts w:ascii="仿宋" w:hAnsi="仿宋" w:eastAsia="仿宋" w:cs="仿宋"/>
          <w:color w:val="000000" w:themeColor="text1"/>
          <w:spacing w:val="-14"/>
          <w:sz w:val="32"/>
          <w:szCs w:val="32"/>
          <w:highlight w:val="none"/>
          <w:u w:val="none"/>
          <w14:textFill>
            <w14:solidFill>
              <w14:schemeClr w14:val="tx1"/>
            </w14:solidFill>
          </w14:textFill>
        </w:rPr>
        <w:t>用相结合的原则。</w:t>
      </w:r>
    </w:p>
    <w:p w14:paraId="075B353B">
      <w:pPr>
        <w:keepNext w:val="0"/>
        <w:keepLines w:val="0"/>
        <w:pageBreakBefore w:val="0"/>
        <w:widowControl/>
        <w:kinsoku w:val="0"/>
        <w:wordWrap/>
        <w:overflowPunct/>
        <w:topLinePunct w:val="0"/>
        <w:autoSpaceDE w:val="0"/>
        <w:autoSpaceDN w:val="0"/>
        <w:bidi w:val="0"/>
        <w:adjustRightInd w:val="0"/>
        <w:snapToGrid w:val="0"/>
        <w:spacing w:before="75" w:line="560" w:lineRule="exact"/>
        <w:ind w:left="671"/>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ascii="楷体" w:hAnsi="楷体" w:eastAsia="楷体" w:cs="楷体"/>
          <w:b/>
          <w:bCs/>
          <w:color w:val="000000" w:themeColor="text1"/>
          <w:spacing w:val="-8"/>
          <w:sz w:val="32"/>
          <w:szCs w:val="32"/>
          <w:highlight w:val="none"/>
          <w:u w:val="none"/>
          <w14:textFill>
            <w14:solidFill>
              <w14:schemeClr w14:val="tx1"/>
            </w14:solidFill>
          </w14:textFill>
        </w:rPr>
        <w:t>第二十一条</w:t>
      </w:r>
      <w:r>
        <w:rPr>
          <w:rFonts w:hint="eastAsia" w:ascii="楷体" w:hAnsi="楷体" w:eastAsia="楷体" w:cs="楷体"/>
          <w:b/>
          <w:bCs/>
          <w:color w:val="000000" w:themeColor="text1"/>
          <w:spacing w:val="-8"/>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pacing w:val="-8"/>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8"/>
          <w:sz w:val="32"/>
          <w:szCs w:val="32"/>
          <w:highlight w:val="none"/>
          <w:u w:val="none"/>
          <w14:textFill>
            <w14:solidFill>
              <w14:schemeClr w14:val="tx1"/>
            </w14:solidFill>
          </w14:textFill>
        </w:rPr>
        <w:t>国有资产处置范围包括：</w:t>
      </w:r>
    </w:p>
    <w:p w14:paraId="361559D8">
      <w:pPr>
        <w:keepNext w:val="0"/>
        <w:keepLines w:val="0"/>
        <w:pageBreakBefore w:val="0"/>
        <w:widowControl/>
        <w:kinsoku w:val="0"/>
        <w:wordWrap/>
        <w:overflowPunct/>
        <w:topLinePunct w:val="0"/>
        <w:autoSpaceDE w:val="0"/>
        <w:autoSpaceDN w:val="0"/>
        <w:bidi w:val="0"/>
        <w:adjustRightInd w:val="0"/>
        <w:snapToGrid w:val="0"/>
        <w:spacing w:before="196" w:line="560" w:lineRule="exact"/>
        <w:ind w:left="667"/>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ascii="仿宋" w:hAnsi="仿宋" w:eastAsia="仿宋" w:cs="仿宋"/>
          <w:color w:val="000000" w:themeColor="text1"/>
          <w:spacing w:val="-2"/>
          <w:sz w:val="32"/>
          <w:szCs w:val="32"/>
          <w:highlight w:val="none"/>
          <w:u w:val="none"/>
          <w14:textFill>
            <w14:solidFill>
              <w14:schemeClr w14:val="tx1"/>
            </w14:solidFill>
          </w14:textFill>
        </w:rPr>
        <w:t>(一)闲置资产；</w:t>
      </w:r>
    </w:p>
    <w:p w14:paraId="2B854CF1">
      <w:pPr>
        <w:keepNext w:val="0"/>
        <w:keepLines w:val="0"/>
        <w:pageBreakBefore w:val="0"/>
        <w:widowControl/>
        <w:kinsoku w:val="0"/>
        <w:wordWrap/>
        <w:overflowPunct/>
        <w:topLinePunct w:val="0"/>
        <w:autoSpaceDE w:val="0"/>
        <w:autoSpaceDN w:val="0"/>
        <w:bidi w:val="0"/>
        <w:adjustRightInd w:val="0"/>
        <w:snapToGrid w:val="0"/>
        <w:spacing w:before="207" w:line="560" w:lineRule="exact"/>
        <w:ind w:left="667"/>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ascii="仿宋" w:hAnsi="仿宋" w:eastAsia="仿宋" w:cs="仿宋"/>
          <w:color w:val="000000" w:themeColor="text1"/>
          <w:spacing w:val="-3"/>
          <w:sz w:val="32"/>
          <w:szCs w:val="32"/>
          <w:highlight w:val="none"/>
          <w:u w:val="none"/>
          <w14:textFill>
            <w14:solidFill>
              <w14:schemeClr w14:val="tx1"/>
            </w14:solidFill>
          </w14:textFill>
        </w:rPr>
        <w:t>(二)超标准配置的资产；</w:t>
      </w:r>
    </w:p>
    <w:p w14:paraId="045C883D">
      <w:pPr>
        <w:keepNext w:val="0"/>
        <w:keepLines w:val="0"/>
        <w:pageBreakBefore w:val="0"/>
        <w:widowControl/>
        <w:kinsoku w:val="0"/>
        <w:wordWrap/>
        <w:overflowPunct/>
        <w:topLinePunct w:val="0"/>
        <w:autoSpaceDE w:val="0"/>
        <w:autoSpaceDN w:val="0"/>
        <w:bidi w:val="0"/>
        <w:adjustRightInd w:val="0"/>
        <w:snapToGrid w:val="0"/>
        <w:spacing w:before="212" w:line="560" w:lineRule="exact"/>
        <w:ind w:left="667"/>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ascii="仿宋" w:hAnsi="仿宋" w:eastAsia="仿宋" w:cs="仿宋"/>
          <w:color w:val="000000" w:themeColor="text1"/>
          <w:spacing w:val="5"/>
          <w:sz w:val="32"/>
          <w:szCs w:val="32"/>
          <w:highlight w:val="none"/>
          <w:u w:val="none"/>
          <w14:textFill>
            <w14:solidFill>
              <w14:schemeClr w14:val="tx1"/>
            </w14:solidFill>
          </w14:textFill>
        </w:rPr>
        <w:t>(三)因技术原因确需淘汰或者无法维修、无维修价值的资</w:t>
      </w:r>
    </w:p>
    <w:p w14:paraId="63A29598">
      <w:pPr>
        <w:keepNext w:val="0"/>
        <w:keepLines w:val="0"/>
        <w:pageBreakBefore w:val="0"/>
        <w:widowControl/>
        <w:kinsoku w:val="0"/>
        <w:wordWrap/>
        <w:overflowPunct/>
        <w:topLinePunct w:val="0"/>
        <w:autoSpaceDE w:val="0"/>
        <w:autoSpaceDN w:val="0"/>
        <w:bidi w:val="0"/>
        <w:adjustRightInd w:val="0"/>
        <w:snapToGrid w:val="0"/>
        <w:spacing w:before="212" w:line="560" w:lineRule="exact"/>
        <w:jc w:val="both"/>
        <w:textAlignment w:val="baseline"/>
        <w:rPr>
          <w:rFonts w:ascii="仿宋" w:hAnsi="仿宋" w:eastAsia="仿宋" w:cs="仿宋"/>
          <w:color w:val="000000" w:themeColor="text1"/>
          <w:spacing w:val="5"/>
          <w:sz w:val="32"/>
          <w:szCs w:val="32"/>
          <w:highlight w:val="none"/>
          <w:u w:val="none"/>
          <w14:textFill>
            <w14:solidFill>
              <w14:schemeClr w14:val="tx1"/>
            </w14:solidFill>
          </w14:textFill>
        </w:rPr>
      </w:pPr>
      <w:r>
        <w:rPr>
          <w:rFonts w:ascii="仿宋" w:hAnsi="仿宋" w:eastAsia="仿宋" w:cs="仿宋"/>
          <w:color w:val="000000" w:themeColor="text1"/>
          <w:spacing w:val="5"/>
          <w:sz w:val="32"/>
          <w:szCs w:val="32"/>
          <w:highlight w:val="none"/>
          <w:u w:val="none"/>
          <w14:textFill>
            <w14:solidFill>
              <w14:schemeClr w14:val="tx1"/>
            </w14:solidFill>
          </w14:textFill>
        </w:rPr>
        <w:t>产；</w:t>
      </w:r>
    </w:p>
    <w:p w14:paraId="0C80F3D6">
      <w:pPr>
        <w:keepNext w:val="0"/>
        <w:keepLines w:val="0"/>
        <w:pageBreakBefore w:val="0"/>
        <w:widowControl/>
        <w:kinsoku w:val="0"/>
        <w:wordWrap/>
        <w:overflowPunct/>
        <w:topLinePunct w:val="0"/>
        <w:autoSpaceDE w:val="0"/>
        <w:autoSpaceDN w:val="0"/>
        <w:bidi w:val="0"/>
        <w:adjustRightInd w:val="0"/>
        <w:snapToGrid w:val="0"/>
        <w:spacing w:before="208" w:line="560" w:lineRule="exact"/>
        <w:ind w:left="7" w:right="122" w:firstLine="659"/>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ascii="仿宋" w:hAnsi="仿宋" w:eastAsia="仿宋" w:cs="仿宋"/>
          <w:color w:val="000000" w:themeColor="text1"/>
          <w:spacing w:val="5"/>
          <w:sz w:val="32"/>
          <w:szCs w:val="32"/>
          <w:highlight w:val="none"/>
          <w:u w:val="none"/>
          <w14:textFill>
            <w14:solidFill>
              <w14:schemeClr w14:val="tx1"/>
            </w14:solidFill>
          </w14:textFill>
        </w:rPr>
        <w:t>(四)因单位分立、合并、改制、撤销、隶</w:t>
      </w:r>
      <w:r>
        <w:rPr>
          <w:rFonts w:ascii="仿宋" w:hAnsi="仿宋" w:eastAsia="仿宋" w:cs="仿宋"/>
          <w:color w:val="000000" w:themeColor="text1"/>
          <w:spacing w:val="4"/>
          <w:sz w:val="32"/>
          <w:szCs w:val="32"/>
          <w:highlight w:val="none"/>
          <w:u w:val="none"/>
          <w14:textFill>
            <w14:solidFill>
              <w14:schemeClr w14:val="tx1"/>
            </w14:solidFill>
          </w14:textFill>
        </w:rPr>
        <w:t>属关系改变或者</w:t>
      </w:r>
      <w:r>
        <w:rPr>
          <w:rFonts w:ascii="仿宋" w:hAnsi="仿宋" w:eastAsia="仿宋" w:cs="仿宋"/>
          <w:color w:val="000000" w:themeColor="text1"/>
          <w:spacing w:val="-10"/>
          <w:sz w:val="32"/>
          <w:szCs w:val="32"/>
          <w:highlight w:val="none"/>
          <w:u w:val="none"/>
          <w14:textFill>
            <w14:solidFill>
              <w14:schemeClr w14:val="tx1"/>
            </w14:solidFill>
          </w14:textFill>
        </w:rPr>
        <w:t>部分职能、业务调整等而移交的资产；</w:t>
      </w:r>
    </w:p>
    <w:p w14:paraId="202EDC60">
      <w:pPr>
        <w:keepNext w:val="0"/>
        <w:keepLines w:val="0"/>
        <w:pageBreakBefore w:val="0"/>
        <w:widowControl/>
        <w:kinsoku w:val="0"/>
        <w:wordWrap/>
        <w:overflowPunct/>
        <w:topLinePunct w:val="0"/>
        <w:autoSpaceDE w:val="0"/>
        <w:autoSpaceDN w:val="0"/>
        <w:bidi w:val="0"/>
        <w:adjustRightInd w:val="0"/>
        <w:snapToGrid w:val="0"/>
        <w:spacing w:before="208" w:line="560" w:lineRule="exact"/>
        <w:ind w:left="667"/>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ascii="仿宋" w:hAnsi="仿宋" w:eastAsia="仿宋" w:cs="仿宋"/>
          <w:color w:val="000000" w:themeColor="text1"/>
          <w:spacing w:val="-4"/>
          <w:sz w:val="32"/>
          <w:szCs w:val="32"/>
          <w:highlight w:val="none"/>
          <w:u w:val="none"/>
          <w14:textFill>
            <w14:solidFill>
              <w14:schemeClr w14:val="tx1"/>
            </w14:solidFill>
          </w14:textFill>
        </w:rPr>
        <w:t>(五)涉及盘亏等非正常损失的资产；</w:t>
      </w:r>
    </w:p>
    <w:p w14:paraId="56BB57A1">
      <w:pPr>
        <w:keepNext w:val="0"/>
        <w:keepLines w:val="0"/>
        <w:pageBreakBefore w:val="0"/>
        <w:widowControl/>
        <w:kinsoku w:val="0"/>
        <w:wordWrap/>
        <w:overflowPunct/>
        <w:topLinePunct w:val="0"/>
        <w:autoSpaceDE w:val="0"/>
        <w:autoSpaceDN w:val="0"/>
        <w:bidi w:val="0"/>
        <w:adjustRightInd w:val="0"/>
        <w:snapToGrid w:val="0"/>
        <w:spacing w:before="191" w:line="560" w:lineRule="exact"/>
        <w:ind w:left="667"/>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ascii="仿宋" w:hAnsi="仿宋" w:eastAsia="仿宋" w:cs="仿宋"/>
          <w:color w:val="000000" w:themeColor="text1"/>
          <w:spacing w:val="-4"/>
          <w:sz w:val="32"/>
          <w:szCs w:val="32"/>
          <w:highlight w:val="none"/>
          <w:u w:val="none"/>
          <w14:textFill>
            <w14:solidFill>
              <w14:schemeClr w14:val="tx1"/>
            </w14:solidFill>
          </w14:textFill>
        </w:rPr>
        <w:t>(六)已超过使用年限且无法满足现有工作需要的的资产；</w:t>
      </w:r>
    </w:p>
    <w:p w14:paraId="6A5C7986">
      <w:pPr>
        <w:keepNext w:val="0"/>
        <w:keepLines w:val="0"/>
        <w:pageBreakBefore w:val="0"/>
        <w:widowControl/>
        <w:kinsoku w:val="0"/>
        <w:wordWrap/>
        <w:overflowPunct/>
        <w:topLinePunct w:val="0"/>
        <w:autoSpaceDE w:val="0"/>
        <w:autoSpaceDN w:val="0"/>
        <w:bidi w:val="0"/>
        <w:adjustRightInd w:val="0"/>
        <w:snapToGrid w:val="0"/>
        <w:spacing w:before="233" w:line="560" w:lineRule="exact"/>
        <w:ind w:left="667"/>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ascii="仿宋" w:hAnsi="仿宋" w:eastAsia="仿宋" w:cs="仿宋"/>
          <w:color w:val="000000" w:themeColor="text1"/>
          <w:spacing w:val="-4"/>
          <w:sz w:val="32"/>
          <w:szCs w:val="32"/>
          <w:highlight w:val="none"/>
          <w:u w:val="none"/>
          <w14:textFill>
            <w14:solidFill>
              <w14:schemeClr w14:val="tx1"/>
            </w14:solidFill>
          </w14:textFill>
        </w:rPr>
        <w:t>(七)因自然灾害等不可抗力造成毁损、灭失的资产；</w:t>
      </w:r>
    </w:p>
    <w:p w14:paraId="7AC136CF">
      <w:pPr>
        <w:keepNext w:val="0"/>
        <w:keepLines w:val="0"/>
        <w:pageBreakBefore w:val="0"/>
        <w:widowControl/>
        <w:kinsoku w:val="0"/>
        <w:wordWrap/>
        <w:overflowPunct/>
        <w:topLinePunct w:val="0"/>
        <w:autoSpaceDE w:val="0"/>
        <w:autoSpaceDN w:val="0"/>
        <w:bidi w:val="0"/>
        <w:adjustRightInd w:val="0"/>
        <w:snapToGrid w:val="0"/>
        <w:spacing w:before="202" w:line="560" w:lineRule="exact"/>
        <w:ind w:left="667"/>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ascii="仿宋" w:hAnsi="仿宋" w:eastAsia="仿宋" w:cs="仿宋"/>
          <w:color w:val="000000" w:themeColor="text1"/>
          <w:spacing w:val="-2"/>
          <w:sz w:val="32"/>
          <w:szCs w:val="32"/>
          <w:highlight w:val="none"/>
          <w:u w:val="none"/>
          <w14:textFill>
            <w14:solidFill>
              <w14:schemeClr w14:val="tx1"/>
            </w14:solidFill>
          </w14:textFill>
        </w:rPr>
        <w:t>(八)需要处置的其他情形。</w:t>
      </w:r>
    </w:p>
    <w:p w14:paraId="32075B7B">
      <w:pPr>
        <w:keepNext w:val="0"/>
        <w:keepLines w:val="0"/>
        <w:pageBreakBefore w:val="0"/>
        <w:widowControl/>
        <w:kinsoku w:val="0"/>
        <w:wordWrap/>
        <w:overflowPunct/>
        <w:topLinePunct w:val="0"/>
        <w:autoSpaceDE w:val="0"/>
        <w:autoSpaceDN w:val="0"/>
        <w:bidi w:val="0"/>
        <w:adjustRightInd w:val="0"/>
        <w:snapToGrid w:val="0"/>
        <w:spacing w:before="191" w:line="560" w:lineRule="exact"/>
        <w:ind w:left="7" w:firstLine="659"/>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ascii="楷体" w:hAnsi="楷体" w:eastAsia="楷体" w:cs="楷体"/>
          <w:b/>
          <w:bCs/>
          <w:color w:val="000000" w:themeColor="text1"/>
          <w:spacing w:val="9"/>
          <w:sz w:val="31"/>
          <w:szCs w:val="31"/>
          <w:highlight w:val="none"/>
          <w:u w:val="none"/>
          <w14:textFill>
            <w14:solidFill>
              <w14:schemeClr w14:val="tx1"/>
            </w14:solidFill>
          </w14:textFill>
        </w:rPr>
        <w:t>第二十二条</w:t>
      </w:r>
      <w:r>
        <w:rPr>
          <w:rFonts w:ascii="仿宋" w:hAnsi="仿宋" w:eastAsia="仿宋" w:cs="仿宋"/>
          <w:color w:val="000000" w:themeColor="text1"/>
          <w:sz w:val="32"/>
          <w:szCs w:val="32"/>
          <w:highlight w:val="none"/>
          <w:u w:val="none"/>
          <w14:textFill>
            <w14:solidFill>
              <w14:schemeClr w14:val="tx1"/>
            </w14:solidFill>
          </w14:textFill>
        </w:rPr>
        <w:t>拟处置的</w:t>
      </w:r>
      <w:r>
        <w:rPr>
          <w:rFonts w:hint="eastAsia" w:ascii="仿宋" w:hAnsi="仿宋" w:eastAsia="仿宋" w:cs="仿宋"/>
          <w:color w:val="000000" w:themeColor="text1"/>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z w:val="32"/>
          <w:szCs w:val="32"/>
          <w:highlight w:val="none"/>
          <w:u w:val="none"/>
          <w14:textFill>
            <w14:solidFill>
              <w14:schemeClr w14:val="tx1"/>
            </w14:solidFill>
          </w14:textFill>
        </w:rPr>
        <w:t>国有资产权属应当清晰</w:t>
      </w:r>
      <w:r>
        <w:rPr>
          <w:rFonts w:ascii="仿宋" w:hAnsi="仿宋" w:eastAsia="仿宋" w:cs="仿宋"/>
          <w:color w:val="000000" w:themeColor="text1"/>
          <w:spacing w:val="-1"/>
          <w:sz w:val="32"/>
          <w:szCs w:val="32"/>
          <w:highlight w:val="none"/>
          <w:u w:val="none"/>
          <w14:textFill>
            <w14:solidFill>
              <w14:schemeClr w14:val="tx1"/>
            </w14:solidFill>
          </w14:textFill>
        </w:rPr>
        <w:t>，取</w:t>
      </w:r>
      <w:r>
        <w:rPr>
          <w:rFonts w:ascii="仿宋" w:hAnsi="仿宋" w:eastAsia="仿宋" w:cs="仿宋"/>
          <w:color w:val="000000" w:themeColor="text1"/>
          <w:spacing w:val="-6"/>
          <w:sz w:val="32"/>
          <w:szCs w:val="32"/>
          <w:highlight w:val="none"/>
          <w:u w:val="none"/>
          <w14:textFill>
            <w14:solidFill>
              <w14:schemeClr w14:val="tx1"/>
            </w14:solidFill>
          </w14:textFill>
        </w:rPr>
        <w:t>得或者形成的方式应当合法合规。权属关系不明确或者存在权属</w:t>
      </w:r>
      <w:r>
        <w:rPr>
          <w:rFonts w:ascii="仿宋" w:hAnsi="仿宋" w:eastAsia="仿宋" w:cs="仿宋"/>
          <w:color w:val="000000" w:themeColor="text1"/>
          <w:spacing w:val="-7"/>
          <w:sz w:val="32"/>
          <w:szCs w:val="32"/>
          <w:highlight w:val="none"/>
          <w:u w:val="none"/>
          <w14:textFill>
            <w14:solidFill>
              <w14:schemeClr w14:val="tx1"/>
            </w14:solidFill>
          </w14:textFill>
        </w:rPr>
        <w:t>纠纷的，应当按照有关规定界定权属后予以处置。被设置担保物</w:t>
      </w:r>
      <w:r>
        <w:rPr>
          <w:rFonts w:ascii="仿宋" w:hAnsi="仿宋" w:eastAsia="仿宋" w:cs="仿宋"/>
          <w:color w:val="000000" w:themeColor="text1"/>
          <w:spacing w:val="-2"/>
          <w:sz w:val="32"/>
          <w:szCs w:val="32"/>
          <w:highlight w:val="none"/>
          <w:u w:val="none"/>
          <w14:textFill>
            <w14:solidFill>
              <w14:schemeClr w14:val="tx1"/>
            </w14:solidFill>
          </w14:textFill>
        </w:rPr>
        <w:t>的</w:t>
      </w:r>
      <w:r>
        <w:rPr>
          <w:rFonts w:hint="eastAsia" w:ascii="仿宋" w:hAnsi="仿宋" w:eastAsia="仿宋" w:cs="仿宋"/>
          <w:color w:val="000000" w:themeColor="text1"/>
          <w:spacing w:val="-2"/>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2"/>
          <w:sz w:val="32"/>
          <w:szCs w:val="32"/>
          <w:highlight w:val="none"/>
          <w:u w:val="none"/>
          <w14:textFill>
            <w14:solidFill>
              <w14:schemeClr w14:val="tx1"/>
            </w14:solidFill>
          </w14:textFill>
        </w:rPr>
        <w:t>国有资产处置，应当符合《中华人民共和国民法典》</w:t>
      </w:r>
      <w:r>
        <w:rPr>
          <w:rFonts w:ascii="仿宋" w:hAnsi="仿宋" w:eastAsia="仿宋" w:cs="仿宋"/>
          <w:color w:val="000000" w:themeColor="text1"/>
          <w:spacing w:val="-14"/>
          <w:sz w:val="32"/>
          <w:szCs w:val="32"/>
          <w:highlight w:val="none"/>
          <w:u w:val="none"/>
          <w14:textFill>
            <w14:solidFill>
              <w14:schemeClr w14:val="tx1"/>
            </w14:solidFill>
          </w14:textFill>
        </w:rPr>
        <w:t>等法律的有关规定。</w:t>
      </w:r>
    </w:p>
    <w:p w14:paraId="7D8B5B67">
      <w:pPr>
        <w:keepNext w:val="0"/>
        <w:keepLines w:val="0"/>
        <w:pageBreakBefore w:val="0"/>
        <w:widowControl/>
        <w:kinsoku w:val="0"/>
        <w:wordWrap/>
        <w:overflowPunct/>
        <w:topLinePunct w:val="0"/>
        <w:autoSpaceDE w:val="0"/>
        <w:autoSpaceDN w:val="0"/>
        <w:bidi w:val="0"/>
        <w:adjustRightInd w:val="0"/>
        <w:snapToGrid w:val="0"/>
        <w:spacing w:before="104" w:line="560" w:lineRule="exact"/>
        <w:ind w:firstLine="658" w:firstLineChars="200"/>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ascii="楷体" w:hAnsi="楷体" w:eastAsia="楷体" w:cs="楷体"/>
          <w:b/>
          <w:bCs/>
          <w:color w:val="000000" w:themeColor="text1"/>
          <w:spacing w:val="9"/>
          <w:sz w:val="31"/>
          <w:szCs w:val="31"/>
          <w:highlight w:val="none"/>
          <w:u w:val="none"/>
          <w14:textFill>
            <w14:solidFill>
              <w14:schemeClr w14:val="tx1"/>
            </w14:solidFill>
          </w14:textFill>
        </w:rPr>
        <w:t>第二十三条</w:t>
      </w:r>
      <w:r>
        <w:rPr>
          <w:rFonts w:hint="eastAsia" w:ascii="仿宋" w:hAnsi="仿宋" w:eastAsia="仿宋" w:cs="仿宋"/>
          <w:color w:val="000000" w:themeColor="text1"/>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z w:val="32"/>
          <w:szCs w:val="32"/>
          <w:highlight w:val="none"/>
          <w:u w:val="none"/>
          <w14:textFill>
            <w14:solidFill>
              <w14:schemeClr w14:val="tx1"/>
            </w14:solidFill>
          </w14:textFill>
        </w:rPr>
        <w:t>国有资产处置应当严格履行本办法及</w:t>
      </w:r>
      <w:r>
        <w:rPr>
          <w:rFonts w:ascii="仿宋" w:hAnsi="仿宋" w:eastAsia="仿宋" w:cs="仿宋"/>
          <w:color w:val="000000" w:themeColor="text1"/>
          <w:spacing w:val="-7"/>
          <w:sz w:val="32"/>
          <w:szCs w:val="32"/>
          <w:highlight w:val="none"/>
          <w:u w:val="none"/>
          <w14:textFill>
            <w14:solidFill>
              <w14:schemeClr w14:val="tx1"/>
            </w14:solidFill>
          </w14:textFill>
        </w:rPr>
        <w:t>其他规定的审批程序，报</w:t>
      </w:r>
      <w:r>
        <w:rPr>
          <w:rFonts w:hint="eastAsia" w:ascii="仿宋" w:hAnsi="仿宋" w:eastAsia="仿宋" w:cs="仿宋"/>
          <w:color w:val="000000" w:themeColor="text1"/>
          <w:spacing w:val="-7"/>
          <w:sz w:val="32"/>
          <w:szCs w:val="32"/>
          <w:highlight w:val="none"/>
          <w:u w:val="none"/>
          <w:lang w:eastAsia="zh-CN"/>
          <w14:textFill>
            <w14:solidFill>
              <w14:schemeClr w14:val="tx1"/>
            </w14:solidFill>
          </w14:textFill>
        </w:rPr>
        <w:t>县机关事务服务中心</w:t>
      </w:r>
      <w:r>
        <w:rPr>
          <w:rFonts w:ascii="仿宋" w:hAnsi="仿宋" w:eastAsia="仿宋" w:cs="仿宋"/>
          <w:color w:val="000000" w:themeColor="text1"/>
          <w:spacing w:val="-7"/>
          <w:sz w:val="32"/>
          <w:szCs w:val="32"/>
          <w:highlight w:val="none"/>
          <w:u w:val="none"/>
          <w14:textFill>
            <w14:solidFill>
              <w14:schemeClr w14:val="tx1"/>
            </w14:solidFill>
          </w14:textFill>
        </w:rPr>
        <w:t>审核、</w:t>
      </w:r>
      <w:r>
        <w:rPr>
          <w:rFonts w:hint="eastAsia" w:ascii="仿宋" w:hAnsi="仿宋" w:eastAsia="仿宋" w:cs="仿宋"/>
          <w:color w:val="000000" w:themeColor="text1"/>
          <w:spacing w:val="-7"/>
          <w:sz w:val="32"/>
          <w:szCs w:val="32"/>
          <w:highlight w:val="none"/>
          <w:u w:val="none"/>
          <w:lang w:eastAsia="zh-CN"/>
          <w14:textFill>
            <w14:solidFill>
              <w14:schemeClr w14:val="tx1"/>
            </w14:solidFill>
          </w14:textFill>
        </w:rPr>
        <w:t>县</w:t>
      </w:r>
      <w:r>
        <w:rPr>
          <w:rFonts w:ascii="仿宋" w:hAnsi="仿宋" w:eastAsia="仿宋" w:cs="仿宋"/>
          <w:color w:val="000000" w:themeColor="text1"/>
          <w:spacing w:val="-7"/>
          <w:sz w:val="32"/>
          <w:szCs w:val="32"/>
          <w:highlight w:val="none"/>
          <w:u w:val="none"/>
          <w14:textFill>
            <w14:solidFill>
              <w14:schemeClr w14:val="tx1"/>
            </w14:solidFill>
          </w14:textFill>
        </w:rPr>
        <w:t>财政局审批，土</w:t>
      </w:r>
      <w:r>
        <w:rPr>
          <w:rFonts w:ascii="仿宋" w:hAnsi="仿宋" w:eastAsia="仿宋" w:cs="仿宋"/>
          <w:color w:val="000000" w:themeColor="text1"/>
          <w:spacing w:val="6"/>
          <w:sz w:val="32"/>
          <w:szCs w:val="32"/>
          <w:highlight w:val="none"/>
          <w:u w:val="none"/>
          <w14:textFill>
            <w14:solidFill>
              <w14:schemeClr w14:val="tx1"/>
            </w14:solidFill>
          </w14:textFill>
        </w:rPr>
        <w:t>地、房屋</w:t>
      </w: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、车辆</w:t>
      </w:r>
      <w:r>
        <w:rPr>
          <w:rFonts w:ascii="仿宋" w:hAnsi="仿宋" w:eastAsia="仿宋" w:cs="仿宋"/>
          <w:color w:val="000000" w:themeColor="text1"/>
          <w:spacing w:val="6"/>
          <w:sz w:val="32"/>
          <w:szCs w:val="32"/>
          <w:highlight w:val="none"/>
          <w:u w:val="none"/>
          <w14:textFill>
            <w14:solidFill>
              <w14:schemeClr w14:val="tx1"/>
            </w14:solidFill>
          </w14:textFill>
        </w:rPr>
        <w:t>等重大资产处置事项由</w:t>
      </w: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县</w:t>
      </w:r>
      <w:r>
        <w:rPr>
          <w:rFonts w:ascii="仿宋" w:hAnsi="仿宋" w:eastAsia="仿宋" w:cs="仿宋"/>
          <w:color w:val="000000" w:themeColor="text1"/>
          <w:spacing w:val="6"/>
          <w:sz w:val="32"/>
          <w:szCs w:val="32"/>
          <w:highlight w:val="none"/>
          <w:u w:val="none"/>
          <w14:textFill>
            <w14:solidFill>
              <w14:schemeClr w14:val="tx1"/>
            </w14:solidFill>
          </w14:textFill>
        </w:rPr>
        <w:t>财政局负责报</w:t>
      </w: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县</w:t>
      </w:r>
      <w:r>
        <w:rPr>
          <w:rFonts w:ascii="仿宋" w:hAnsi="仿宋" w:eastAsia="仿宋" w:cs="仿宋"/>
          <w:color w:val="000000" w:themeColor="text1"/>
          <w:spacing w:val="6"/>
          <w:sz w:val="32"/>
          <w:szCs w:val="32"/>
          <w:highlight w:val="none"/>
          <w:u w:val="none"/>
          <w14:textFill>
            <w14:solidFill>
              <w14:schemeClr w14:val="tx1"/>
            </w14:solidFill>
          </w14:textFill>
        </w:rPr>
        <w:t>人民政府批</w:t>
      </w:r>
      <w:r>
        <w:rPr>
          <w:rFonts w:ascii="仿宋" w:hAnsi="仿宋" w:eastAsia="仿宋" w:cs="仿宋"/>
          <w:color w:val="000000" w:themeColor="text1"/>
          <w:spacing w:val="-17"/>
          <w:sz w:val="32"/>
          <w:szCs w:val="32"/>
          <w:highlight w:val="none"/>
          <w:u w:val="none"/>
          <w14:textFill>
            <w14:solidFill>
              <w14:schemeClr w14:val="tx1"/>
            </w14:solidFill>
          </w14:textFill>
        </w:rPr>
        <w:t>准。</w:t>
      </w:r>
    </w:p>
    <w:p w14:paraId="3AEB39BC">
      <w:pPr>
        <w:keepNext w:val="0"/>
        <w:keepLines w:val="0"/>
        <w:pageBreakBefore w:val="0"/>
        <w:widowControl/>
        <w:kinsoku w:val="0"/>
        <w:wordWrap/>
        <w:overflowPunct/>
        <w:topLinePunct w:val="0"/>
        <w:autoSpaceDE w:val="0"/>
        <w:autoSpaceDN w:val="0"/>
        <w:bidi w:val="0"/>
        <w:adjustRightInd w:val="0"/>
        <w:snapToGrid w:val="0"/>
        <w:spacing w:before="218" w:line="560" w:lineRule="exact"/>
        <w:ind w:right="138" w:firstLine="629"/>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县</w:t>
      </w:r>
      <w:r>
        <w:rPr>
          <w:rFonts w:ascii="仿宋" w:hAnsi="仿宋" w:eastAsia="仿宋" w:cs="仿宋"/>
          <w:color w:val="000000" w:themeColor="text1"/>
          <w:spacing w:val="-6"/>
          <w:sz w:val="32"/>
          <w:szCs w:val="32"/>
          <w:highlight w:val="none"/>
          <w:u w:val="none"/>
          <w14:textFill>
            <w14:solidFill>
              <w14:schemeClr w14:val="tx1"/>
            </w14:solidFill>
          </w14:textFill>
        </w:rPr>
        <w:t>财政局、</w:t>
      </w: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县机关事务服务中心</w:t>
      </w:r>
      <w:r>
        <w:rPr>
          <w:rFonts w:ascii="仿宋" w:hAnsi="仿宋" w:eastAsia="仿宋" w:cs="仿宋"/>
          <w:color w:val="000000" w:themeColor="text1"/>
          <w:spacing w:val="-6"/>
          <w:sz w:val="32"/>
          <w:szCs w:val="32"/>
          <w:highlight w:val="none"/>
          <w:u w:val="none"/>
          <w14:textFill>
            <w14:solidFill>
              <w14:schemeClr w14:val="tx1"/>
            </w14:solidFill>
          </w14:textFill>
        </w:rPr>
        <w:t>对</w:t>
      </w: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6"/>
          <w:sz w:val="32"/>
          <w:szCs w:val="32"/>
          <w:highlight w:val="none"/>
          <w:u w:val="none"/>
          <w14:textFill>
            <w14:solidFill>
              <w14:schemeClr w14:val="tx1"/>
            </w14:solidFill>
          </w14:textFill>
        </w:rPr>
        <w:t>申请处置或者超</w:t>
      </w:r>
      <w:r>
        <w:rPr>
          <w:rFonts w:ascii="仿宋" w:hAnsi="仿宋" w:eastAsia="仿宋" w:cs="仿宋"/>
          <w:color w:val="000000" w:themeColor="text1"/>
          <w:spacing w:val="-7"/>
          <w:sz w:val="32"/>
          <w:szCs w:val="32"/>
          <w:highlight w:val="none"/>
          <w:u w:val="none"/>
          <w14:textFill>
            <w14:solidFill>
              <w14:schemeClr w14:val="tx1"/>
            </w14:solidFill>
          </w14:textFill>
        </w:rPr>
        <w:t>标准配</w:t>
      </w:r>
      <w:r>
        <w:rPr>
          <w:rFonts w:ascii="仿宋" w:hAnsi="仿宋" w:eastAsia="仿宋" w:cs="仿宋"/>
          <w:color w:val="000000" w:themeColor="text1"/>
          <w:spacing w:val="-6"/>
          <w:sz w:val="32"/>
          <w:szCs w:val="32"/>
          <w:highlight w:val="none"/>
          <w:u w:val="none"/>
          <w14:textFill>
            <w14:solidFill>
              <w14:schemeClr w14:val="tx1"/>
            </w14:solidFill>
          </w14:textFill>
        </w:rPr>
        <w:t>置、低效运转、长期闲置的国有资产，有权先行调剂使用，促进</w:t>
      </w:r>
      <w:r>
        <w:rPr>
          <w:rFonts w:ascii="仿宋" w:hAnsi="仿宋" w:eastAsia="仿宋" w:cs="仿宋"/>
          <w:color w:val="000000" w:themeColor="text1"/>
          <w:spacing w:val="-9"/>
          <w:sz w:val="32"/>
          <w:szCs w:val="32"/>
          <w:highlight w:val="none"/>
          <w:u w:val="none"/>
          <w14:textFill>
            <w14:solidFill>
              <w14:schemeClr w14:val="tx1"/>
            </w14:solidFill>
          </w14:textFill>
        </w:rPr>
        <w:t>资源整合和资产共享共用，提高国有资产使用效益。</w:t>
      </w:r>
    </w:p>
    <w:p w14:paraId="7E60145F">
      <w:pPr>
        <w:keepNext w:val="0"/>
        <w:keepLines w:val="0"/>
        <w:pageBreakBefore w:val="0"/>
        <w:widowControl/>
        <w:kinsoku w:val="0"/>
        <w:wordWrap/>
        <w:overflowPunct/>
        <w:topLinePunct w:val="0"/>
        <w:autoSpaceDE w:val="0"/>
        <w:autoSpaceDN w:val="0"/>
        <w:bidi w:val="0"/>
        <w:adjustRightInd w:val="0"/>
        <w:snapToGrid w:val="0"/>
        <w:spacing w:before="67" w:line="560" w:lineRule="exact"/>
        <w:ind w:right="120" w:firstLine="629"/>
        <w:jc w:val="both"/>
        <w:textAlignment w:val="baseline"/>
        <w:rPr>
          <w:rFonts w:ascii="仿宋" w:hAnsi="仿宋" w:eastAsia="仿宋" w:cs="仿宋"/>
          <w:color w:val="000000" w:themeColor="text1"/>
          <w:spacing w:val="-11"/>
          <w:sz w:val="32"/>
          <w:szCs w:val="32"/>
          <w:highlight w:val="none"/>
          <w:u w:val="none"/>
          <w14:textFill>
            <w14:solidFill>
              <w14:schemeClr w14:val="tx1"/>
            </w14:solidFill>
          </w14:textFill>
        </w:rPr>
      </w:pPr>
      <w:r>
        <w:rPr>
          <w:rFonts w:ascii="仿宋" w:hAnsi="仿宋" w:eastAsia="仿宋" w:cs="仿宋"/>
          <w:color w:val="000000" w:themeColor="text1"/>
          <w:spacing w:val="-6"/>
          <w:sz w:val="32"/>
          <w:szCs w:val="32"/>
          <w:highlight w:val="none"/>
          <w:u w:val="none"/>
          <w14:textFill>
            <w14:solidFill>
              <w14:schemeClr w14:val="tx1"/>
            </w14:solidFill>
          </w14:textFill>
        </w:rPr>
        <w:t>未经</w:t>
      </w: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县机关事务服务中心</w:t>
      </w:r>
      <w:r>
        <w:rPr>
          <w:rFonts w:ascii="仿宋" w:hAnsi="仿宋" w:eastAsia="仿宋" w:cs="仿宋"/>
          <w:color w:val="000000" w:themeColor="text1"/>
          <w:spacing w:val="-6"/>
          <w:sz w:val="32"/>
          <w:szCs w:val="32"/>
          <w:highlight w:val="none"/>
          <w:u w:val="none"/>
          <w14:textFill>
            <w14:solidFill>
              <w14:schemeClr w14:val="tx1"/>
            </w14:solidFill>
          </w14:textFill>
        </w:rPr>
        <w:t>审核、</w:t>
      </w: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县</w:t>
      </w:r>
      <w:r>
        <w:rPr>
          <w:rFonts w:ascii="仿宋" w:hAnsi="仿宋" w:eastAsia="仿宋" w:cs="仿宋"/>
          <w:color w:val="000000" w:themeColor="text1"/>
          <w:spacing w:val="-6"/>
          <w:sz w:val="32"/>
          <w:szCs w:val="32"/>
          <w:highlight w:val="none"/>
          <w:u w:val="none"/>
          <w14:textFill>
            <w14:solidFill>
              <w14:schemeClr w14:val="tx1"/>
            </w14:solidFill>
          </w14:textFill>
        </w:rPr>
        <w:t>财政局审批的，任何单位和个人</w:t>
      </w:r>
      <w:r>
        <w:rPr>
          <w:rFonts w:ascii="仿宋" w:hAnsi="仿宋" w:eastAsia="仿宋" w:cs="仿宋"/>
          <w:color w:val="000000" w:themeColor="text1"/>
          <w:spacing w:val="-11"/>
          <w:sz w:val="32"/>
          <w:szCs w:val="32"/>
          <w:highlight w:val="none"/>
          <w:u w:val="none"/>
          <w14:textFill>
            <w14:solidFill>
              <w14:schemeClr w14:val="tx1"/>
            </w14:solidFill>
          </w14:textFill>
        </w:rPr>
        <w:t>不得擅自处置</w:t>
      </w:r>
      <w:r>
        <w:rPr>
          <w:rFonts w:hint="eastAsia" w:ascii="仿宋" w:hAnsi="仿宋" w:eastAsia="仿宋" w:cs="仿宋"/>
          <w:color w:val="000000" w:themeColor="text1"/>
          <w:spacing w:val="-11"/>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11"/>
          <w:sz w:val="32"/>
          <w:szCs w:val="32"/>
          <w:highlight w:val="none"/>
          <w:u w:val="none"/>
          <w14:textFill>
            <w14:solidFill>
              <w14:schemeClr w14:val="tx1"/>
            </w14:solidFill>
          </w14:textFill>
        </w:rPr>
        <w:t>国有资产。</w:t>
      </w:r>
    </w:p>
    <w:p w14:paraId="7958A393">
      <w:pPr>
        <w:keepNext w:val="0"/>
        <w:keepLines w:val="0"/>
        <w:pageBreakBefore w:val="0"/>
        <w:widowControl/>
        <w:kinsoku w:val="0"/>
        <w:wordWrap/>
        <w:overflowPunct/>
        <w:topLinePunct w:val="0"/>
        <w:autoSpaceDE w:val="0"/>
        <w:autoSpaceDN w:val="0"/>
        <w:bidi w:val="0"/>
        <w:adjustRightInd w:val="0"/>
        <w:snapToGrid w:val="0"/>
        <w:spacing w:before="61" w:line="560" w:lineRule="exact"/>
        <w:ind w:right="127" w:firstLine="658" w:firstLineChars="200"/>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ascii="楷体" w:hAnsi="楷体" w:eastAsia="楷体" w:cs="楷体"/>
          <w:b/>
          <w:bCs/>
          <w:color w:val="000000" w:themeColor="text1"/>
          <w:spacing w:val="9"/>
          <w:sz w:val="31"/>
          <w:szCs w:val="31"/>
          <w:highlight w:val="none"/>
          <w:u w:val="none"/>
          <w14:textFill>
            <w14:solidFill>
              <w14:schemeClr w14:val="tx1"/>
            </w14:solidFill>
          </w14:textFill>
        </w:rPr>
        <w:t>第二十四条</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z w:val="32"/>
          <w:szCs w:val="32"/>
          <w:highlight w:val="none"/>
          <w:u w:val="none"/>
          <w14:textFill>
            <w14:solidFill>
              <w14:schemeClr w14:val="tx1"/>
            </w14:solidFill>
          </w14:textFill>
        </w:rPr>
        <w:t>转让国有资产，应当以公开竞争方式</w:t>
      </w:r>
      <w:r>
        <w:rPr>
          <w:rFonts w:ascii="仿宋" w:hAnsi="仿宋" w:eastAsia="仿宋" w:cs="仿宋"/>
          <w:color w:val="000000" w:themeColor="text1"/>
          <w:spacing w:val="-6"/>
          <w:sz w:val="32"/>
          <w:szCs w:val="32"/>
          <w:highlight w:val="none"/>
          <w:u w:val="none"/>
          <w14:textFill>
            <w14:solidFill>
              <w14:schemeClr w14:val="tx1"/>
            </w14:solidFill>
          </w14:textFill>
        </w:rPr>
        <w:t>进行，严格控制非公开协议方式，可以通过相应公共资源</w:t>
      </w:r>
      <w:r>
        <w:rPr>
          <w:rFonts w:ascii="仿宋" w:hAnsi="仿宋" w:eastAsia="仿宋" w:cs="仿宋"/>
          <w:color w:val="000000" w:themeColor="text1"/>
          <w:spacing w:val="-7"/>
          <w:sz w:val="32"/>
          <w:szCs w:val="32"/>
          <w:highlight w:val="none"/>
          <w:u w:val="none"/>
          <w14:textFill>
            <w14:solidFill>
              <w14:schemeClr w14:val="tx1"/>
            </w14:solidFill>
          </w14:textFill>
        </w:rPr>
        <w:t>交易平</w:t>
      </w:r>
      <w:r>
        <w:rPr>
          <w:rFonts w:ascii="仿宋" w:hAnsi="仿宋" w:eastAsia="仿宋" w:cs="仿宋"/>
          <w:color w:val="000000" w:themeColor="text1"/>
          <w:spacing w:val="-10"/>
          <w:sz w:val="32"/>
          <w:szCs w:val="32"/>
          <w:highlight w:val="none"/>
          <w:u w:val="none"/>
          <w14:textFill>
            <w14:solidFill>
              <w14:schemeClr w14:val="tx1"/>
            </w14:solidFill>
          </w14:textFill>
        </w:rPr>
        <w:t>台，采取拍卖、公开招标等公开竞价方式进行处置。</w:t>
      </w:r>
    </w:p>
    <w:p w14:paraId="3C36326D">
      <w:pPr>
        <w:keepNext w:val="0"/>
        <w:keepLines w:val="0"/>
        <w:pageBreakBefore w:val="0"/>
        <w:widowControl/>
        <w:kinsoku w:val="0"/>
        <w:wordWrap/>
        <w:overflowPunct/>
        <w:topLinePunct w:val="0"/>
        <w:autoSpaceDE w:val="0"/>
        <w:autoSpaceDN w:val="0"/>
        <w:bidi w:val="0"/>
        <w:adjustRightInd w:val="0"/>
        <w:snapToGrid w:val="0"/>
        <w:spacing w:before="66" w:line="560" w:lineRule="exact"/>
        <w:ind w:right="138" w:firstLine="629"/>
        <w:jc w:val="both"/>
        <w:textAlignment w:val="baseline"/>
        <w:rPr>
          <w:rFonts w:ascii="仿宋" w:hAnsi="仿宋" w:eastAsia="仿宋" w:cs="仿宋"/>
          <w:color w:val="000000" w:themeColor="text1"/>
          <w:spacing w:val="-11"/>
          <w:sz w:val="32"/>
          <w:szCs w:val="32"/>
          <w:highlight w:val="none"/>
          <w:u w:val="none"/>
          <w14:textFill>
            <w14:solidFill>
              <w14:schemeClr w14:val="tx1"/>
            </w14:solidFill>
          </w14:textFill>
        </w:rPr>
      </w:pPr>
      <w:r>
        <w:rPr>
          <w:rFonts w:ascii="仿宋" w:hAnsi="仿宋" w:eastAsia="仿宋" w:cs="仿宋"/>
          <w:color w:val="000000" w:themeColor="text1"/>
          <w:spacing w:val="6"/>
          <w:sz w:val="32"/>
          <w:szCs w:val="32"/>
          <w:highlight w:val="none"/>
          <w:u w:val="none"/>
          <w14:textFill>
            <w14:solidFill>
              <w14:schemeClr w14:val="tx1"/>
            </w14:solidFill>
          </w14:textFill>
        </w:rPr>
        <w:t>不适合拍卖、公开招标或经公开征集只有一个意向受让方</w:t>
      </w:r>
      <w:r>
        <w:rPr>
          <w:rFonts w:ascii="仿宋" w:hAnsi="仿宋" w:eastAsia="仿宋" w:cs="仿宋"/>
          <w:color w:val="000000" w:themeColor="text1"/>
          <w:spacing w:val="-11"/>
          <w:sz w:val="32"/>
          <w:szCs w:val="32"/>
          <w:highlight w:val="none"/>
          <w:u w:val="none"/>
          <w14:textFill>
            <w14:solidFill>
              <w14:schemeClr w14:val="tx1"/>
            </w14:solidFill>
          </w14:textFill>
        </w:rPr>
        <w:t>的，经批准，可以以协议转让等方式进行处置。</w:t>
      </w:r>
    </w:p>
    <w:p w14:paraId="5EFD8C4A">
      <w:pPr>
        <w:keepNext w:val="0"/>
        <w:keepLines w:val="0"/>
        <w:pageBreakBefore w:val="0"/>
        <w:widowControl/>
        <w:kinsoku w:val="0"/>
        <w:wordWrap/>
        <w:overflowPunct/>
        <w:topLinePunct w:val="0"/>
        <w:autoSpaceDE w:val="0"/>
        <w:autoSpaceDN w:val="0"/>
        <w:bidi w:val="0"/>
        <w:adjustRightInd w:val="0"/>
        <w:snapToGrid w:val="0"/>
        <w:spacing w:before="66" w:line="560" w:lineRule="exact"/>
        <w:ind w:right="138" w:firstLine="629"/>
        <w:jc w:val="both"/>
        <w:textAlignment w:val="baseline"/>
        <w:rPr>
          <w:color w:val="000000" w:themeColor="text1"/>
          <w:highlight w:val="none"/>
          <w:u w:val="none"/>
          <w14:textFill>
            <w14:solidFill>
              <w14:schemeClr w14:val="tx1"/>
            </w14:solidFill>
          </w14:textFill>
        </w:rPr>
      </w:pPr>
      <w:r>
        <w:rPr>
          <w:rFonts w:ascii="楷体" w:hAnsi="楷体" w:eastAsia="楷体" w:cs="楷体"/>
          <w:b/>
          <w:bCs/>
          <w:color w:val="000000" w:themeColor="text1"/>
          <w:spacing w:val="-2"/>
          <w:sz w:val="32"/>
          <w:szCs w:val="32"/>
          <w:highlight w:val="none"/>
          <w:u w:val="none"/>
          <w14:textFill>
            <w14:solidFill>
              <w14:schemeClr w14:val="tx1"/>
            </w14:solidFill>
          </w14:textFill>
        </w:rPr>
        <w:t>第二十五条</w:t>
      </w:r>
      <w:r>
        <w:rPr>
          <w:rFonts w:hint="eastAsia" w:ascii="楷体" w:hAnsi="楷体" w:eastAsia="楷体" w:cs="楷体"/>
          <w:b/>
          <w:bCs/>
          <w:color w:val="000000" w:themeColor="text1"/>
          <w:spacing w:val="-2"/>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pacing w:val="-2"/>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2"/>
          <w:sz w:val="32"/>
          <w:szCs w:val="32"/>
          <w:highlight w:val="none"/>
          <w:u w:val="none"/>
          <w14:textFill>
            <w14:solidFill>
              <w14:schemeClr w14:val="tx1"/>
            </w14:solidFill>
          </w14:textFill>
        </w:rPr>
        <w:t>对外捐赠应当利用本单位闲置资</w:t>
      </w:r>
      <w:r>
        <w:rPr>
          <w:rFonts w:ascii="仿宋" w:hAnsi="仿宋" w:eastAsia="仿宋" w:cs="仿宋"/>
          <w:color w:val="000000" w:themeColor="text1"/>
          <w:spacing w:val="-3"/>
          <w:sz w:val="32"/>
          <w:szCs w:val="32"/>
          <w:highlight w:val="none"/>
          <w:u w:val="none"/>
          <w14:textFill>
            <w14:solidFill>
              <w14:schemeClr w14:val="tx1"/>
            </w14:solidFill>
          </w14:textFill>
        </w:rPr>
        <w:t>产或</w:t>
      </w:r>
      <w:r>
        <w:rPr>
          <w:rFonts w:ascii="仿宋" w:hAnsi="仿宋" w:eastAsia="仿宋" w:cs="仿宋"/>
          <w:color w:val="000000" w:themeColor="text1"/>
          <w:spacing w:val="-9"/>
          <w:sz w:val="32"/>
          <w:szCs w:val="32"/>
          <w:highlight w:val="none"/>
          <w:u w:val="none"/>
          <w14:textFill>
            <w14:solidFill>
              <w14:schemeClr w14:val="tx1"/>
            </w14:solidFill>
          </w14:textFill>
        </w:rPr>
        <w:t>者淘汰且具有使用价值的资产，不得新购资产用于对外捐赠。</w:t>
      </w: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县机关事务服务中心</w:t>
      </w:r>
      <w:r>
        <w:rPr>
          <w:rFonts w:ascii="仿宋" w:hAnsi="仿宋" w:eastAsia="仿宋" w:cs="仿宋"/>
          <w:color w:val="000000" w:themeColor="text1"/>
          <w:spacing w:val="-6"/>
          <w:sz w:val="32"/>
          <w:szCs w:val="32"/>
          <w:highlight w:val="none"/>
          <w:u w:val="none"/>
          <w14:textFill>
            <w14:solidFill>
              <w14:schemeClr w14:val="tx1"/>
            </w14:solidFill>
          </w14:textFill>
        </w:rPr>
        <w:t>、</w:t>
      </w: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县</w:t>
      </w:r>
      <w:r>
        <w:rPr>
          <w:rFonts w:ascii="仿宋" w:hAnsi="仿宋" w:eastAsia="仿宋" w:cs="仿宋"/>
          <w:color w:val="000000" w:themeColor="text1"/>
          <w:spacing w:val="-6"/>
          <w:sz w:val="32"/>
          <w:szCs w:val="32"/>
          <w:highlight w:val="none"/>
          <w:u w:val="none"/>
          <w14:textFill>
            <w14:solidFill>
              <w14:schemeClr w14:val="tx1"/>
            </w14:solidFill>
          </w14:textFill>
        </w:rPr>
        <w:t>财政局审批</w:t>
      </w: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6"/>
          <w:sz w:val="32"/>
          <w:szCs w:val="32"/>
          <w:highlight w:val="none"/>
          <w:u w:val="none"/>
          <w14:textFill>
            <w14:solidFill>
              <w14:schemeClr w14:val="tx1"/>
            </w14:solidFill>
          </w14:textFill>
        </w:rPr>
        <w:t>资产配置计划时，应</w:t>
      </w:r>
      <w:r>
        <w:rPr>
          <w:rFonts w:ascii="仿宋" w:hAnsi="仿宋" w:eastAsia="仿宋" w:cs="仿宋"/>
          <w:color w:val="000000" w:themeColor="text1"/>
          <w:spacing w:val="-7"/>
          <w:sz w:val="32"/>
          <w:szCs w:val="32"/>
          <w:highlight w:val="none"/>
          <w:u w:val="none"/>
          <w14:textFill>
            <w14:solidFill>
              <w14:schemeClr w14:val="tx1"/>
            </w14:solidFill>
          </w14:textFill>
        </w:rPr>
        <w:t>当综合考量该单位对外捐赠资产情况，原则上在对外</w:t>
      </w:r>
      <w:r>
        <w:rPr>
          <w:rFonts w:ascii="仿宋" w:hAnsi="仿宋" w:eastAsia="仿宋" w:cs="仿宋"/>
          <w:color w:val="000000" w:themeColor="text1"/>
          <w:spacing w:val="-8"/>
          <w:sz w:val="32"/>
          <w:szCs w:val="32"/>
          <w:highlight w:val="none"/>
          <w:u w:val="none"/>
          <w14:textFill>
            <w14:solidFill>
              <w14:schemeClr w14:val="tx1"/>
            </w14:solidFill>
          </w14:textFill>
        </w:rPr>
        <w:t>捐赠资产的使用年限内，该单位不得配置同类型资产。</w:t>
      </w:r>
    </w:p>
    <w:p w14:paraId="698D20B0">
      <w:pPr>
        <w:keepNext w:val="0"/>
        <w:keepLines w:val="0"/>
        <w:pageBreakBefore w:val="0"/>
        <w:widowControl/>
        <w:kinsoku w:val="0"/>
        <w:wordWrap/>
        <w:overflowPunct/>
        <w:topLinePunct w:val="0"/>
        <w:autoSpaceDE w:val="0"/>
        <w:autoSpaceDN w:val="0"/>
        <w:bidi w:val="0"/>
        <w:adjustRightInd w:val="0"/>
        <w:snapToGrid w:val="0"/>
        <w:spacing w:before="104" w:line="560" w:lineRule="exact"/>
        <w:jc w:val="center"/>
        <w:textAlignment w:val="baseline"/>
        <w:outlineLvl w:val="0"/>
        <w:rPr>
          <w:rFonts w:ascii="黑体" w:hAnsi="黑体" w:eastAsia="黑体" w:cs="黑体"/>
          <w:color w:val="000000" w:themeColor="text1"/>
          <w:sz w:val="32"/>
          <w:szCs w:val="32"/>
          <w:highlight w:val="none"/>
          <w:u w:val="none"/>
          <w14:textFill>
            <w14:solidFill>
              <w14:schemeClr w14:val="tx1"/>
            </w14:solidFill>
          </w14:textFill>
        </w:rPr>
      </w:pPr>
      <w:r>
        <w:rPr>
          <w:rFonts w:ascii="黑体" w:hAnsi="黑体" w:eastAsia="黑体" w:cs="黑体"/>
          <w:b/>
          <w:bCs/>
          <w:color w:val="000000" w:themeColor="text1"/>
          <w:spacing w:val="16"/>
          <w:sz w:val="32"/>
          <w:szCs w:val="32"/>
          <w:highlight w:val="none"/>
          <w:u w:val="none"/>
          <w14:textFill>
            <w14:solidFill>
              <w14:schemeClr w14:val="tx1"/>
            </w14:solidFill>
          </w14:textFill>
        </w:rPr>
        <w:t>第四章</w:t>
      </w:r>
      <w:r>
        <w:rPr>
          <w:rFonts w:hint="eastAsia" w:ascii="黑体" w:hAnsi="黑体" w:eastAsia="黑体" w:cs="黑体"/>
          <w:b/>
          <w:bCs/>
          <w:color w:val="000000" w:themeColor="text1"/>
          <w:spacing w:val="16"/>
          <w:sz w:val="32"/>
          <w:szCs w:val="32"/>
          <w:highlight w:val="none"/>
          <w:u w:val="none"/>
          <w:lang w:val="en-US" w:eastAsia="zh-CN"/>
          <w14:textFill>
            <w14:solidFill>
              <w14:schemeClr w14:val="tx1"/>
            </w14:solidFill>
          </w14:textFill>
        </w:rPr>
        <w:t xml:space="preserve">  </w:t>
      </w:r>
      <w:r>
        <w:rPr>
          <w:rFonts w:ascii="黑体" w:hAnsi="黑体" w:eastAsia="黑体" w:cs="黑体"/>
          <w:b/>
          <w:bCs/>
          <w:color w:val="000000" w:themeColor="text1"/>
          <w:spacing w:val="16"/>
          <w:sz w:val="32"/>
          <w:szCs w:val="32"/>
          <w:highlight w:val="none"/>
          <w:u w:val="none"/>
          <w14:textFill>
            <w14:solidFill>
              <w14:schemeClr w14:val="tx1"/>
            </w14:solidFill>
          </w14:textFill>
        </w:rPr>
        <w:t>土地房屋资产管理</w:t>
      </w:r>
    </w:p>
    <w:p w14:paraId="19D5830F">
      <w:pPr>
        <w:keepNext w:val="0"/>
        <w:keepLines w:val="0"/>
        <w:pageBreakBefore w:val="0"/>
        <w:widowControl/>
        <w:kinsoku w:val="0"/>
        <w:wordWrap/>
        <w:overflowPunct/>
        <w:topLinePunct w:val="0"/>
        <w:autoSpaceDE w:val="0"/>
        <w:autoSpaceDN w:val="0"/>
        <w:bidi w:val="0"/>
        <w:adjustRightInd w:val="0"/>
        <w:snapToGrid w:val="0"/>
        <w:spacing w:before="211" w:line="560" w:lineRule="exact"/>
        <w:ind w:firstLine="629"/>
        <w:jc w:val="both"/>
        <w:textAlignment w:val="baseline"/>
        <w:rPr>
          <w:rFonts w:ascii="仿宋" w:hAnsi="仿宋" w:eastAsia="仿宋" w:cs="仿宋"/>
          <w:color w:val="000000" w:themeColor="text1"/>
          <w:spacing w:val="-10"/>
          <w:sz w:val="32"/>
          <w:szCs w:val="32"/>
          <w:highlight w:val="none"/>
          <w:u w:val="none"/>
          <w14:textFill>
            <w14:solidFill>
              <w14:schemeClr w14:val="tx1"/>
            </w14:solidFill>
          </w14:textFill>
        </w:rPr>
      </w:pPr>
      <w:r>
        <w:rPr>
          <w:rFonts w:ascii="楷体" w:hAnsi="楷体" w:eastAsia="楷体" w:cs="楷体"/>
          <w:b/>
          <w:bCs/>
          <w:color w:val="000000" w:themeColor="text1"/>
          <w:spacing w:val="9"/>
          <w:sz w:val="31"/>
          <w:szCs w:val="31"/>
          <w:highlight w:val="none"/>
          <w:u w:val="none"/>
          <w14:textFill>
            <w14:solidFill>
              <w14:schemeClr w14:val="tx1"/>
            </w14:solidFill>
          </w14:textFill>
        </w:rPr>
        <w:t>第二十六条</w:t>
      </w:r>
      <w:r>
        <w:rPr>
          <w:rFonts w:hint="eastAsia" w:ascii="楷体" w:hAnsi="楷体" w:eastAsia="楷体" w:cs="楷体"/>
          <w:color w:val="000000" w:themeColor="text1"/>
          <w:spacing w:val="5"/>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pacing w:val="5"/>
          <w:sz w:val="32"/>
          <w:szCs w:val="32"/>
          <w:highlight w:val="none"/>
          <w:u w:val="none"/>
          <w:lang w:eastAsia="zh-CN"/>
          <w14:textFill>
            <w14:solidFill>
              <w14:schemeClr w14:val="tx1"/>
            </w14:solidFill>
          </w14:textFill>
        </w:rPr>
        <w:t>县机关事务服务中心</w:t>
      </w:r>
      <w:r>
        <w:rPr>
          <w:rFonts w:ascii="仿宋" w:hAnsi="仿宋" w:eastAsia="仿宋" w:cs="仿宋"/>
          <w:color w:val="000000" w:themeColor="text1"/>
          <w:spacing w:val="5"/>
          <w:sz w:val="32"/>
          <w:szCs w:val="32"/>
          <w:highlight w:val="none"/>
          <w:u w:val="none"/>
          <w14:textFill>
            <w14:solidFill>
              <w14:schemeClr w14:val="tx1"/>
            </w14:solidFill>
          </w14:textFill>
        </w:rPr>
        <w:t>负责</w:t>
      </w:r>
      <w:r>
        <w:rPr>
          <w:rFonts w:hint="eastAsia" w:ascii="仿宋" w:hAnsi="仿宋" w:eastAsia="仿宋" w:cs="仿宋"/>
          <w:color w:val="000000" w:themeColor="text1"/>
          <w:spacing w:val="5"/>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5"/>
          <w:sz w:val="32"/>
          <w:szCs w:val="32"/>
          <w:highlight w:val="none"/>
          <w:u w:val="none"/>
          <w14:textFill>
            <w14:solidFill>
              <w14:schemeClr w14:val="tx1"/>
            </w14:solidFill>
          </w14:textFill>
        </w:rPr>
        <w:t>办公用房的规划、</w:t>
      </w:r>
      <w:r>
        <w:rPr>
          <w:rFonts w:ascii="仿宋" w:hAnsi="仿宋" w:eastAsia="仿宋" w:cs="仿宋"/>
          <w:color w:val="000000" w:themeColor="text1"/>
          <w:spacing w:val="-6"/>
          <w:sz w:val="32"/>
          <w:szCs w:val="32"/>
          <w:highlight w:val="none"/>
          <w:u w:val="none"/>
          <w14:textFill>
            <w14:solidFill>
              <w14:schemeClr w14:val="tx1"/>
            </w14:solidFill>
          </w14:textFill>
        </w:rPr>
        <w:t>权属、调剂、使用监管、处置</w:t>
      </w: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以及县委院内办公用房、基础设施</w:t>
      </w:r>
      <w:r>
        <w:rPr>
          <w:rFonts w:ascii="仿宋" w:hAnsi="仿宋" w:eastAsia="仿宋" w:cs="仿宋"/>
          <w:color w:val="000000" w:themeColor="text1"/>
          <w:spacing w:val="-6"/>
          <w:sz w:val="32"/>
          <w:szCs w:val="32"/>
          <w:highlight w:val="none"/>
          <w:u w:val="none"/>
          <w14:textFill>
            <w14:solidFill>
              <w14:schemeClr w14:val="tx1"/>
            </w14:solidFill>
          </w14:textFill>
        </w:rPr>
        <w:t>维修等管理工作</w:t>
      </w:r>
      <w:r>
        <w:rPr>
          <w:rFonts w:ascii="仿宋" w:hAnsi="仿宋" w:eastAsia="仿宋" w:cs="仿宋"/>
          <w:color w:val="000000" w:themeColor="text1"/>
          <w:spacing w:val="-7"/>
          <w:sz w:val="32"/>
          <w:szCs w:val="32"/>
          <w:highlight w:val="none"/>
          <w:u w:val="none"/>
          <w14:textFill>
            <w14:solidFill>
              <w14:schemeClr w14:val="tx1"/>
            </w14:solidFill>
          </w14:textFill>
        </w:rPr>
        <w:t>。办公用房使用</w:t>
      </w:r>
      <w:r>
        <w:rPr>
          <w:rFonts w:ascii="仿宋" w:hAnsi="仿宋" w:eastAsia="仿宋" w:cs="仿宋"/>
          <w:color w:val="000000" w:themeColor="text1"/>
          <w:spacing w:val="-6"/>
          <w:sz w:val="32"/>
          <w:szCs w:val="32"/>
          <w:highlight w:val="none"/>
          <w:u w:val="none"/>
          <w14:textFill>
            <w14:solidFill>
              <w14:schemeClr w14:val="tx1"/>
            </w14:solidFill>
          </w14:textFill>
        </w:rPr>
        <w:t>单位负责本单位占有、使用办公用房的使用管理、维修管理</w:t>
      </w:r>
      <w:r>
        <w:rPr>
          <w:rFonts w:ascii="仿宋" w:hAnsi="仿宋" w:eastAsia="仿宋" w:cs="仿宋"/>
          <w:color w:val="000000" w:themeColor="text1"/>
          <w:spacing w:val="-7"/>
          <w:sz w:val="32"/>
          <w:szCs w:val="32"/>
          <w:highlight w:val="none"/>
          <w:u w:val="none"/>
          <w14:textFill>
            <w14:solidFill>
              <w14:schemeClr w14:val="tx1"/>
            </w14:solidFill>
          </w14:textFill>
        </w:rPr>
        <w:t>、处</w:t>
      </w:r>
      <w:r>
        <w:rPr>
          <w:rFonts w:ascii="仿宋" w:hAnsi="仿宋" w:eastAsia="仿宋" w:cs="仿宋"/>
          <w:color w:val="000000" w:themeColor="text1"/>
          <w:spacing w:val="-10"/>
          <w:sz w:val="32"/>
          <w:szCs w:val="32"/>
          <w:highlight w:val="none"/>
          <w:u w:val="none"/>
          <w14:textFill>
            <w14:solidFill>
              <w14:schemeClr w14:val="tx1"/>
            </w14:solidFill>
          </w14:textFill>
        </w:rPr>
        <w:t>置利用管理等内部管理和日常维护工作。</w:t>
      </w:r>
    </w:p>
    <w:p w14:paraId="34B416A0">
      <w:pPr>
        <w:keepNext w:val="0"/>
        <w:keepLines w:val="0"/>
        <w:pageBreakBefore w:val="0"/>
        <w:widowControl/>
        <w:kinsoku w:val="0"/>
        <w:wordWrap/>
        <w:overflowPunct/>
        <w:topLinePunct w:val="0"/>
        <w:autoSpaceDE w:val="0"/>
        <w:autoSpaceDN w:val="0"/>
        <w:bidi w:val="0"/>
        <w:adjustRightInd w:val="0"/>
        <w:snapToGrid w:val="0"/>
        <w:spacing w:before="104" w:line="560" w:lineRule="exact"/>
        <w:ind w:firstLine="639"/>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6"/>
          <w:sz w:val="32"/>
          <w:szCs w:val="32"/>
          <w:highlight w:val="none"/>
          <w:u w:val="none"/>
          <w14:textFill>
            <w14:solidFill>
              <w14:schemeClr w14:val="tx1"/>
            </w14:solidFill>
          </w14:textFill>
        </w:rPr>
        <w:t>需增加办公用房的，按照《湖南省党政机关办公用</w:t>
      </w:r>
      <w:r>
        <w:rPr>
          <w:rFonts w:ascii="仿宋" w:hAnsi="仿宋" w:eastAsia="仿宋" w:cs="仿宋"/>
          <w:color w:val="000000" w:themeColor="text1"/>
          <w:sz w:val="32"/>
          <w:szCs w:val="32"/>
          <w:highlight w:val="none"/>
          <w:u w:val="none"/>
          <w14:textFill>
            <w14:solidFill>
              <w14:schemeClr w14:val="tx1"/>
            </w14:solidFill>
          </w14:textFill>
        </w:rPr>
        <w:t>房管理实施办法》(湘办发〔2019〕13号)规定</w:t>
      </w:r>
      <w:r>
        <w:rPr>
          <w:rFonts w:ascii="仿宋" w:hAnsi="仿宋" w:eastAsia="仿宋" w:cs="仿宋"/>
          <w:color w:val="000000" w:themeColor="text1"/>
          <w:spacing w:val="-1"/>
          <w:sz w:val="32"/>
          <w:szCs w:val="32"/>
          <w:highlight w:val="none"/>
          <w:u w:val="none"/>
          <w14:textFill>
            <w14:solidFill>
              <w14:schemeClr w14:val="tx1"/>
            </w14:solidFill>
          </w14:textFill>
        </w:rPr>
        <w:t>标准与程序，通</w:t>
      </w:r>
      <w:r>
        <w:rPr>
          <w:rFonts w:ascii="仿宋" w:hAnsi="仿宋" w:eastAsia="仿宋" w:cs="仿宋"/>
          <w:color w:val="000000" w:themeColor="text1"/>
          <w:spacing w:val="-5"/>
          <w:sz w:val="32"/>
          <w:szCs w:val="32"/>
          <w:highlight w:val="none"/>
          <w:u w:val="none"/>
          <w14:textFill>
            <w14:solidFill>
              <w14:schemeClr w14:val="tx1"/>
            </w14:solidFill>
          </w14:textFill>
        </w:rPr>
        <w:t>过调剂、租用、建设等方式配置。生产经营</w:t>
      </w:r>
      <w:r>
        <w:rPr>
          <w:rFonts w:ascii="仿宋" w:hAnsi="仿宋" w:eastAsia="仿宋" w:cs="仿宋"/>
          <w:color w:val="000000" w:themeColor="text1"/>
          <w:spacing w:val="-6"/>
          <w:sz w:val="32"/>
          <w:szCs w:val="32"/>
          <w:highlight w:val="none"/>
          <w:u w:val="none"/>
          <w14:textFill>
            <w14:solidFill>
              <w14:schemeClr w14:val="tx1"/>
            </w14:solidFill>
          </w14:textFill>
        </w:rPr>
        <w:t>类事业单位、国有企</w:t>
      </w:r>
      <w:r>
        <w:rPr>
          <w:rFonts w:ascii="仿宋" w:hAnsi="仿宋" w:eastAsia="仿宋" w:cs="仿宋"/>
          <w:color w:val="000000" w:themeColor="text1"/>
          <w:spacing w:val="-9"/>
          <w:sz w:val="32"/>
          <w:szCs w:val="32"/>
          <w:highlight w:val="none"/>
          <w:u w:val="none"/>
          <w14:textFill>
            <w14:solidFill>
              <w14:schemeClr w14:val="tx1"/>
            </w14:solidFill>
          </w14:textFill>
        </w:rPr>
        <w:t>业和行业协会商会等社团组织，原则上不得占用办公用房。</w:t>
      </w:r>
    </w:p>
    <w:p w14:paraId="1BD680FB">
      <w:pPr>
        <w:keepNext w:val="0"/>
        <w:keepLines w:val="0"/>
        <w:pageBreakBefore w:val="0"/>
        <w:widowControl/>
        <w:kinsoku w:val="0"/>
        <w:wordWrap/>
        <w:overflowPunct/>
        <w:topLinePunct w:val="0"/>
        <w:autoSpaceDE w:val="0"/>
        <w:autoSpaceDN w:val="0"/>
        <w:bidi w:val="0"/>
        <w:adjustRightInd w:val="0"/>
        <w:snapToGrid w:val="0"/>
        <w:spacing w:before="211" w:line="560" w:lineRule="exact"/>
        <w:ind w:firstLine="629"/>
        <w:jc w:val="both"/>
        <w:textAlignment w:val="baseline"/>
        <w:rPr>
          <w:rFonts w:ascii="仿宋" w:hAnsi="仿宋" w:eastAsia="仿宋" w:cs="仿宋"/>
          <w:color w:val="000000" w:themeColor="text1"/>
          <w:spacing w:val="-15"/>
          <w:sz w:val="32"/>
          <w:szCs w:val="32"/>
          <w:highlight w:val="none"/>
          <w:u w:val="none"/>
          <w14:textFill>
            <w14:solidFill>
              <w14:schemeClr w14:val="tx1"/>
            </w14:solidFill>
          </w14:textFill>
        </w:rPr>
      </w:pPr>
      <w:r>
        <w:rPr>
          <w:rFonts w:ascii="楷体" w:hAnsi="楷体" w:eastAsia="楷体" w:cs="楷体"/>
          <w:b/>
          <w:bCs/>
          <w:color w:val="000000" w:themeColor="text1"/>
          <w:spacing w:val="-1"/>
          <w:sz w:val="32"/>
          <w:szCs w:val="32"/>
          <w:highlight w:val="none"/>
          <w:u w:val="none"/>
          <w14:textFill>
            <w14:solidFill>
              <w14:schemeClr w14:val="tx1"/>
            </w14:solidFill>
          </w14:textFill>
        </w:rPr>
        <w:t>第二十</w:t>
      </w:r>
      <w:r>
        <w:rPr>
          <w:rFonts w:hint="eastAsia" w:ascii="楷体" w:hAnsi="楷体" w:eastAsia="楷体" w:cs="楷体"/>
          <w:b/>
          <w:bCs/>
          <w:color w:val="000000" w:themeColor="text1"/>
          <w:spacing w:val="-1"/>
          <w:sz w:val="32"/>
          <w:szCs w:val="32"/>
          <w:highlight w:val="none"/>
          <w:u w:val="none"/>
          <w:lang w:eastAsia="zh-CN"/>
          <w14:textFill>
            <w14:solidFill>
              <w14:schemeClr w14:val="tx1"/>
            </w14:solidFill>
          </w14:textFill>
        </w:rPr>
        <w:t>七</w:t>
      </w:r>
      <w:r>
        <w:rPr>
          <w:rFonts w:ascii="楷体" w:hAnsi="楷体" w:eastAsia="楷体" w:cs="楷体"/>
          <w:b/>
          <w:bCs/>
          <w:color w:val="000000" w:themeColor="text1"/>
          <w:spacing w:val="-1"/>
          <w:sz w:val="32"/>
          <w:szCs w:val="32"/>
          <w:highlight w:val="none"/>
          <w:u w:val="none"/>
          <w14:textFill>
            <w14:solidFill>
              <w14:schemeClr w14:val="tx1"/>
            </w14:solidFill>
          </w14:textFill>
        </w:rPr>
        <w:t>条</w:t>
      </w:r>
      <w:r>
        <w:rPr>
          <w:rFonts w:hint="eastAsia" w:ascii="楷体" w:hAnsi="楷体" w:eastAsia="楷体" w:cs="楷体"/>
          <w:b/>
          <w:bCs/>
          <w:color w:val="000000" w:themeColor="text1"/>
          <w:spacing w:val="-1"/>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pacing w:val="-1"/>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1"/>
          <w:sz w:val="32"/>
          <w:szCs w:val="32"/>
          <w:highlight w:val="none"/>
          <w:u w:val="none"/>
          <w14:textFill>
            <w14:solidFill>
              <w14:schemeClr w14:val="tx1"/>
            </w14:solidFill>
          </w14:textFill>
        </w:rPr>
        <w:t>应加强对土地、房屋资产的日常使用</w:t>
      </w:r>
      <w:r>
        <w:rPr>
          <w:rFonts w:ascii="仿宋" w:hAnsi="仿宋" w:eastAsia="仿宋" w:cs="仿宋"/>
          <w:color w:val="000000" w:themeColor="text1"/>
          <w:spacing w:val="-6"/>
          <w:sz w:val="32"/>
          <w:szCs w:val="32"/>
          <w:highlight w:val="none"/>
          <w:u w:val="none"/>
          <w14:textFill>
            <w14:solidFill>
              <w14:schemeClr w14:val="tx1"/>
            </w14:solidFill>
          </w14:textFill>
        </w:rPr>
        <w:t>维护，定期巡查，及时消除安全隐患。办公用房维修按</w:t>
      </w:r>
      <w:r>
        <w:rPr>
          <w:rFonts w:ascii="仿宋" w:hAnsi="仿宋" w:eastAsia="仿宋" w:cs="仿宋"/>
          <w:color w:val="000000" w:themeColor="text1"/>
          <w:spacing w:val="-7"/>
          <w:sz w:val="32"/>
          <w:szCs w:val="32"/>
          <w:highlight w:val="none"/>
          <w:u w:val="none"/>
          <w14:textFill>
            <w14:solidFill>
              <w14:schemeClr w14:val="tx1"/>
            </w14:solidFill>
          </w14:textFill>
        </w:rPr>
        <w:t>维修管理</w:t>
      </w:r>
      <w:r>
        <w:rPr>
          <w:rFonts w:ascii="仿宋" w:hAnsi="仿宋" w:eastAsia="仿宋" w:cs="仿宋"/>
          <w:color w:val="000000" w:themeColor="text1"/>
          <w:spacing w:val="-15"/>
          <w:sz w:val="32"/>
          <w:szCs w:val="32"/>
          <w:highlight w:val="none"/>
          <w:u w:val="none"/>
          <w14:textFill>
            <w14:solidFill>
              <w14:schemeClr w14:val="tx1"/>
            </w14:solidFill>
          </w14:textFill>
        </w:rPr>
        <w:t>有关规定执行。</w:t>
      </w:r>
    </w:p>
    <w:p w14:paraId="57E7B583">
      <w:pPr>
        <w:keepNext w:val="0"/>
        <w:keepLines w:val="0"/>
        <w:pageBreakBefore w:val="0"/>
        <w:widowControl/>
        <w:kinsoku w:val="0"/>
        <w:wordWrap/>
        <w:overflowPunct/>
        <w:topLinePunct w:val="0"/>
        <w:autoSpaceDE w:val="0"/>
        <w:autoSpaceDN w:val="0"/>
        <w:bidi w:val="0"/>
        <w:adjustRightInd w:val="0"/>
        <w:snapToGrid w:val="0"/>
        <w:spacing w:before="48" w:line="560" w:lineRule="exact"/>
        <w:ind w:right="13" w:firstLine="644"/>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ascii="楷体" w:hAnsi="楷体" w:eastAsia="楷体" w:cs="楷体"/>
          <w:b/>
          <w:bCs/>
          <w:color w:val="000000" w:themeColor="text1"/>
          <w:spacing w:val="-1"/>
          <w:sz w:val="32"/>
          <w:szCs w:val="32"/>
          <w:highlight w:val="none"/>
          <w:u w:val="none"/>
          <w14:textFill>
            <w14:solidFill>
              <w14:schemeClr w14:val="tx1"/>
            </w14:solidFill>
          </w14:textFill>
        </w:rPr>
        <w:t>第</w:t>
      </w:r>
      <w:r>
        <w:rPr>
          <w:rFonts w:hint="eastAsia" w:ascii="楷体" w:hAnsi="楷体" w:eastAsia="楷体" w:cs="楷体"/>
          <w:b/>
          <w:bCs/>
          <w:color w:val="000000" w:themeColor="text1"/>
          <w:spacing w:val="-1"/>
          <w:sz w:val="32"/>
          <w:szCs w:val="32"/>
          <w:highlight w:val="none"/>
          <w:u w:val="none"/>
          <w:lang w:eastAsia="zh-CN"/>
          <w14:textFill>
            <w14:solidFill>
              <w14:schemeClr w14:val="tx1"/>
            </w14:solidFill>
          </w14:textFill>
        </w:rPr>
        <w:t>二</w:t>
      </w:r>
      <w:r>
        <w:rPr>
          <w:rFonts w:ascii="楷体" w:hAnsi="楷体" w:eastAsia="楷体" w:cs="楷体"/>
          <w:b/>
          <w:bCs/>
          <w:color w:val="000000" w:themeColor="text1"/>
          <w:spacing w:val="-1"/>
          <w:sz w:val="32"/>
          <w:szCs w:val="32"/>
          <w:highlight w:val="none"/>
          <w:u w:val="none"/>
          <w14:textFill>
            <w14:solidFill>
              <w14:schemeClr w14:val="tx1"/>
            </w14:solidFill>
          </w14:textFill>
        </w:rPr>
        <w:t>十</w:t>
      </w:r>
      <w:r>
        <w:rPr>
          <w:rFonts w:hint="eastAsia" w:ascii="楷体" w:hAnsi="楷体" w:eastAsia="楷体" w:cs="楷体"/>
          <w:b/>
          <w:bCs/>
          <w:color w:val="000000" w:themeColor="text1"/>
          <w:spacing w:val="-1"/>
          <w:sz w:val="32"/>
          <w:szCs w:val="32"/>
          <w:highlight w:val="none"/>
          <w:u w:val="none"/>
          <w:lang w:eastAsia="zh-CN"/>
          <w14:textFill>
            <w14:solidFill>
              <w14:schemeClr w14:val="tx1"/>
            </w14:solidFill>
          </w14:textFill>
        </w:rPr>
        <w:t>八</w:t>
      </w:r>
      <w:r>
        <w:rPr>
          <w:rFonts w:ascii="楷体" w:hAnsi="楷体" w:eastAsia="楷体" w:cs="楷体"/>
          <w:b/>
          <w:bCs/>
          <w:color w:val="000000" w:themeColor="text1"/>
          <w:spacing w:val="-1"/>
          <w:sz w:val="32"/>
          <w:szCs w:val="32"/>
          <w:highlight w:val="none"/>
          <w:u w:val="none"/>
          <w14:textFill>
            <w14:solidFill>
              <w14:schemeClr w14:val="tx1"/>
            </w14:solidFill>
          </w14:textFill>
        </w:rPr>
        <w:t>条</w:t>
      </w:r>
      <w:r>
        <w:rPr>
          <w:rFonts w:hint="eastAsia" w:ascii="楷体" w:hAnsi="楷体" w:eastAsia="楷体" w:cs="楷体"/>
          <w:b/>
          <w:bCs/>
          <w:color w:val="000000" w:themeColor="text1"/>
          <w:spacing w:val="-1"/>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pacing w:val="-1"/>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1"/>
          <w:sz w:val="32"/>
          <w:szCs w:val="32"/>
          <w:highlight w:val="none"/>
          <w:u w:val="none"/>
          <w14:textFill>
            <w14:solidFill>
              <w14:schemeClr w14:val="tx1"/>
            </w14:solidFill>
          </w14:textFill>
        </w:rPr>
        <w:t>应当严格按照国有建设用地出让合同或</w:t>
      </w:r>
      <w:r>
        <w:rPr>
          <w:rFonts w:ascii="仿宋" w:hAnsi="仿宋" w:eastAsia="仿宋" w:cs="仿宋"/>
          <w:color w:val="000000" w:themeColor="text1"/>
          <w:spacing w:val="-9"/>
          <w:sz w:val="32"/>
          <w:szCs w:val="32"/>
          <w:highlight w:val="none"/>
          <w:u w:val="none"/>
          <w14:textFill>
            <w14:solidFill>
              <w14:schemeClr w14:val="tx1"/>
            </w14:solidFill>
          </w14:textFill>
        </w:rPr>
        <w:t>划拨决定书确定的用途和条件使用土地，不得擅自改变。</w:t>
      </w:r>
    </w:p>
    <w:p w14:paraId="58427AC5">
      <w:pPr>
        <w:keepNext w:val="0"/>
        <w:keepLines w:val="0"/>
        <w:pageBreakBefore w:val="0"/>
        <w:widowControl/>
        <w:kinsoku w:val="0"/>
        <w:wordWrap/>
        <w:overflowPunct/>
        <w:topLinePunct w:val="0"/>
        <w:autoSpaceDE w:val="0"/>
        <w:autoSpaceDN w:val="0"/>
        <w:bidi w:val="0"/>
        <w:adjustRightInd w:val="0"/>
        <w:snapToGrid w:val="0"/>
        <w:spacing w:before="36" w:line="560" w:lineRule="exact"/>
        <w:ind w:right="2" w:firstLine="644"/>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ascii="楷体" w:hAnsi="楷体" w:eastAsia="楷体" w:cs="楷体"/>
          <w:b/>
          <w:bCs/>
          <w:color w:val="000000" w:themeColor="text1"/>
          <w:spacing w:val="-1"/>
          <w:sz w:val="32"/>
          <w:szCs w:val="32"/>
          <w:highlight w:val="none"/>
          <w:u w:val="none"/>
          <w14:textFill>
            <w14:solidFill>
              <w14:schemeClr w14:val="tx1"/>
            </w14:solidFill>
          </w14:textFill>
        </w:rPr>
        <w:t>第</w:t>
      </w:r>
      <w:r>
        <w:rPr>
          <w:rFonts w:hint="eastAsia" w:ascii="楷体" w:hAnsi="楷体" w:eastAsia="楷体" w:cs="楷体"/>
          <w:b/>
          <w:bCs/>
          <w:color w:val="000000" w:themeColor="text1"/>
          <w:spacing w:val="-1"/>
          <w:sz w:val="32"/>
          <w:szCs w:val="32"/>
          <w:highlight w:val="none"/>
          <w:u w:val="none"/>
          <w:lang w:eastAsia="zh-CN"/>
          <w14:textFill>
            <w14:solidFill>
              <w14:schemeClr w14:val="tx1"/>
            </w14:solidFill>
          </w14:textFill>
        </w:rPr>
        <w:t>二</w:t>
      </w:r>
      <w:r>
        <w:rPr>
          <w:rFonts w:ascii="楷体" w:hAnsi="楷体" w:eastAsia="楷体" w:cs="楷体"/>
          <w:b/>
          <w:bCs/>
          <w:color w:val="000000" w:themeColor="text1"/>
          <w:spacing w:val="-1"/>
          <w:sz w:val="32"/>
          <w:szCs w:val="32"/>
          <w:highlight w:val="none"/>
          <w:u w:val="none"/>
          <w14:textFill>
            <w14:solidFill>
              <w14:schemeClr w14:val="tx1"/>
            </w14:solidFill>
          </w14:textFill>
        </w:rPr>
        <w:t>十</w:t>
      </w:r>
      <w:r>
        <w:rPr>
          <w:rFonts w:hint="eastAsia" w:ascii="楷体" w:hAnsi="楷体" w:eastAsia="楷体" w:cs="楷体"/>
          <w:b/>
          <w:bCs/>
          <w:color w:val="000000" w:themeColor="text1"/>
          <w:spacing w:val="-1"/>
          <w:sz w:val="32"/>
          <w:szCs w:val="32"/>
          <w:highlight w:val="none"/>
          <w:u w:val="none"/>
          <w:lang w:eastAsia="zh-CN"/>
          <w14:textFill>
            <w14:solidFill>
              <w14:schemeClr w14:val="tx1"/>
            </w14:solidFill>
          </w14:textFill>
        </w:rPr>
        <w:t>九</w:t>
      </w:r>
      <w:r>
        <w:rPr>
          <w:rFonts w:ascii="楷体" w:hAnsi="楷体" w:eastAsia="楷体" w:cs="楷体"/>
          <w:b/>
          <w:bCs/>
          <w:color w:val="000000" w:themeColor="text1"/>
          <w:spacing w:val="-1"/>
          <w:sz w:val="32"/>
          <w:szCs w:val="32"/>
          <w:highlight w:val="none"/>
          <w:u w:val="none"/>
          <w14:textFill>
            <w14:solidFill>
              <w14:schemeClr w14:val="tx1"/>
            </w14:solidFill>
          </w14:textFill>
        </w:rPr>
        <w:t>条</w:t>
      </w:r>
      <w:r>
        <w:rPr>
          <w:rFonts w:hint="eastAsia" w:ascii="楷体" w:hAnsi="楷体" w:eastAsia="楷体" w:cs="楷体"/>
          <w:b/>
          <w:bCs/>
          <w:color w:val="000000" w:themeColor="text1"/>
          <w:spacing w:val="-1"/>
          <w:sz w:val="32"/>
          <w:szCs w:val="32"/>
          <w:highlight w:val="none"/>
          <w:u w:val="none"/>
          <w:lang w:val="en-US" w:eastAsia="zh-CN"/>
          <w14:textFill>
            <w14:solidFill>
              <w14:schemeClr w14:val="tx1"/>
            </w14:solidFill>
          </w14:textFill>
        </w:rPr>
        <w:t xml:space="preserve">  </w:t>
      </w:r>
      <w:r>
        <w:rPr>
          <w:rFonts w:ascii="仿宋" w:hAnsi="仿宋" w:eastAsia="仿宋" w:cs="仿宋"/>
          <w:color w:val="000000" w:themeColor="text1"/>
          <w:spacing w:val="-1"/>
          <w:sz w:val="32"/>
          <w:szCs w:val="32"/>
          <w:highlight w:val="none"/>
          <w:u w:val="none"/>
          <w14:textFill>
            <w14:solidFill>
              <w14:schemeClr w14:val="tx1"/>
            </w14:solidFill>
          </w14:textFill>
        </w:rPr>
        <w:t>土地、房屋资产的调剂由</w:t>
      </w:r>
      <w:r>
        <w:rPr>
          <w:rFonts w:hint="eastAsia" w:ascii="仿宋" w:hAnsi="仿宋" w:eastAsia="仿宋" w:cs="仿宋"/>
          <w:color w:val="000000" w:themeColor="text1"/>
          <w:spacing w:val="-1"/>
          <w:sz w:val="32"/>
          <w:szCs w:val="32"/>
          <w:highlight w:val="none"/>
          <w:u w:val="none"/>
          <w:lang w:eastAsia="zh-CN"/>
          <w14:textFill>
            <w14:solidFill>
              <w14:schemeClr w14:val="tx1"/>
            </w14:solidFill>
          </w14:textFill>
        </w:rPr>
        <w:t>县机关事务服务中心</w:t>
      </w:r>
      <w:r>
        <w:rPr>
          <w:rFonts w:ascii="仿宋" w:hAnsi="仿宋" w:eastAsia="仿宋" w:cs="仿宋"/>
          <w:color w:val="000000" w:themeColor="text1"/>
          <w:spacing w:val="-1"/>
          <w:sz w:val="32"/>
          <w:szCs w:val="32"/>
          <w:highlight w:val="none"/>
          <w:u w:val="none"/>
          <w14:textFill>
            <w14:solidFill>
              <w14:schemeClr w14:val="tx1"/>
            </w14:solidFill>
          </w14:textFill>
        </w:rPr>
        <w:t>征求占</w:t>
      </w:r>
      <w:r>
        <w:rPr>
          <w:rFonts w:ascii="仿宋" w:hAnsi="仿宋" w:eastAsia="仿宋" w:cs="仿宋"/>
          <w:color w:val="000000" w:themeColor="text1"/>
          <w:spacing w:val="-6"/>
          <w:sz w:val="32"/>
          <w:szCs w:val="32"/>
          <w:highlight w:val="none"/>
          <w:u w:val="none"/>
          <w14:textFill>
            <w14:solidFill>
              <w14:schemeClr w14:val="tx1"/>
            </w14:solidFill>
          </w14:textFill>
        </w:rPr>
        <w:t>有使用单位意见，结合资产现状和实际需求提出方案并按规定程</w:t>
      </w:r>
      <w:r>
        <w:rPr>
          <w:rFonts w:ascii="仿宋" w:hAnsi="仿宋" w:eastAsia="仿宋" w:cs="仿宋"/>
          <w:color w:val="000000" w:themeColor="text1"/>
          <w:spacing w:val="-14"/>
          <w:sz w:val="32"/>
          <w:szCs w:val="32"/>
          <w:highlight w:val="none"/>
          <w:u w:val="none"/>
          <w14:textFill>
            <w14:solidFill>
              <w14:schemeClr w14:val="tx1"/>
            </w14:solidFill>
          </w14:textFill>
        </w:rPr>
        <w:t>序审批后组织实施。</w:t>
      </w:r>
    </w:p>
    <w:p w14:paraId="35086E8C">
      <w:pPr>
        <w:keepNext w:val="0"/>
        <w:keepLines w:val="0"/>
        <w:pageBreakBefore w:val="0"/>
        <w:widowControl/>
        <w:kinsoku w:val="0"/>
        <w:wordWrap/>
        <w:overflowPunct/>
        <w:topLinePunct w:val="0"/>
        <w:autoSpaceDE w:val="0"/>
        <w:autoSpaceDN w:val="0"/>
        <w:bidi w:val="0"/>
        <w:adjustRightInd w:val="0"/>
        <w:snapToGrid w:val="0"/>
        <w:spacing w:before="104" w:line="560" w:lineRule="exact"/>
        <w:ind w:firstLine="639" w:firstLineChars="200"/>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ascii="楷体" w:hAnsi="楷体" w:eastAsia="楷体" w:cs="楷体"/>
          <w:b/>
          <w:bCs/>
          <w:color w:val="000000" w:themeColor="text1"/>
          <w:spacing w:val="-1"/>
          <w:sz w:val="32"/>
          <w:szCs w:val="32"/>
          <w:highlight w:val="none"/>
          <w:u w:val="none"/>
          <w14:textFill>
            <w14:solidFill>
              <w14:schemeClr w14:val="tx1"/>
            </w14:solidFill>
          </w14:textFill>
        </w:rPr>
        <w:t>第三十条</w:t>
      </w:r>
      <w:r>
        <w:rPr>
          <w:rFonts w:hint="eastAsia" w:ascii="楷体" w:hAnsi="楷体" w:eastAsia="楷体" w:cs="楷体"/>
          <w:b/>
          <w:bCs/>
          <w:color w:val="000000" w:themeColor="text1"/>
          <w:spacing w:val="-1"/>
          <w:sz w:val="32"/>
          <w:szCs w:val="32"/>
          <w:highlight w:val="none"/>
          <w:u w:val="none"/>
          <w:lang w:val="en-US" w:eastAsia="zh-CN"/>
          <w14:textFill>
            <w14:solidFill>
              <w14:schemeClr w14:val="tx1"/>
            </w14:solidFill>
          </w14:textFill>
        </w:rPr>
        <w:t xml:space="preserve">  </w:t>
      </w:r>
      <w:r>
        <w:rPr>
          <w:rFonts w:ascii="仿宋" w:hAnsi="仿宋" w:eastAsia="仿宋" w:cs="仿宋"/>
          <w:color w:val="000000" w:themeColor="text1"/>
          <w:spacing w:val="-1"/>
          <w:sz w:val="32"/>
          <w:szCs w:val="32"/>
          <w:highlight w:val="none"/>
          <w:u w:val="none"/>
          <w14:textFill>
            <w14:solidFill>
              <w14:schemeClr w14:val="tx1"/>
            </w14:solidFill>
          </w14:textFill>
        </w:rPr>
        <w:t>土地、房屋资产的处置，权属登记在</w:t>
      </w:r>
      <w:r>
        <w:rPr>
          <w:rFonts w:hint="eastAsia" w:ascii="仿宋" w:hAnsi="仿宋" w:eastAsia="仿宋" w:cs="仿宋"/>
          <w:color w:val="000000" w:themeColor="text1"/>
          <w:spacing w:val="-1"/>
          <w:sz w:val="32"/>
          <w:szCs w:val="32"/>
          <w:highlight w:val="none"/>
          <w:u w:val="none"/>
          <w:lang w:eastAsia="zh-CN"/>
          <w14:textFill>
            <w14:solidFill>
              <w14:schemeClr w14:val="tx1"/>
            </w14:solidFill>
          </w14:textFill>
        </w:rPr>
        <w:t>县机关事务服务中心</w:t>
      </w:r>
      <w:r>
        <w:rPr>
          <w:rFonts w:ascii="仿宋" w:hAnsi="仿宋" w:eastAsia="仿宋" w:cs="仿宋"/>
          <w:color w:val="000000" w:themeColor="text1"/>
          <w:spacing w:val="-6"/>
          <w:sz w:val="32"/>
          <w:szCs w:val="32"/>
          <w:highlight w:val="none"/>
          <w:u w:val="none"/>
          <w14:textFill>
            <w14:solidFill>
              <w14:schemeClr w14:val="tx1"/>
            </w14:solidFill>
          </w14:textFill>
        </w:rPr>
        <w:t>名下的，由</w:t>
      </w: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县机关事务服务中心</w:t>
      </w:r>
      <w:r>
        <w:rPr>
          <w:rFonts w:ascii="仿宋" w:hAnsi="仿宋" w:eastAsia="仿宋" w:cs="仿宋"/>
          <w:color w:val="000000" w:themeColor="text1"/>
          <w:spacing w:val="-6"/>
          <w:sz w:val="32"/>
          <w:szCs w:val="32"/>
          <w:highlight w:val="none"/>
          <w:u w:val="none"/>
          <w14:textFill>
            <w14:solidFill>
              <w14:schemeClr w14:val="tx1"/>
            </w14:solidFill>
          </w14:textFill>
        </w:rPr>
        <w:t>提出方案，经</w:t>
      </w: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县</w:t>
      </w:r>
      <w:r>
        <w:rPr>
          <w:rFonts w:ascii="仿宋" w:hAnsi="仿宋" w:eastAsia="仿宋" w:cs="仿宋"/>
          <w:color w:val="000000" w:themeColor="text1"/>
          <w:spacing w:val="-6"/>
          <w:sz w:val="32"/>
          <w:szCs w:val="32"/>
          <w:highlight w:val="none"/>
          <w:u w:val="none"/>
          <w14:textFill>
            <w14:solidFill>
              <w14:schemeClr w14:val="tx1"/>
            </w14:solidFill>
          </w14:textFill>
        </w:rPr>
        <w:t>财政局、</w:t>
      </w: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县</w:t>
      </w:r>
      <w:r>
        <w:rPr>
          <w:rFonts w:ascii="仿宋" w:hAnsi="仿宋" w:eastAsia="仿宋" w:cs="仿宋"/>
          <w:color w:val="000000" w:themeColor="text1"/>
          <w:spacing w:val="-6"/>
          <w:sz w:val="32"/>
          <w:szCs w:val="32"/>
          <w:highlight w:val="none"/>
          <w:u w:val="none"/>
          <w14:textFill>
            <w14:solidFill>
              <w14:schemeClr w14:val="tx1"/>
            </w14:solidFill>
          </w14:textFill>
        </w:rPr>
        <w:t>自然资源和规划局审核后，报</w:t>
      </w: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县</w:t>
      </w:r>
      <w:r>
        <w:rPr>
          <w:rFonts w:ascii="仿宋" w:hAnsi="仿宋" w:eastAsia="仿宋" w:cs="仿宋"/>
          <w:color w:val="000000" w:themeColor="text1"/>
          <w:spacing w:val="-6"/>
          <w:sz w:val="32"/>
          <w:szCs w:val="32"/>
          <w:highlight w:val="none"/>
          <w:u w:val="none"/>
          <w14:textFill>
            <w14:solidFill>
              <w14:schemeClr w14:val="tx1"/>
            </w14:solidFill>
          </w14:textFill>
        </w:rPr>
        <w:t>人民政府批准。权属登记在</w:t>
      </w: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6"/>
          <w:sz w:val="32"/>
          <w:szCs w:val="32"/>
          <w:highlight w:val="none"/>
          <w:u w:val="none"/>
          <w14:textFill>
            <w14:solidFill>
              <w14:schemeClr w14:val="tx1"/>
            </w14:solidFill>
          </w14:textFill>
        </w:rPr>
        <w:t>名</w:t>
      </w:r>
      <w:r>
        <w:rPr>
          <w:rFonts w:ascii="仿宋" w:hAnsi="仿宋" w:eastAsia="仿宋" w:cs="仿宋"/>
          <w:color w:val="000000" w:themeColor="text1"/>
          <w:spacing w:val="-7"/>
          <w:sz w:val="32"/>
          <w:szCs w:val="32"/>
          <w:highlight w:val="none"/>
          <w:u w:val="none"/>
          <w14:textFill>
            <w14:solidFill>
              <w14:schemeClr w14:val="tx1"/>
            </w14:solidFill>
          </w14:textFill>
        </w:rPr>
        <w:t>下的，由有关单位提出方案，经</w:t>
      </w:r>
      <w:r>
        <w:rPr>
          <w:rFonts w:hint="eastAsia" w:ascii="仿宋" w:hAnsi="仿宋" w:eastAsia="仿宋" w:cs="仿宋"/>
          <w:color w:val="000000" w:themeColor="text1"/>
          <w:spacing w:val="-7"/>
          <w:sz w:val="32"/>
          <w:szCs w:val="32"/>
          <w:highlight w:val="none"/>
          <w:u w:val="none"/>
          <w:lang w:eastAsia="zh-CN"/>
          <w14:textFill>
            <w14:solidFill>
              <w14:schemeClr w14:val="tx1"/>
            </w14:solidFill>
          </w14:textFill>
        </w:rPr>
        <w:t>县机关事务服务中心</w:t>
      </w:r>
      <w:r>
        <w:rPr>
          <w:rFonts w:ascii="仿宋" w:hAnsi="仿宋" w:eastAsia="仿宋" w:cs="仿宋"/>
          <w:color w:val="000000" w:themeColor="text1"/>
          <w:spacing w:val="-7"/>
          <w:sz w:val="32"/>
          <w:szCs w:val="32"/>
          <w:highlight w:val="none"/>
          <w:u w:val="none"/>
          <w14:textFill>
            <w14:solidFill>
              <w14:schemeClr w14:val="tx1"/>
            </w14:solidFill>
          </w14:textFill>
        </w:rPr>
        <w:t>、</w:t>
      </w:r>
      <w:r>
        <w:rPr>
          <w:rFonts w:hint="eastAsia" w:ascii="仿宋" w:hAnsi="仿宋" w:eastAsia="仿宋" w:cs="仿宋"/>
          <w:color w:val="000000" w:themeColor="text1"/>
          <w:spacing w:val="-7"/>
          <w:sz w:val="32"/>
          <w:szCs w:val="32"/>
          <w:highlight w:val="none"/>
          <w:u w:val="none"/>
          <w:lang w:eastAsia="zh-CN"/>
          <w14:textFill>
            <w14:solidFill>
              <w14:schemeClr w14:val="tx1"/>
            </w14:solidFill>
          </w14:textFill>
        </w:rPr>
        <w:t>县</w:t>
      </w:r>
      <w:r>
        <w:rPr>
          <w:rFonts w:ascii="仿宋" w:hAnsi="仿宋" w:eastAsia="仿宋" w:cs="仿宋"/>
          <w:color w:val="000000" w:themeColor="text1"/>
          <w:spacing w:val="-7"/>
          <w:sz w:val="32"/>
          <w:szCs w:val="32"/>
          <w:highlight w:val="none"/>
          <w:u w:val="none"/>
          <w14:textFill>
            <w14:solidFill>
              <w14:schemeClr w14:val="tx1"/>
            </w14:solidFill>
          </w14:textFill>
        </w:rPr>
        <w:t>财政局、</w:t>
      </w:r>
      <w:r>
        <w:rPr>
          <w:rFonts w:hint="eastAsia" w:ascii="仿宋" w:hAnsi="仿宋" w:eastAsia="仿宋" w:cs="仿宋"/>
          <w:color w:val="000000" w:themeColor="text1"/>
          <w:spacing w:val="-7"/>
          <w:sz w:val="32"/>
          <w:szCs w:val="32"/>
          <w:highlight w:val="none"/>
          <w:u w:val="none"/>
          <w:lang w:eastAsia="zh-CN"/>
          <w14:textFill>
            <w14:solidFill>
              <w14:schemeClr w14:val="tx1"/>
            </w14:solidFill>
          </w14:textFill>
        </w:rPr>
        <w:t>县</w:t>
      </w:r>
      <w:r>
        <w:rPr>
          <w:rFonts w:ascii="仿宋" w:hAnsi="仿宋" w:eastAsia="仿宋" w:cs="仿宋"/>
          <w:color w:val="000000" w:themeColor="text1"/>
          <w:spacing w:val="-7"/>
          <w:sz w:val="32"/>
          <w:szCs w:val="32"/>
          <w:highlight w:val="none"/>
          <w:u w:val="none"/>
          <w14:textFill>
            <w14:solidFill>
              <w14:schemeClr w14:val="tx1"/>
            </w14:solidFill>
          </w14:textFill>
        </w:rPr>
        <w:t>自然资源和规划局审核后，报</w:t>
      </w:r>
      <w:r>
        <w:rPr>
          <w:rFonts w:hint="eastAsia" w:ascii="仿宋" w:hAnsi="仿宋" w:eastAsia="仿宋" w:cs="仿宋"/>
          <w:color w:val="000000" w:themeColor="text1"/>
          <w:spacing w:val="-7"/>
          <w:sz w:val="32"/>
          <w:szCs w:val="32"/>
          <w:highlight w:val="none"/>
          <w:u w:val="none"/>
          <w:lang w:eastAsia="zh-CN"/>
          <w14:textFill>
            <w14:solidFill>
              <w14:schemeClr w14:val="tx1"/>
            </w14:solidFill>
          </w14:textFill>
        </w:rPr>
        <w:t>县</w:t>
      </w:r>
      <w:r>
        <w:rPr>
          <w:rFonts w:ascii="仿宋" w:hAnsi="仿宋" w:eastAsia="仿宋" w:cs="仿宋"/>
          <w:color w:val="000000" w:themeColor="text1"/>
          <w:spacing w:val="-7"/>
          <w:sz w:val="32"/>
          <w:szCs w:val="32"/>
          <w:highlight w:val="none"/>
          <w:u w:val="none"/>
          <w14:textFill>
            <w14:solidFill>
              <w14:schemeClr w14:val="tx1"/>
            </w14:solidFill>
          </w14:textFill>
        </w:rPr>
        <w:t>人民政府批准。其中，涉及改变土地性质、用途、利用条件和划拨土地使用权权利人的，由</w:t>
      </w:r>
      <w:r>
        <w:rPr>
          <w:rFonts w:hint="eastAsia" w:ascii="仿宋" w:hAnsi="仿宋" w:eastAsia="仿宋" w:cs="仿宋"/>
          <w:color w:val="000000" w:themeColor="text1"/>
          <w:spacing w:val="-7"/>
          <w:sz w:val="32"/>
          <w:szCs w:val="32"/>
          <w:highlight w:val="none"/>
          <w:u w:val="none"/>
          <w:lang w:eastAsia="zh-CN"/>
          <w14:textFill>
            <w14:solidFill>
              <w14:schemeClr w14:val="tx1"/>
            </w14:solidFill>
          </w14:textFill>
        </w:rPr>
        <w:t>县</w:t>
      </w:r>
      <w:r>
        <w:rPr>
          <w:rFonts w:ascii="仿宋" w:hAnsi="仿宋" w:eastAsia="仿宋" w:cs="仿宋"/>
          <w:color w:val="000000" w:themeColor="text1"/>
          <w:spacing w:val="-7"/>
          <w:sz w:val="32"/>
          <w:szCs w:val="32"/>
          <w:highlight w:val="none"/>
          <w:u w:val="none"/>
          <w14:textFill>
            <w14:solidFill>
              <w14:schemeClr w14:val="tx1"/>
            </w14:solidFill>
          </w14:textFill>
        </w:rPr>
        <w:t>自然</w:t>
      </w:r>
      <w:r>
        <w:rPr>
          <w:rFonts w:ascii="仿宋" w:hAnsi="仿宋" w:eastAsia="仿宋" w:cs="仿宋"/>
          <w:color w:val="000000" w:themeColor="text1"/>
          <w:spacing w:val="-10"/>
          <w:sz w:val="32"/>
          <w:szCs w:val="32"/>
          <w:highlight w:val="none"/>
          <w:u w:val="none"/>
          <w14:textFill>
            <w14:solidFill>
              <w14:schemeClr w14:val="tx1"/>
            </w14:solidFill>
          </w14:textFill>
        </w:rPr>
        <w:t>资源和规划局审核后报</w:t>
      </w:r>
      <w:r>
        <w:rPr>
          <w:rFonts w:hint="eastAsia" w:ascii="仿宋" w:hAnsi="仿宋" w:eastAsia="仿宋" w:cs="仿宋"/>
          <w:color w:val="000000" w:themeColor="text1"/>
          <w:spacing w:val="-10"/>
          <w:sz w:val="32"/>
          <w:szCs w:val="32"/>
          <w:highlight w:val="none"/>
          <w:u w:val="none"/>
          <w:lang w:eastAsia="zh-CN"/>
          <w14:textFill>
            <w14:solidFill>
              <w14:schemeClr w14:val="tx1"/>
            </w14:solidFill>
          </w14:textFill>
        </w:rPr>
        <w:t>县</w:t>
      </w:r>
      <w:r>
        <w:rPr>
          <w:rFonts w:ascii="仿宋" w:hAnsi="仿宋" w:eastAsia="仿宋" w:cs="仿宋"/>
          <w:color w:val="000000" w:themeColor="text1"/>
          <w:spacing w:val="-10"/>
          <w:sz w:val="32"/>
          <w:szCs w:val="32"/>
          <w:highlight w:val="none"/>
          <w:u w:val="none"/>
          <w14:textFill>
            <w14:solidFill>
              <w14:schemeClr w14:val="tx1"/>
            </w14:solidFill>
          </w14:textFill>
        </w:rPr>
        <w:t>人民政府批准。</w:t>
      </w:r>
    </w:p>
    <w:p w14:paraId="449552E4">
      <w:pPr>
        <w:keepNext w:val="0"/>
        <w:keepLines w:val="0"/>
        <w:pageBreakBefore w:val="0"/>
        <w:widowControl/>
        <w:kinsoku w:val="0"/>
        <w:wordWrap/>
        <w:overflowPunct/>
        <w:topLinePunct w:val="0"/>
        <w:autoSpaceDE w:val="0"/>
        <w:autoSpaceDN w:val="0"/>
        <w:bidi w:val="0"/>
        <w:adjustRightInd w:val="0"/>
        <w:snapToGrid w:val="0"/>
        <w:spacing w:before="53" w:line="560" w:lineRule="exact"/>
        <w:ind w:right="9" w:firstLine="629"/>
        <w:jc w:val="both"/>
        <w:textAlignment w:val="baseline"/>
        <w:rPr>
          <w:rFonts w:ascii="仿宋" w:hAnsi="仿宋" w:eastAsia="仿宋" w:cs="仿宋"/>
          <w:color w:val="000000" w:themeColor="text1"/>
          <w:sz w:val="32"/>
          <w:szCs w:val="32"/>
          <w:highlight w:val="yellow"/>
          <w14:textFill>
            <w14:solidFill>
              <w14:schemeClr w14:val="tx1"/>
            </w14:solidFill>
          </w14:textFill>
        </w:rPr>
      </w:pPr>
      <w:r>
        <w:rPr>
          <w:rFonts w:ascii="楷体" w:hAnsi="楷体" w:eastAsia="楷体" w:cs="楷体"/>
          <w:b/>
          <w:bCs/>
          <w:color w:val="000000" w:themeColor="text1"/>
          <w:spacing w:val="-1"/>
          <w:sz w:val="32"/>
          <w:szCs w:val="32"/>
          <w:highlight w:val="none"/>
          <w:u w:val="none"/>
          <w14:textFill>
            <w14:solidFill>
              <w14:schemeClr w14:val="tx1"/>
            </w14:solidFill>
          </w14:textFill>
        </w:rPr>
        <w:t>第三十</w:t>
      </w:r>
      <w:r>
        <w:rPr>
          <w:rFonts w:hint="eastAsia" w:ascii="楷体" w:hAnsi="楷体" w:eastAsia="楷体" w:cs="楷体"/>
          <w:b/>
          <w:bCs/>
          <w:color w:val="000000" w:themeColor="text1"/>
          <w:spacing w:val="-1"/>
          <w:sz w:val="32"/>
          <w:szCs w:val="32"/>
          <w:highlight w:val="none"/>
          <w:u w:val="none"/>
          <w:lang w:eastAsia="zh-CN"/>
          <w14:textFill>
            <w14:solidFill>
              <w14:schemeClr w14:val="tx1"/>
            </w14:solidFill>
          </w14:textFill>
        </w:rPr>
        <w:t>一</w:t>
      </w:r>
      <w:r>
        <w:rPr>
          <w:rFonts w:ascii="楷体" w:hAnsi="楷体" w:eastAsia="楷体" w:cs="楷体"/>
          <w:b/>
          <w:bCs/>
          <w:color w:val="000000" w:themeColor="text1"/>
          <w:spacing w:val="-1"/>
          <w:sz w:val="32"/>
          <w:szCs w:val="32"/>
          <w:highlight w:val="none"/>
          <w:u w:val="none"/>
          <w14:textFill>
            <w14:solidFill>
              <w14:schemeClr w14:val="tx1"/>
            </w14:solidFill>
          </w14:textFill>
        </w:rPr>
        <w:t>条</w:t>
      </w:r>
      <w:r>
        <w:rPr>
          <w:rFonts w:hint="eastAsia" w:ascii="楷体" w:hAnsi="楷体" w:eastAsia="楷体" w:cs="楷体"/>
          <w:b/>
          <w:bCs/>
          <w:color w:val="000000" w:themeColor="text1"/>
          <w:spacing w:val="-1"/>
          <w:sz w:val="32"/>
          <w:szCs w:val="32"/>
          <w:highlight w:val="none"/>
          <w:u w:val="none"/>
          <w:lang w:val="en-US" w:eastAsia="zh-CN"/>
          <w14:textFill>
            <w14:solidFill>
              <w14:schemeClr w14:val="tx1"/>
            </w14:solidFill>
          </w14:textFill>
        </w:rPr>
        <w:t xml:space="preserve"> </w:t>
      </w:r>
      <w:r>
        <w:rPr>
          <w:rFonts w:hint="eastAsia" w:ascii="仿宋" w:hAnsi="仿宋" w:eastAsia="仿宋" w:cs="仿宋"/>
          <w:b/>
          <w:bCs/>
          <w:color w:val="000000" w:themeColor="text1"/>
          <w:spacing w:val="-10"/>
          <w:sz w:val="32"/>
          <w:szCs w:val="32"/>
          <w:highlight w:val="none"/>
          <w:u w:val="none"/>
          <w:lang w:val="en-US" w:eastAsia="zh-CN"/>
          <w14:textFill>
            <w14:solidFill>
              <w14:schemeClr w14:val="tx1"/>
            </w14:solidFill>
          </w14:textFill>
        </w:rPr>
        <w:t xml:space="preserve"> </w:t>
      </w:r>
      <w:r>
        <w:rPr>
          <w:rFonts w:ascii="仿宋" w:hAnsi="仿宋" w:eastAsia="仿宋" w:cs="仿宋"/>
          <w:color w:val="000000" w:themeColor="text1"/>
          <w:spacing w:val="-10"/>
          <w:sz w:val="32"/>
          <w:szCs w:val="32"/>
          <w:highlight w:val="none"/>
          <w:u w:val="none"/>
          <w14:textFill>
            <w14:solidFill>
              <w14:schemeClr w14:val="tx1"/>
            </w14:solidFill>
          </w14:textFill>
        </w:rPr>
        <w:t>土地、房屋资产出租出借，属于</w:t>
      </w:r>
      <w:r>
        <w:rPr>
          <w:rFonts w:hint="eastAsia" w:ascii="仿宋" w:hAnsi="仿宋" w:eastAsia="仿宋" w:cs="仿宋"/>
          <w:color w:val="000000" w:themeColor="text1"/>
          <w:spacing w:val="-10"/>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10"/>
          <w:sz w:val="32"/>
          <w:szCs w:val="32"/>
          <w:highlight w:val="none"/>
          <w:u w:val="none"/>
          <w14:textFill>
            <w14:solidFill>
              <w14:schemeClr w14:val="tx1"/>
            </w14:solidFill>
          </w14:textFill>
        </w:rPr>
        <w:t>管理的，应报</w:t>
      </w:r>
      <w:r>
        <w:rPr>
          <w:rFonts w:hint="eastAsia" w:ascii="仿宋" w:hAnsi="仿宋" w:eastAsia="仿宋" w:cs="仿宋"/>
          <w:color w:val="000000" w:themeColor="text1"/>
          <w:spacing w:val="-10"/>
          <w:sz w:val="32"/>
          <w:szCs w:val="32"/>
          <w:highlight w:val="none"/>
          <w:u w:val="none"/>
          <w:lang w:eastAsia="zh-CN"/>
          <w14:textFill>
            <w14:solidFill>
              <w14:schemeClr w14:val="tx1"/>
            </w14:solidFill>
          </w14:textFill>
        </w:rPr>
        <w:t>县机关事务服务中心</w:t>
      </w:r>
      <w:r>
        <w:rPr>
          <w:rFonts w:ascii="仿宋" w:hAnsi="仿宋" w:eastAsia="仿宋" w:cs="仿宋"/>
          <w:color w:val="000000" w:themeColor="text1"/>
          <w:spacing w:val="-10"/>
          <w:sz w:val="32"/>
          <w:szCs w:val="32"/>
          <w:highlight w:val="none"/>
          <w:u w:val="none"/>
          <w14:textFill>
            <w14:solidFill>
              <w14:schemeClr w14:val="tx1"/>
            </w14:solidFill>
          </w14:textFill>
        </w:rPr>
        <w:t>审核或审批，并按规定权限报</w:t>
      </w:r>
      <w:r>
        <w:rPr>
          <w:rFonts w:hint="eastAsia" w:ascii="仿宋" w:hAnsi="仿宋" w:eastAsia="仿宋" w:cs="仿宋"/>
          <w:color w:val="000000" w:themeColor="text1"/>
          <w:spacing w:val="-10"/>
          <w:sz w:val="32"/>
          <w:szCs w:val="32"/>
          <w:highlight w:val="none"/>
          <w:u w:val="none"/>
          <w:lang w:eastAsia="zh-CN"/>
          <w14:textFill>
            <w14:solidFill>
              <w14:schemeClr w14:val="tx1"/>
            </w14:solidFill>
          </w14:textFill>
        </w:rPr>
        <w:t>县</w:t>
      </w:r>
      <w:r>
        <w:rPr>
          <w:rFonts w:ascii="仿宋" w:hAnsi="仿宋" w:eastAsia="仿宋" w:cs="仿宋"/>
          <w:color w:val="000000" w:themeColor="text1"/>
          <w:spacing w:val="-10"/>
          <w:sz w:val="32"/>
          <w:szCs w:val="32"/>
          <w:highlight w:val="none"/>
          <w:u w:val="none"/>
          <w14:textFill>
            <w14:solidFill>
              <w14:schemeClr w14:val="tx1"/>
            </w14:solidFill>
          </w14:textFill>
        </w:rPr>
        <w:t>财政局审批或备案；属于</w:t>
      </w:r>
      <w:r>
        <w:rPr>
          <w:rFonts w:hint="eastAsia" w:ascii="仿宋" w:hAnsi="仿宋" w:eastAsia="仿宋" w:cs="仿宋"/>
          <w:color w:val="000000" w:themeColor="text1"/>
          <w:spacing w:val="-10"/>
          <w:sz w:val="32"/>
          <w:szCs w:val="32"/>
          <w:highlight w:val="none"/>
          <w:u w:val="none"/>
          <w:lang w:eastAsia="zh-CN"/>
          <w14:textFill>
            <w14:solidFill>
              <w14:schemeClr w14:val="tx1"/>
            </w14:solidFill>
          </w14:textFill>
        </w:rPr>
        <w:t>县机关事务服务中心</w:t>
      </w:r>
      <w:r>
        <w:rPr>
          <w:rFonts w:ascii="仿宋" w:hAnsi="仿宋" w:eastAsia="仿宋" w:cs="仿宋"/>
          <w:color w:val="000000" w:themeColor="text1"/>
          <w:spacing w:val="-10"/>
          <w:sz w:val="32"/>
          <w:szCs w:val="32"/>
          <w:highlight w:val="none"/>
          <w:u w:val="none"/>
          <w14:textFill>
            <w14:solidFill>
              <w14:schemeClr w14:val="tx1"/>
            </w14:solidFill>
          </w14:textFill>
        </w:rPr>
        <w:t>直接管理的，按规定权限报</w:t>
      </w:r>
      <w:r>
        <w:rPr>
          <w:rFonts w:hint="eastAsia" w:ascii="仿宋" w:hAnsi="仿宋" w:eastAsia="仿宋" w:cs="仿宋"/>
          <w:color w:val="000000" w:themeColor="text1"/>
          <w:spacing w:val="-10"/>
          <w:sz w:val="32"/>
          <w:szCs w:val="32"/>
          <w:highlight w:val="none"/>
          <w:u w:val="none"/>
          <w:lang w:eastAsia="zh-CN"/>
          <w14:textFill>
            <w14:solidFill>
              <w14:schemeClr w14:val="tx1"/>
            </w14:solidFill>
          </w14:textFill>
        </w:rPr>
        <w:t>县</w:t>
      </w:r>
      <w:r>
        <w:rPr>
          <w:rFonts w:ascii="仿宋" w:hAnsi="仿宋" w:eastAsia="仿宋" w:cs="仿宋"/>
          <w:color w:val="000000" w:themeColor="text1"/>
          <w:spacing w:val="-10"/>
          <w:sz w:val="32"/>
          <w:szCs w:val="32"/>
          <w:highlight w:val="none"/>
          <w:u w:val="none"/>
          <w14:textFill>
            <w14:solidFill>
              <w14:schemeClr w14:val="tx1"/>
            </w14:solidFill>
          </w14:textFill>
        </w:rPr>
        <w:t>财政局审批或备案。未经批准不得擅自出租出借。涉及</w:t>
      </w:r>
      <w:r>
        <w:rPr>
          <w:rFonts w:hint="eastAsia" w:ascii="仿宋" w:hAnsi="仿宋" w:eastAsia="仿宋" w:cs="仿宋"/>
          <w:color w:val="000000" w:themeColor="text1"/>
          <w:spacing w:val="-10"/>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10"/>
          <w:sz w:val="32"/>
          <w:szCs w:val="32"/>
          <w:highlight w:val="none"/>
          <w:u w:val="none"/>
          <w14:textFill>
            <w14:solidFill>
              <w14:schemeClr w14:val="tx1"/>
            </w14:solidFill>
          </w14:textFill>
        </w:rPr>
        <w:t>土地资产的有偿使用，应按规定报</w:t>
      </w:r>
      <w:r>
        <w:rPr>
          <w:rFonts w:hint="eastAsia" w:ascii="仿宋" w:hAnsi="仿宋" w:eastAsia="仿宋" w:cs="仿宋"/>
          <w:color w:val="000000" w:themeColor="text1"/>
          <w:spacing w:val="-10"/>
          <w:sz w:val="32"/>
          <w:szCs w:val="32"/>
          <w:highlight w:val="none"/>
          <w:u w:val="none"/>
          <w:lang w:eastAsia="zh-CN"/>
          <w14:textFill>
            <w14:solidFill>
              <w14:schemeClr w14:val="tx1"/>
            </w14:solidFill>
          </w14:textFill>
        </w:rPr>
        <w:t>县</w:t>
      </w:r>
      <w:r>
        <w:rPr>
          <w:rFonts w:ascii="仿宋" w:hAnsi="仿宋" w:eastAsia="仿宋" w:cs="仿宋"/>
          <w:color w:val="000000" w:themeColor="text1"/>
          <w:spacing w:val="-10"/>
          <w:sz w:val="32"/>
          <w:szCs w:val="32"/>
          <w:highlight w:val="none"/>
          <w:u w:val="none"/>
          <w14:textFill>
            <w14:solidFill>
              <w14:schemeClr w14:val="tx1"/>
            </w14:solidFill>
          </w14:textFill>
        </w:rPr>
        <w:t>人民政府批准。</w:t>
      </w:r>
    </w:p>
    <w:p w14:paraId="7CAD027B">
      <w:pPr>
        <w:keepNext w:val="0"/>
        <w:keepLines w:val="0"/>
        <w:pageBreakBefore w:val="0"/>
        <w:widowControl/>
        <w:kinsoku w:val="0"/>
        <w:wordWrap/>
        <w:overflowPunct/>
        <w:topLinePunct w:val="0"/>
        <w:autoSpaceDE w:val="0"/>
        <w:autoSpaceDN w:val="0"/>
        <w:bidi w:val="0"/>
        <w:adjustRightInd w:val="0"/>
        <w:snapToGrid w:val="0"/>
        <w:spacing w:before="53" w:line="560" w:lineRule="exact"/>
        <w:ind w:right="9" w:firstLine="629"/>
        <w:jc w:val="both"/>
        <w:textAlignment w:val="baseline"/>
        <w:rPr>
          <w:rFonts w:ascii="仿宋" w:hAnsi="仿宋" w:eastAsia="仿宋" w:cs="仿宋"/>
          <w:color w:val="000000" w:themeColor="text1"/>
          <w:spacing w:val="-10"/>
          <w:sz w:val="32"/>
          <w:szCs w:val="32"/>
          <w:highlight w:val="none"/>
          <w:u w:val="none"/>
          <w14:textFill>
            <w14:solidFill>
              <w14:schemeClr w14:val="tx1"/>
            </w14:solidFill>
          </w14:textFill>
        </w:rPr>
      </w:pPr>
      <w:r>
        <w:rPr>
          <w:rFonts w:ascii="仿宋" w:hAnsi="仿宋" w:eastAsia="仿宋" w:cs="仿宋"/>
          <w:color w:val="000000" w:themeColor="text1"/>
          <w:spacing w:val="-10"/>
          <w:sz w:val="32"/>
          <w:szCs w:val="32"/>
          <w:highlight w:val="none"/>
          <w:u w:val="none"/>
          <w14:textFill>
            <w14:solidFill>
              <w14:schemeClr w14:val="tx1"/>
            </w14:solidFill>
          </w14:textFill>
        </w:rPr>
        <w:t>土地、房屋资产出租须经专业评估机构评估后，由</w:t>
      </w:r>
      <w:r>
        <w:rPr>
          <w:rFonts w:hint="eastAsia" w:ascii="仿宋" w:hAnsi="仿宋" w:eastAsia="仿宋" w:cs="仿宋"/>
          <w:color w:val="000000" w:themeColor="text1"/>
          <w:spacing w:val="-10"/>
          <w:sz w:val="32"/>
          <w:szCs w:val="32"/>
          <w:highlight w:val="none"/>
          <w:u w:val="none"/>
          <w:lang w:eastAsia="zh-CN"/>
          <w14:textFill>
            <w14:solidFill>
              <w14:schemeClr w14:val="tx1"/>
            </w14:solidFill>
          </w14:textFill>
        </w:rPr>
        <w:t>各管理单位</w:t>
      </w:r>
      <w:r>
        <w:rPr>
          <w:rFonts w:ascii="仿宋" w:hAnsi="仿宋" w:eastAsia="仿宋" w:cs="仿宋"/>
          <w:color w:val="000000" w:themeColor="text1"/>
          <w:spacing w:val="-10"/>
          <w:sz w:val="32"/>
          <w:szCs w:val="32"/>
          <w:highlight w:val="none"/>
          <w:u w:val="none"/>
          <w14:textFill>
            <w14:solidFill>
              <w14:schemeClr w14:val="tx1"/>
            </w14:solidFill>
          </w14:textFill>
        </w:rPr>
        <w:t>组织拍卖机构进入公共资源交易中心对租赁权实行统一公开拍卖；对外出租资产涉及公共安全、文物保护、公共服务等特殊情况的，经</w:t>
      </w:r>
      <w:r>
        <w:rPr>
          <w:rFonts w:hint="eastAsia" w:ascii="仿宋" w:hAnsi="仿宋" w:eastAsia="仿宋" w:cs="仿宋"/>
          <w:color w:val="000000" w:themeColor="text1"/>
          <w:spacing w:val="-10"/>
          <w:sz w:val="32"/>
          <w:szCs w:val="32"/>
          <w:highlight w:val="none"/>
          <w:u w:val="none"/>
          <w:lang w:eastAsia="zh-CN"/>
          <w14:textFill>
            <w14:solidFill>
              <w14:schemeClr w14:val="tx1"/>
            </w14:solidFill>
          </w14:textFill>
        </w:rPr>
        <w:t>县机关事务服务中心</w:t>
      </w:r>
      <w:r>
        <w:rPr>
          <w:rFonts w:ascii="仿宋" w:hAnsi="仿宋" w:eastAsia="仿宋" w:cs="仿宋"/>
          <w:color w:val="000000" w:themeColor="text1"/>
          <w:spacing w:val="-10"/>
          <w:sz w:val="32"/>
          <w:szCs w:val="32"/>
          <w:highlight w:val="none"/>
          <w:u w:val="none"/>
          <w14:textFill>
            <w14:solidFill>
              <w14:schemeClr w14:val="tx1"/>
            </w14:solidFill>
          </w14:textFill>
        </w:rPr>
        <w:t>审核、报</w:t>
      </w:r>
      <w:r>
        <w:rPr>
          <w:rFonts w:hint="eastAsia" w:ascii="仿宋" w:hAnsi="仿宋" w:eastAsia="仿宋" w:cs="仿宋"/>
          <w:color w:val="000000" w:themeColor="text1"/>
          <w:spacing w:val="-10"/>
          <w:sz w:val="32"/>
          <w:szCs w:val="32"/>
          <w:highlight w:val="none"/>
          <w:u w:val="none"/>
          <w:lang w:eastAsia="zh-CN"/>
          <w14:textFill>
            <w14:solidFill>
              <w14:schemeClr w14:val="tx1"/>
            </w14:solidFill>
          </w14:textFill>
        </w:rPr>
        <w:t>县</w:t>
      </w:r>
      <w:r>
        <w:rPr>
          <w:rFonts w:ascii="仿宋" w:hAnsi="仿宋" w:eastAsia="仿宋" w:cs="仿宋"/>
          <w:color w:val="000000" w:themeColor="text1"/>
          <w:spacing w:val="-10"/>
          <w:sz w:val="32"/>
          <w:szCs w:val="32"/>
          <w:highlight w:val="none"/>
          <w:u w:val="none"/>
          <w14:textFill>
            <w14:solidFill>
              <w14:schemeClr w14:val="tx1"/>
            </w14:solidFill>
          </w14:textFill>
        </w:rPr>
        <w:t>财政局批准后，可采取协议出租的方式出租。</w:t>
      </w:r>
    </w:p>
    <w:p w14:paraId="6EE05B3D">
      <w:pPr>
        <w:keepNext w:val="0"/>
        <w:keepLines w:val="0"/>
        <w:pageBreakBefore w:val="0"/>
        <w:widowControl/>
        <w:kinsoku w:val="0"/>
        <w:wordWrap/>
        <w:overflowPunct/>
        <w:topLinePunct w:val="0"/>
        <w:autoSpaceDE w:val="0"/>
        <w:autoSpaceDN w:val="0"/>
        <w:bidi w:val="0"/>
        <w:adjustRightInd w:val="0"/>
        <w:snapToGrid w:val="0"/>
        <w:spacing w:before="104" w:line="560" w:lineRule="exact"/>
        <w:ind w:firstLine="658" w:firstLineChars="200"/>
        <w:jc w:val="both"/>
        <w:textAlignment w:val="baseline"/>
        <w:outlineLvl w:val="6"/>
        <w:rPr>
          <w:rFonts w:ascii="仿宋" w:hAnsi="仿宋" w:eastAsia="仿宋" w:cs="仿宋"/>
          <w:color w:val="000000" w:themeColor="text1"/>
          <w:spacing w:val="-15"/>
          <w:sz w:val="32"/>
          <w:szCs w:val="32"/>
          <w:highlight w:val="none"/>
          <w14:textFill>
            <w14:solidFill>
              <w14:schemeClr w14:val="tx1"/>
            </w14:solidFill>
          </w14:textFill>
        </w:rPr>
      </w:pPr>
      <w:r>
        <w:rPr>
          <w:rFonts w:ascii="楷体" w:hAnsi="楷体" w:eastAsia="楷体" w:cs="楷体"/>
          <w:b/>
          <w:bCs/>
          <w:color w:val="000000" w:themeColor="text1"/>
          <w:spacing w:val="9"/>
          <w:sz w:val="31"/>
          <w:szCs w:val="31"/>
          <w:highlight w:val="none"/>
          <w14:textFill>
            <w14:solidFill>
              <w14:schemeClr w14:val="tx1"/>
            </w14:solidFill>
          </w14:textFill>
        </w:rPr>
        <w:t>第三十</w:t>
      </w:r>
      <w:r>
        <w:rPr>
          <w:rFonts w:hint="eastAsia" w:ascii="楷体" w:hAnsi="楷体" w:eastAsia="楷体" w:cs="楷体"/>
          <w:b/>
          <w:bCs/>
          <w:color w:val="000000" w:themeColor="text1"/>
          <w:spacing w:val="9"/>
          <w:sz w:val="31"/>
          <w:szCs w:val="31"/>
          <w:highlight w:val="none"/>
          <w:lang w:eastAsia="zh-CN"/>
          <w14:textFill>
            <w14:solidFill>
              <w14:schemeClr w14:val="tx1"/>
            </w14:solidFill>
          </w14:textFill>
        </w:rPr>
        <w:t>二</w:t>
      </w:r>
      <w:r>
        <w:rPr>
          <w:rFonts w:ascii="楷体" w:hAnsi="楷体" w:eastAsia="楷体" w:cs="楷体"/>
          <w:b/>
          <w:bCs/>
          <w:color w:val="000000" w:themeColor="text1"/>
          <w:spacing w:val="9"/>
          <w:sz w:val="31"/>
          <w:szCs w:val="31"/>
          <w:highlight w:val="none"/>
          <w14:textFill>
            <w14:solidFill>
              <w14:schemeClr w14:val="tx1"/>
            </w14:solidFill>
          </w14:textFill>
        </w:rPr>
        <w:t>条</w:t>
      </w:r>
      <w:r>
        <w:rPr>
          <w:rFonts w:hint="eastAsia" w:ascii="楷体" w:hAnsi="楷体" w:eastAsia="楷体" w:cs="楷体"/>
          <w:color w:val="000000" w:themeColor="text1"/>
          <w:spacing w:val="-1"/>
          <w:sz w:val="32"/>
          <w:szCs w:val="32"/>
          <w:highlight w:val="none"/>
          <w:lang w:val="en-US" w:eastAsia="zh-CN"/>
          <w14:textFill>
            <w14:solidFill>
              <w14:schemeClr w14:val="tx1"/>
            </w14:solidFill>
          </w14:textFill>
        </w:rPr>
        <w:t xml:space="preserve">  </w:t>
      </w:r>
      <w:r>
        <w:rPr>
          <w:rFonts w:ascii="仿宋" w:hAnsi="仿宋" w:eastAsia="仿宋" w:cs="仿宋"/>
          <w:color w:val="000000" w:themeColor="text1"/>
          <w:spacing w:val="-1"/>
          <w:sz w:val="32"/>
          <w:szCs w:val="32"/>
          <w:highlight w:val="none"/>
          <w14:textFill>
            <w14:solidFill>
              <w14:schemeClr w14:val="tx1"/>
            </w14:solidFill>
          </w14:textFill>
        </w:rPr>
        <w:t>经批准转让的土地资产，应根据国家有关法律</w:t>
      </w:r>
      <w:r>
        <w:rPr>
          <w:rFonts w:ascii="仿宋" w:hAnsi="仿宋" w:eastAsia="仿宋" w:cs="仿宋"/>
          <w:color w:val="000000" w:themeColor="text1"/>
          <w:spacing w:val="-6"/>
          <w:sz w:val="32"/>
          <w:szCs w:val="32"/>
          <w:highlight w:val="none"/>
          <w14:textFill>
            <w14:solidFill>
              <w14:schemeClr w14:val="tx1"/>
            </w14:solidFill>
          </w14:textFill>
        </w:rPr>
        <w:t>法规，遵循“房地一体”原则，采取招标、</w:t>
      </w:r>
      <w:r>
        <w:rPr>
          <w:rFonts w:ascii="仿宋" w:hAnsi="仿宋" w:eastAsia="仿宋" w:cs="仿宋"/>
          <w:color w:val="000000" w:themeColor="text1"/>
          <w:spacing w:val="-7"/>
          <w:sz w:val="32"/>
          <w:szCs w:val="32"/>
          <w:highlight w:val="none"/>
          <w14:textFill>
            <w14:solidFill>
              <w14:schemeClr w14:val="tx1"/>
            </w14:solidFill>
          </w14:textFill>
        </w:rPr>
        <w:t>拍卖、挂牌、协议转</w:t>
      </w:r>
      <w:r>
        <w:rPr>
          <w:rFonts w:ascii="仿宋" w:hAnsi="仿宋" w:eastAsia="仿宋" w:cs="仿宋"/>
          <w:color w:val="000000" w:themeColor="text1"/>
          <w:spacing w:val="5"/>
          <w:sz w:val="32"/>
          <w:szCs w:val="32"/>
          <w:highlight w:val="none"/>
          <w14:textFill>
            <w14:solidFill>
              <w14:schemeClr w14:val="tx1"/>
            </w14:solidFill>
          </w14:textFill>
        </w:rPr>
        <w:t>让等方式实施，需要改变国有建设用地性质、用途和利用条件</w:t>
      </w:r>
      <w:r>
        <w:rPr>
          <w:rFonts w:ascii="仿宋" w:hAnsi="仿宋" w:eastAsia="仿宋" w:cs="仿宋"/>
          <w:color w:val="000000" w:themeColor="text1"/>
          <w:spacing w:val="-7"/>
          <w:sz w:val="32"/>
          <w:szCs w:val="32"/>
          <w:highlight w:val="none"/>
          <w14:textFill>
            <w14:solidFill>
              <w14:schemeClr w14:val="tx1"/>
            </w14:solidFill>
          </w14:textFill>
        </w:rPr>
        <w:t>的，应当依法依规办理相关手续；因划转、撤销、合并、分立等</w:t>
      </w:r>
      <w:r>
        <w:rPr>
          <w:rFonts w:ascii="仿宋" w:hAnsi="仿宋" w:eastAsia="仿宋" w:cs="仿宋"/>
          <w:color w:val="000000" w:themeColor="text1"/>
          <w:spacing w:val="-6"/>
          <w:sz w:val="32"/>
          <w:szCs w:val="32"/>
          <w:highlight w:val="none"/>
          <w14:textFill>
            <w14:solidFill>
              <w14:schemeClr w14:val="tx1"/>
            </w14:solidFill>
          </w14:textFill>
        </w:rPr>
        <w:t>涉及土地资产处置的，按照国家有关法律法规和</w:t>
      </w:r>
      <w:r>
        <w:rPr>
          <w:rFonts w:ascii="仿宋" w:hAnsi="仿宋" w:eastAsia="仿宋" w:cs="仿宋"/>
          <w:color w:val="000000" w:themeColor="text1"/>
          <w:spacing w:val="-7"/>
          <w:sz w:val="32"/>
          <w:szCs w:val="32"/>
          <w:highlight w:val="none"/>
          <w14:textFill>
            <w14:solidFill>
              <w14:schemeClr w14:val="tx1"/>
            </w14:solidFill>
          </w14:textFill>
        </w:rPr>
        <w:t>省、</w:t>
      </w:r>
      <w:r>
        <w:rPr>
          <w:rFonts w:hint="eastAsia" w:ascii="仿宋" w:hAnsi="仿宋" w:eastAsia="仿宋" w:cs="仿宋"/>
          <w:color w:val="000000" w:themeColor="text1"/>
          <w:spacing w:val="-7"/>
          <w:sz w:val="32"/>
          <w:szCs w:val="32"/>
          <w:highlight w:val="none"/>
          <w:lang w:eastAsia="zh-CN"/>
          <w14:textFill>
            <w14:solidFill>
              <w14:schemeClr w14:val="tx1"/>
            </w14:solidFill>
          </w14:textFill>
        </w:rPr>
        <w:t>市、县</w:t>
      </w:r>
      <w:r>
        <w:rPr>
          <w:rFonts w:ascii="仿宋" w:hAnsi="仿宋" w:eastAsia="仿宋" w:cs="仿宋"/>
          <w:color w:val="000000" w:themeColor="text1"/>
          <w:spacing w:val="-7"/>
          <w:sz w:val="32"/>
          <w:szCs w:val="32"/>
          <w:highlight w:val="none"/>
          <w14:textFill>
            <w14:solidFill>
              <w14:schemeClr w14:val="tx1"/>
            </w14:solidFill>
          </w14:textFill>
        </w:rPr>
        <w:t>人民政府</w:t>
      </w:r>
      <w:r>
        <w:rPr>
          <w:rFonts w:ascii="仿宋" w:hAnsi="仿宋" w:eastAsia="仿宋" w:cs="仿宋"/>
          <w:color w:val="000000" w:themeColor="text1"/>
          <w:spacing w:val="-15"/>
          <w:sz w:val="32"/>
          <w:szCs w:val="32"/>
          <w:highlight w:val="none"/>
          <w14:textFill>
            <w14:solidFill>
              <w14:schemeClr w14:val="tx1"/>
            </w14:solidFill>
          </w14:textFill>
        </w:rPr>
        <w:t>有关规定执行。</w:t>
      </w:r>
    </w:p>
    <w:p w14:paraId="537DECD6">
      <w:pPr>
        <w:keepNext w:val="0"/>
        <w:keepLines w:val="0"/>
        <w:pageBreakBefore w:val="0"/>
        <w:widowControl/>
        <w:kinsoku w:val="0"/>
        <w:wordWrap/>
        <w:overflowPunct/>
        <w:topLinePunct w:val="0"/>
        <w:autoSpaceDE w:val="0"/>
        <w:autoSpaceDN w:val="0"/>
        <w:bidi w:val="0"/>
        <w:adjustRightInd w:val="0"/>
        <w:snapToGrid w:val="0"/>
        <w:spacing w:before="104" w:line="560" w:lineRule="exact"/>
        <w:jc w:val="center"/>
        <w:textAlignment w:val="baseline"/>
        <w:outlineLvl w:val="6"/>
        <w:rPr>
          <w:rFonts w:ascii="黑体" w:hAnsi="黑体" w:eastAsia="黑体" w:cs="黑体"/>
          <w:color w:val="000000" w:themeColor="text1"/>
          <w:sz w:val="32"/>
          <w:szCs w:val="32"/>
          <w:highlight w:val="none"/>
          <w14:textFill>
            <w14:solidFill>
              <w14:schemeClr w14:val="tx1"/>
            </w14:solidFill>
          </w14:textFill>
        </w:rPr>
      </w:pPr>
      <w:r>
        <w:rPr>
          <w:rFonts w:ascii="黑体" w:hAnsi="黑体" w:eastAsia="黑体" w:cs="黑体"/>
          <w:b/>
          <w:bCs/>
          <w:color w:val="000000" w:themeColor="text1"/>
          <w:spacing w:val="-10"/>
          <w:sz w:val="32"/>
          <w:szCs w:val="32"/>
          <w:highlight w:val="none"/>
          <w14:textFill>
            <w14:solidFill>
              <w14:schemeClr w14:val="tx1"/>
            </w14:solidFill>
          </w14:textFill>
        </w:rPr>
        <w:t>第五章</w:t>
      </w:r>
      <w:r>
        <w:rPr>
          <w:rFonts w:hint="eastAsia" w:ascii="黑体" w:hAnsi="黑体" w:eastAsia="黑体" w:cs="黑体"/>
          <w:b/>
          <w:bCs/>
          <w:color w:val="000000" w:themeColor="text1"/>
          <w:spacing w:val="-10"/>
          <w:sz w:val="32"/>
          <w:szCs w:val="32"/>
          <w:highlight w:val="none"/>
          <w:lang w:val="en-US" w:eastAsia="zh-CN"/>
          <w14:textFill>
            <w14:solidFill>
              <w14:schemeClr w14:val="tx1"/>
            </w14:solidFill>
          </w14:textFill>
        </w:rPr>
        <w:t xml:space="preserve">  </w:t>
      </w:r>
      <w:r>
        <w:rPr>
          <w:rFonts w:ascii="黑体" w:hAnsi="黑体" w:eastAsia="黑体" w:cs="黑体"/>
          <w:b/>
          <w:bCs/>
          <w:color w:val="000000" w:themeColor="text1"/>
          <w:spacing w:val="-10"/>
          <w:sz w:val="32"/>
          <w:szCs w:val="32"/>
          <w:highlight w:val="none"/>
          <w14:textFill>
            <w14:solidFill>
              <w14:schemeClr w14:val="tx1"/>
            </w14:solidFill>
          </w14:textFill>
        </w:rPr>
        <w:t>公务用车及其他资产管理</w:t>
      </w:r>
    </w:p>
    <w:p w14:paraId="1E07FE9C">
      <w:pPr>
        <w:keepNext w:val="0"/>
        <w:keepLines w:val="0"/>
        <w:pageBreakBefore w:val="0"/>
        <w:widowControl/>
        <w:kinsoku w:val="0"/>
        <w:wordWrap/>
        <w:overflowPunct/>
        <w:topLinePunct w:val="0"/>
        <w:autoSpaceDE w:val="0"/>
        <w:autoSpaceDN w:val="0"/>
        <w:bidi w:val="0"/>
        <w:adjustRightInd w:val="0"/>
        <w:snapToGrid w:val="0"/>
        <w:spacing w:before="217" w:line="560" w:lineRule="exact"/>
        <w:ind w:right="25" w:firstLine="649"/>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ascii="楷体" w:hAnsi="楷体" w:eastAsia="楷体" w:cs="楷体"/>
          <w:b/>
          <w:bCs/>
          <w:color w:val="000000" w:themeColor="text1"/>
          <w:spacing w:val="9"/>
          <w:sz w:val="31"/>
          <w:szCs w:val="31"/>
          <w:highlight w:val="none"/>
          <w:u w:val="none"/>
          <w14:textFill>
            <w14:solidFill>
              <w14:schemeClr w14:val="tx1"/>
            </w14:solidFill>
          </w14:textFill>
        </w:rPr>
        <w:t>第三十</w:t>
      </w:r>
      <w:r>
        <w:rPr>
          <w:rFonts w:hint="eastAsia" w:ascii="楷体" w:hAnsi="楷体" w:eastAsia="楷体" w:cs="楷体"/>
          <w:b/>
          <w:bCs/>
          <w:color w:val="000000" w:themeColor="text1"/>
          <w:spacing w:val="9"/>
          <w:sz w:val="31"/>
          <w:szCs w:val="31"/>
          <w:highlight w:val="none"/>
          <w:u w:val="none"/>
          <w:lang w:eastAsia="zh-CN"/>
          <w14:textFill>
            <w14:solidFill>
              <w14:schemeClr w14:val="tx1"/>
            </w14:solidFill>
          </w14:textFill>
        </w:rPr>
        <w:t>三</w:t>
      </w:r>
      <w:r>
        <w:rPr>
          <w:rFonts w:ascii="楷体" w:hAnsi="楷体" w:eastAsia="楷体" w:cs="楷体"/>
          <w:b/>
          <w:bCs/>
          <w:color w:val="000000" w:themeColor="text1"/>
          <w:spacing w:val="9"/>
          <w:sz w:val="31"/>
          <w:szCs w:val="31"/>
          <w:highlight w:val="none"/>
          <w:u w:val="none"/>
          <w14:textFill>
            <w14:solidFill>
              <w14:schemeClr w14:val="tx1"/>
            </w14:solidFill>
          </w14:textFill>
        </w:rPr>
        <w:t>条</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u w:val="none"/>
          <w:lang w:eastAsia="zh-CN"/>
          <w14:textFill>
            <w14:solidFill>
              <w14:schemeClr w14:val="tx1"/>
            </w14:solidFill>
          </w14:textFill>
        </w:rPr>
        <w:t>县机关事务服务中心</w:t>
      </w:r>
      <w:r>
        <w:rPr>
          <w:rFonts w:ascii="仿宋" w:hAnsi="仿宋" w:eastAsia="仿宋" w:cs="仿宋"/>
          <w:color w:val="000000" w:themeColor="text1"/>
          <w:sz w:val="32"/>
          <w:szCs w:val="32"/>
          <w:highlight w:val="none"/>
          <w:u w:val="none"/>
          <w14:textFill>
            <w14:solidFill>
              <w14:schemeClr w14:val="tx1"/>
            </w14:solidFill>
          </w14:textFill>
        </w:rPr>
        <w:t>根据</w:t>
      </w:r>
      <w:r>
        <w:rPr>
          <w:rFonts w:hint="eastAsia" w:ascii="仿宋" w:hAnsi="仿宋" w:eastAsia="仿宋" w:cs="仿宋"/>
          <w:color w:val="000000" w:themeColor="text1"/>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z w:val="32"/>
          <w:szCs w:val="32"/>
          <w:highlight w:val="none"/>
          <w:u w:val="none"/>
          <w14:textFill>
            <w14:solidFill>
              <w14:schemeClr w14:val="tx1"/>
            </w14:solidFill>
          </w14:textFill>
        </w:rPr>
        <w:t>的申请，统筹</w:t>
      </w:r>
      <w:r>
        <w:rPr>
          <w:rFonts w:ascii="仿宋" w:hAnsi="仿宋" w:eastAsia="仿宋" w:cs="仿宋"/>
          <w:color w:val="000000" w:themeColor="text1"/>
          <w:spacing w:val="-1"/>
          <w:sz w:val="32"/>
          <w:szCs w:val="32"/>
          <w:highlight w:val="none"/>
          <w:u w:val="none"/>
          <w14:textFill>
            <w14:solidFill>
              <w14:schemeClr w14:val="tx1"/>
            </w14:solidFill>
          </w14:textFill>
        </w:rPr>
        <w:t>编制</w:t>
      </w:r>
      <w:r>
        <w:rPr>
          <w:rFonts w:ascii="仿宋" w:hAnsi="仿宋" w:eastAsia="仿宋" w:cs="仿宋"/>
          <w:color w:val="000000" w:themeColor="text1"/>
          <w:spacing w:val="-6"/>
          <w:sz w:val="32"/>
          <w:szCs w:val="32"/>
          <w:highlight w:val="none"/>
          <w:u w:val="none"/>
          <w14:textFill>
            <w14:solidFill>
              <w14:schemeClr w14:val="tx1"/>
            </w14:solidFill>
          </w14:textFill>
        </w:rPr>
        <w:t>年度公务用车配备更新计划。</w:t>
      </w: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县</w:t>
      </w:r>
      <w:r>
        <w:rPr>
          <w:rFonts w:ascii="仿宋" w:hAnsi="仿宋" w:eastAsia="仿宋" w:cs="仿宋"/>
          <w:color w:val="000000" w:themeColor="text1"/>
          <w:spacing w:val="-6"/>
          <w:sz w:val="32"/>
          <w:szCs w:val="32"/>
          <w:highlight w:val="none"/>
          <w:u w:val="none"/>
          <w14:textFill>
            <w14:solidFill>
              <w14:schemeClr w14:val="tx1"/>
            </w14:solidFill>
          </w14:textFill>
        </w:rPr>
        <w:t>财政局根据年度公务用车配备更</w:t>
      </w:r>
      <w:r>
        <w:rPr>
          <w:rFonts w:ascii="仿宋" w:hAnsi="仿宋" w:eastAsia="仿宋" w:cs="仿宋"/>
          <w:color w:val="000000" w:themeColor="text1"/>
          <w:spacing w:val="-7"/>
          <w:sz w:val="32"/>
          <w:szCs w:val="32"/>
          <w:highlight w:val="none"/>
          <w:u w:val="none"/>
          <w14:textFill>
            <w14:solidFill>
              <w14:schemeClr w14:val="tx1"/>
            </w14:solidFill>
          </w14:textFill>
        </w:rPr>
        <w:t>新计划，按照预算管理有关规定统筹安排购置经费，列入年度预</w:t>
      </w:r>
      <w:r>
        <w:rPr>
          <w:rFonts w:ascii="仿宋" w:hAnsi="仿宋" w:eastAsia="仿宋" w:cs="仿宋"/>
          <w:color w:val="000000" w:themeColor="text1"/>
          <w:spacing w:val="-16"/>
          <w:sz w:val="32"/>
          <w:szCs w:val="32"/>
          <w:highlight w:val="none"/>
          <w:u w:val="none"/>
          <w14:textFill>
            <w14:solidFill>
              <w14:schemeClr w14:val="tx1"/>
            </w14:solidFill>
          </w14:textFill>
        </w:rPr>
        <w:t>算。</w:t>
      </w:r>
    </w:p>
    <w:p w14:paraId="3A3AA0B0">
      <w:pPr>
        <w:keepNext w:val="0"/>
        <w:keepLines w:val="0"/>
        <w:pageBreakBefore w:val="0"/>
        <w:widowControl/>
        <w:kinsoku w:val="0"/>
        <w:wordWrap/>
        <w:overflowPunct/>
        <w:topLinePunct w:val="0"/>
        <w:autoSpaceDE w:val="0"/>
        <w:autoSpaceDN w:val="0"/>
        <w:bidi w:val="0"/>
        <w:adjustRightInd w:val="0"/>
        <w:snapToGrid w:val="0"/>
        <w:spacing w:before="58" w:line="560" w:lineRule="exact"/>
        <w:ind w:right="6" w:firstLine="649"/>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6"/>
          <w:sz w:val="32"/>
          <w:szCs w:val="32"/>
          <w:highlight w:val="none"/>
          <w:u w:val="none"/>
          <w14:textFill>
            <w14:solidFill>
              <w14:schemeClr w14:val="tx1"/>
            </w14:solidFill>
          </w14:textFill>
        </w:rPr>
        <w:t>依规办理配置车辆注册及资产调剂入账手续，配备更新车辆应按</w:t>
      </w:r>
      <w:r>
        <w:rPr>
          <w:rFonts w:ascii="仿宋" w:hAnsi="仿宋" w:eastAsia="仿宋" w:cs="仿宋"/>
          <w:color w:val="000000" w:themeColor="text1"/>
          <w:spacing w:val="-8"/>
          <w:sz w:val="32"/>
          <w:szCs w:val="32"/>
          <w:highlight w:val="none"/>
          <w:u w:val="none"/>
          <w14:textFill>
            <w14:solidFill>
              <w14:schemeClr w14:val="tx1"/>
            </w14:solidFill>
          </w14:textFill>
        </w:rPr>
        <w:t>照有关要求及时纳入</w:t>
      </w:r>
      <w:r>
        <w:rPr>
          <w:rFonts w:hint="eastAsia" w:ascii="仿宋" w:hAnsi="仿宋" w:eastAsia="仿宋" w:cs="仿宋"/>
          <w:color w:val="000000" w:themeColor="text1"/>
          <w:spacing w:val="-8"/>
          <w:sz w:val="32"/>
          <w:szCs w:val="32"/>
          <w:highlight w:val="none"/>
          <w:u w:val="none"/>
          <w:lang w:eastAsia="zh-CN"/>
          <w14:textFill>
            <w14:solidFill>
              <w14:schemeClr w14:val="tx1"/>
            </w14:solidFill>
          </w14:textFill>
        </w:rPr>
        <w:t>湖南省“互联网</w:t>
      </w:r>
      <w:r>
        <w:rPr>
          <w:rFonts w:hint="eastAsia" w:ascii="仿宋" w:hAnsi="仿宋" w:eastAsia="仿宋" w:cs="仿宋"/>
          <w:color w:val="000000" w:themeColor="text1"/>
          <w:spacing w:val="-8"/>
          <w:sz w:val="32"/>
          <w:szCs w:val="32"/>
          <w:highlight w:val="none"/>
          <w:u w:val="none"/>
          <w:lang w:val="en-US" w:eastAsia="zh-CN"/>
          <w14:textFill>
            <w14:solidFill>
              <w14:schemeClr w14:val="tx1"/>
            </w14:solidFill>
          </w14:textFill>
        </w:rPr>
        <w:t>+监督</w:t>
      </w:r>
      <w:r>
        <w:rPr>
          <w:rFonts w:hint="eastAsia" w:ascii="仿宋" w:hAnsi="仿宋" w:eastAsia="仿宋" w:cs="仿宋"/>
          <w:color w:val="000000" w:themeColor="text1"/>
          <w:spacing w:val="-8"/>
          <w:sz w:val="32"/>
          <w:szCs w:val="32"/>
          <w:highlight w:val="none"/>
          <w:u w:val="none"/>
          <w:lang w:eastAsia="zh-CN"/>
          <w14:textFill>
            <w14:solidFill>
              <w14:schemeClr w14:val="tx1"/>
            </w14:solidFill>
          </w14:textFill>
        </w:rPr>
        <w:t>”系统公务用车和公务接待管理信息平台、</w:t>
      </w:r>
      <w:r>
        <w:rPr>
          <w:rFonts w:ascii="仿宋" w:hAnsi="仿宋" w:eastAsia="仿宋" w:cs="仿宋"/>
          <w:color w:val="000000" w:themeColor="text1"/>
          <w:spacing w:val="-8"/>
          <w:sz w:val="32"/>
          <w:szCs w:val="32"/>
          <w:highlight w:val="none"/>
          <w:u w:val="none"/>
          <w14:textFill>
            <w14:solidFill>
              <w14:schemeClr w14:val="tx1"/>
            </w14:solidFill>
          </w14:textFill>
        </w:rPr>
        <w:t>全省公务用车信息化管理平台统一管理。</w:t>
      </w:r>
    </w:p>
    <w:p w14:paraId="00DAAB78">
      <w:pPr>
        <w:keepNext w:val="0"/>
        <w:keepLines w:val="0"/>
        <w:pageBreakBefore w:val="0"/>
        <w:widowControl/>
        <w:kinsoku w:val="0"/>
        <w:wordWrap/>
        <w:overflowPunct/>
        <w:topLinePunct w:val="0"/>
        <w:autoSpaceDE w:val="0"/>
        <w:autoSpaceDN w:val="0"/>
        <w:bidi w:val="0"/>
        <w:adjustRightInd w:val="0"/>
        <w:snapToGrid w:val="0"/>
        <w:spacing w:before="59" w:line="560" w:lineRule="exact"/>
        <w:ind w:right="17" w:firstLine="649"/>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ascii="楷体" w:hAnsi="楷体" w:eastAsia="楷体" w:cs="楷体"/>
          <w:b/>
          <w:bCs/>
          <w:color w:val="000000" w:themeColor="text1"/>
          <w:spacing w:val="9"/>
          <w:sz w:val="31"/>
          <w:szCs w:val="31"/>
          <w:highlight w:val="none"/>
          <w:u w:val="none"/>
          <w14:textFill>
            <w14:solidFill>
              <w14:schemeClr w14:val="tx1"/>
            </w14:solidFill>
          </w14:textFill>
        </w:rPr>
        <w:t>第三十</w:t>
      </w:r>
      <w:r>
        <w:rPr>
          <w:rFonts w:hint="eastAsia" w:ascii="楷体" w:hAnsi="楷体" w:eastAsia="楷体" w:cs="楷体"/>
          <w:b/>
          <w:bCs/>
          <w:color w:val="000000" w:themeColor="text1"/>
          <w:spacing w:val="9"/>
          <w:sz w:val="31"/>
          <w:szCs w:val="31"/>
          <w:highlight w:val="none"/>
          <w:u w:val="none"/>
          <w:lang w:eastAsia="zh-CN"/>
          <w14:textFill>
            <w14:solidFill>
              <w14:schemeClr w14:val="tx1"/>
            </w14:solidFill>
          </w14:textFill>
        </w:rPr>
        <w:t>四</w:t>
      </w:r>
      <w:r>
        <w:rPr>
          <w:rFonts w:ascii="楷体" w:hAnsi="楷体" w:eastAsia="楷体" w:cs="楷体"/>
          <w:b/>
          <w:bCs/>
          <w:color w:val="000000" w:themeColor="text1"/>
          <w:spacing w:val="9"/>
          <w:sz w:val="31"/>
          <w:szCs w:val="31"/>
          <w:highlight w:val="none"/>
          <w:u w:val="none"/>
          <w14:textFill>
            <w14:solidFill>
              <w14:schemeClr w14:val="tx1"/>
            </w14:solidFill>
          </w14:textFill>
        </w:rPr>
        <w:t>条</w:t>
      </w:r>
      <w:r>
        <w:rPr>
          <w:rFonts w:hint="eastAsia" w:ascii="楷体" w:hAnsi="楷体" w:eastAsia="楷体" w:cs="楷体"/>
          <w:color w:val="000000" w:themeColor="text1"/>
          <w:spacing w:val="-1"/>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pacing w:val="-1"/>
          <w:sz w:val="32"/>
          <w:szCs w:val="32"/>
          <w:highlight w:val="none"/>
          <w:u w:val="none"/>
          <w:lang w:eastAsia="zh-CN"/>
          <w14:textFill>
            <w14:solidFill>
              <w14:schemeClr w14:val="tx1"/>
            </w14:solidFill>
          </w14:textFill>
        </w:rPr>
        <w:t>县机关事务服务中心</w:t>
      </w:r>
      <w:r>
        <w:rPr>
          <w:rFonts w:ascii="仿宋" w:hAnsi="仿宋" w:eastAsia="仿宋" w:cs="仿宋"/>
          <w:color w:val="000000" w:themeColor="text1"/>
          <w:spacing w:val="-1"/>
          <w:sz w:val="32"/>
          <w:szCs w:val="32"/>
          <w:highlight w:val="none"/>
          <w:u w:val="none"/>
          <w14:textFill>
            <w14:solidFill>
              <w14:schemeClr w14:val="tx1"/>
            </w14:solidFill>
          </w14:textFill>
        </w:rPr>
        <w:t>负责</w:t>
      </w:r>
      <w:r>
        <w:rPr>
          <w:rFonts w:hint="eastAsia" w:ascii="仿宋" w:hAnsi="仿宋" w:eastAsia="仿宋" w:cs="仿宋"/>
          <w:color w:val="000000" w:themeColor="text1"/>
          <w:spacing w:val="-1"/>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1"/>
          <w:sz w:val="32"/>
          <w:szCs w:val="32"/>
          <w:highlight w:val="none"/>
          <w:u w:val="none"/>
          <w14:textFill>
            <w14:solidFill>
              <w14:schemeClr w14:val="tx1"/>
            </w14:solidFill>
          </w14:textFill>
        </w:rPr>
        <w:t>公务用车服务平台</w:t>
      </w:r>
      <w:r>
        <w:rPr>
          <w:rFonts w:ascii="仿宋" w:hAnsi="仿宋" w:eastAsia="仿宋" w:cs="仿宋"/>
          <w:color w:val="000000" w:themeColor="text1"/>
          <w:spacing w:val="6"/>
          <w:sz w:val="32"/>
          <w:szCs w:val="32"/>
          <w:highlight w:val="none"/>
          <w:u w:val="none"/>
          <w14:textFill>
            <w14:solidFill>
              <w14:schemeClr w14:val="tx1"/>
            </w14:solidFill>
          </w14:textFill>
        </w:rPr>
        <w:t>建设，</w:t>
      </w:r>
      <w:r>
        <w:rPr>
          <w:rFonts w:ascii="仿宋" w:hAnsi="仿宋" w:eastAsia="仿宋" w:cs="仿宋"/>
          <w:color w:val="000000" w:themeColor="text1"/>
          <w:spacing w:val="-5"/>
          <w:sz w:val="32"/>
          <w:szCs w:val="32"/>
          <w:highlight w:val="none"/>
          <w:u w:val="none"/>
          <w14:textFill>
            <w14:solidFill>
              <w14:schemeClr w14:val="tx1"/>
            </w14:solidFill>
          </w14:textFill>
        </w:rPr>
        <w:t>提高公务用车使用效率，服务平台管理、运行所需</w:t>
      </w:r>
      <w:r>
        <w:rPr>
          <w:rFonts w:ascii="仿宋" w:hAnsi="仿宋" w:eastAsia="仿宋" w:cs="仿宋"/>
          <w:color w:val="000000" w:themeColor="text1"/>
          <w:spacing w:val="-6"/>
          <w:sz w:val="32"/>
          <w:szCs w:val="32"/>
          <w:highlight w:val="none"/>
          <w:u w:val="none"/>
          <w14:textFill>
            <w14:solidFill>
              <w14:schemeClr w14:val="tx1"/>
            </w14:solidFill>
          </w14:textFill>
        </w:rPr>
        <w:t>的费用由</w:t>
      </w:r>
      <w:r>
        <w:rPr>
          <w:rFonts w:hint="eastAsia" w:ascii="仿宋" w:hAnsi="仿宋" w:eastAsia="仿宋" w:cs="仿宋"/>
          <w:color w:val="000000" w:themeColor="text1"/>
          <w:spacing w:val="-15"/>
          <w:sz w:val="32"/>
          <w:szCs w:val="32"/>
          <w:highlight w:val="none"/>
          <w:u w:val="none"/>
          <w:lang w:eastAsia="zh-CN"/>
          <w14:textFill>
            <w14:solidFill>
              <w14:schemeClr w14:val="tx1"/>
            </w14:solidFill>
          </w14:textFill>
        </w:rPr>
        <w:t>县</w:t>
      </w:r>
      <w:r>
        <w:rPr>
          <w:rFonts w:ascii="仿宋" w:hAnsi="仿宋" w:eastAsia="仿宋" w:cs="仿宋"/>
          <w:color w:val="000000" w:themeColor="text1"/>
          <w:spacing w:val="-15"/>
          <w:sz w:val="32"/>
          <w:szCs w:val="32"/>
          <w:highlight w:val="none"/>
          <w:u w:val="none"/>
          <w14:textFill>
            <w14:solidFill>
              <w14:schemeClr w14:val="tx1"/>
            </w14:solidFill>
          </w14:textFill>
        </w:rPr>
        <w:t>级财政预算保障。</w:t>
      </w:r>
    </w:p>
    <w:p w14:paraId="333D5CAC">
      <w:pPr>
        <w:keepNext w:val="0"/>
        <w:keepLines w:val="0"/>
        <w:pageBreakBefore w:val="0"/>
        <w:widowControl/>
        <w:kinsoku w:val="0"/>
        <w:wordWrap/>
        <w:overflowPunct/>
        <w:topLinePunct w:val="0"/>
        <w:autoSpaceDE w:val="0"/>
        <w:autoSpaceDN w:val="0"/>
        <w:bidi w:val="0"/>
        <w:adjustRightInd w:val="0"/>
        <w:snapToGrid w:val="0"/>
        <w:spacing w:before="38" w:line="560" w:lineRule="exact"/>
        <w:ind w:firstLine="649"/>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pacing w:val="-5"/>
          <w:sz w:val="32"/>
          <w:szCs w:val="32"/>
          <w:highlight w:val="none"/>
          <w:u w:val="none"/>
          <w:lang w:eastAsia="zh-CN"/>
          <w14:textFill>
            <w14:solidFill>
              <w14:schemeClr w14:val="tx1"/>
            </w14:solidFill>
          </w14:textFill>
        </w:rPr>
        <w:t>县机关事务服务中心</w:t>
      </w:r>
      <w:r>
        <w:rPr>
          <w:rFonts w:ascii="仿宋" w:hAnsi="仿宋" w:eastAsia="仿宋" w:cs="仿宋"/>
          <w:color w:val="000000" w:themeColor="text1"/>
          <w:spacing w:val="-5"/>
          <w:sz w:val="32"/>
          <w:szCs w:val="32"/>
          <w:highlight w:val="none"/>
          <w:u w:val="none"/>
          <w14:textFill>
            <w14:solidFill>
              <w14:schemeClr w14:val="tx1"/>
            </w14:solidFill>
          </w14:textFill>
        </w:rPr>
        <w:t>报</w:t>
      </w:r>
      <w:r>
        <w:rPr>
          <w:rFonts w:hint="eastAsia" w:ascii="仿宋" w:hAnsi="仿宋" w:eastAsia="仿宋" w:cs="仿宋"/>
          <w:color w:val="000000" w:themeColor="text1"/>
          <w:spacing w:val="-5"/>
          <w:sz w:val="32"/>
          <w:szCs w:val="32"/>
          <w:highlight w:val="none"/>
          <w:u w:val="none"/>
          <w:lang w:eastAsia="zh-CN"/>
          <w14:textFill>
            <w14:solidFill>
              <w14:schemeClr w14:val="tx1"/>
            </w14:solidFill>
          </w14:textFill>
        </w:rPr>
        <w:t>县</w:t>
      </w:r>
      <w:r>
        <w:rPr>
          <w:rFonts w:ascii="仿宋" w:hAnsi="仿宋" w:eastAsia="仿宋" w:cs="仿宋"/>
          <w:color w:val="000000" w:themeColor="text1"/>
          <w:spacing w:val="-5"/>
          <w:sz w:val="32"/>
          <w:szCs w:val="32"/>
          <w:highlight w:val="none"/>
          <w:u w:val="none"/>
          <w14:textFill>
            <w14:solidFill>
              <w14:schemeClr w14:val="tx1"/>
            </w14:solidFill>
          </w14:textFill>
        </w:rPr>
        <w:t>人民政府批准后，可以向第</w:t>
      </w:r>
      <w:r>
        <w:rPr>
          <w:rFonts w:ascii="仿宋" w:hAnsi="仿宋" w:eastAsia="仿宋" w:cs="仿宋"/>
          <w:color w:val="000000" w:themeColor="text1"/>
          <w:spacing w:val="-6"/>
          <w:sz w:val="32"/>
          <w:szCs w:val="32"/>
          <w:highlight w:val="none"/>
          <w:u w:val="none"/>
          <w14:textFill>
            <w14:solidFill>
              <w14:schemeClr w14:val="tx1"/>
            </w14:solidFill>
          </w14:textFill>
        </w:rPr>
        <w:t>三方机构采购</w:t>
      </w:r>
      <w:r>
        <w:rPr>
          <w:rFonts w:ascii="仿宋" w:hAnsi="仿宋" w:eastAsia="仿宋" w:cs="仿宋"/>
          <w:color w:val="000000" w:themeColor="text1"/>
          <w:spacing w:val="-9"/>
          <w:sz w:val="32"/>
          <w:szCs w:val="32"/>
          <w:highlight w:val="none"/>
          <w:u w:val="none"/>
          <w14:textFill>
            <w14:solidFill>
              <w14:schemeClr w14:val="tx1"/>
            </w14:solidFill>
          </w14:textFill>
        </w:rPr>
        <w:t>公务用车管理服务。</w:t>
      </w:r>
      <w:r>
        <w:rPr>
          <w:rFonts w:hint="eastAsia" w:ascii="仿宋" w:hAnsi="仿宋" w:eastAsia="仿宋" w:cs="仿宋"/>
          <w:color w:val="000000" w:themeColor="text1"/>
          <w:spacing w:val="-9"/>
          <w:sz w:val="32"/>
          <w:szCs w:val="32"/>
          <w:highlight w:val="none"/>
          <w:u w:val="none"/>
          <w:lang w:eastAsia="zh-CN"/>
          <w14:textFill>
            <w14:solidFill>
              <w14:schemeClr w14:val="tx1"/>
            </w14:solidFill>
          </w14:textFill>
        </w:rPr>
        <w:t>县机关事务服务中心</w:t>
      </w:r>
      <w:r>
        <w:rPr>
          <w:rFonts w:ascii="仿宋" w:hAnsi="仿宋" w:eastAsia="仿宋" w:cs="仿宋"/>
          <w:color w:val="000000" w:themeColor="text1"/>
          <w:spacing w:val="-9"/>
          <w:sz w:val="32"/>
          <w:szCs w:val="32"/>
          <w:highlight w:val="none"/>
          <w:u w:val="none"/>
          <w14:textFill>
            <w14:solidFill>
              <w14:schemeClr w14:val="tx1"/>
            </w14:solidFill>
          </w14:textFill>
        </w:rPr>
        <w:t>负责日常监管。</w:t>
      </w:r>
    </w:p>
    <w:p w14:paraId="46D8FDCA">
      <w:pPr>
        <w:keepNext w:val="0"/>
        <w:keepLines w:val="0"/>
        <w:pageBreakBefore w:val="0"/>
        <w:widowControl/>
        <w:kinsoku w:val="0"/>
        <w:wordWrap/>
        <w:overflowPunct/>
        <w:topLinePunct w:val="0"/>
        <w:autoSpaceDE w:val="0"/>
        <w:autoSpaceDN w:val="0"/>
        <w:bidi w:val="0"/>
        <w:adjustRightInd w:val="0"/>
        <w:snapToGrid w:val="0"/>
        <w:spacing w:before="104" w:line="560" w:lineRule="exact"/>
        <w:ind w:right="119" w:firstLine="649"/>
        <w:jc w:val="both"/>
        <w:textAlignment w:val="baseline"/>
        <w:rPr>
          <w:rFonts w:ascii="仿宋" w:hAnsi="仿宋" w:eastAsia="仿宋" w:cs="仿宋"/>
          <w:color w:val="000000" w:themeColor="text1"/>
          <w:spacing w:val="-6"/>
          <w:sz w:val="32"/>
          <w:szCs w:val="32"/>
          <w:highlight w:val="none"/>
          <w:u w:val="none"/>
          <w14:textFill>
            <w14:solidFill>
              <w14:schemeClr w14:val="tx1"/>
            </w14:solidFill>
          </w14:textFill>
        </w:rPr>
      </w:pPr>
      <w:r>
        <w:rPr>
          <w:rFonts w:ascii="楷体" w:hAnsi="楷体" w:eastAsia="楷体" w:cs="楷体"/>
          <w:b/>
          <w:bCs/>
          <w:color w:val="000000" w:themeColor="text1"/>
          <w:spacing w:val="9"/>
          <w:sz w:val="31"/>
          <w:szCs w:val="31"/>
          <w:highlight w:val="none"/>
          <w:u w:val="none"/>
          <w14:textFill>
            <w14:solidFill>
              <w14:schemeClr w14:val="tx1"/>
            </w14:solidFill>
          </w14:textFill>
        </w:rPr>
        <w:t>第三十</w:t>
      </w:r>
      <w:r>
        <w:rPr>
          <w:rFonts w:hint="eastAsia" w:ascii="楷体" w:hAnsi="楷体" w:eastAsia="楷体" w:cs="楷体"/>
          <w:b/>
          <w:bCs/>
          <w:color w:val="000000" w:themeColor="text1"/>
          <w:spacing w:val="9"/>
          <w:sz w:val="31"/>
          <w:szCs w:val="31"/>
          <w:highlight w:val="none"/>
          <w:u w:val="none"/>
          <w:lang w:eastAsia="zh-CN"/>
          <w14:textFill>
            <w14:solidFill>
              <w14:schemeClr w14:val="tx1"/>
            </w14:solidFill>
          </w14:textFill>
        </w:rPr>
        <w:t>五</w:t>
      </w:r>
      <w:r>
        <w:rPr>
          <w:rFonts w:ascii="楷体" w:hAnsi="楷体" w:eastAsia="楷体" w:cs="楷体"/>
          <w:b/>
          <w:bCs/>
          <w:color w:val="000000" w:themeColor="text1"/>
          <w:spacing w:val="9"/>
          <w:sz w:val="31"/>
          <w:szCs w:val="31"/>
          <w:highlight w:val="none"/>
          <w:u w:val="none"/>
          <w14:textFill>
            <w14:solidFill>
              <w14:schemeClr w14:val="tx1"/>
            </w14:solidFill>
          </w14:textFill>
        </w:rPr>
        <w:t>条</w:t>
      </w:r>
      <w:r>
        <w:rPr>
          <w:rFonts w:hint="eastAsia" w:ascii="楷体" w:hAnsi="楷体" w:eastAsia="楷体" w:cs="楷体"/>
          <w:color w:val="000000" w:themeColor="text1"/>
          <w:spacing w:val="-1"/>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6"/>
          <w:sz w:val="32"/>
          <w:szCs w:val="32"/>
          <w:highlight w:val="none"/>
          <w:u w:val="none"/>
          <w14:textFill>
            <w14:solidFill>
              <w14:schemeClr w14:val="tx1"/>
            </w14:solidFill>
          </w14:textFill>
        </w:rPr>
        <w:t>应当加强对办公设备设施与家具的日常</w:t>
      </w:r>
      <w:r>
        <w:rPr>
          <w:rFonts w:ascii="仿宋" w:hAnsi="仿宋" w:eastAsia="仿宋" w:cs="仿宋"/>
          <w:color w:val="000000" w:themeColor="text1"/>
          <w:spacing w:val="-7"/>
          <w:sz w:val="32"/>
          <w:szCs w:val="32"/>
          <w:highlight w:val="none"/>
          <w:u w:val="none"/>
          <w14:textFill>
            <w14:solidFill>
              <w14:schemeClr w14:val="tx1"/>
            </w14:solidFill>
          </w14:textFill>
        </w:rPr>
        <w:t>维护，达到</w:t>
      </w:r>
      <w:r>
        <w:rPr>
          <w:rFonts w:ascii="仿宋" w:hAnsi="仿宋" w:eastAsia="仿宋" w:cs="仿宋"/>
          <w:color w:val="000000" w:themeColor="text1"/>
          <w:spacing w:val="-6"/>
          <w:sz w:val="32"/>
          <w:szCs w:val="32"/>
          <w:highlight w:val="none"/>
          <w:u w:val="none"/>
          <w14:textFill>
            <w14:solidFill>
              <w14:schemeClr w14:val="tx1"/>
            </w14:solidFill>
          </w14:textFill>
        </w:rPr>
        <w:t>使用年限能继续使用的应当继续使用，通过维修能使用的及时维</w:t>
      </w:r>
      <w:r>
        <w:rPr>
          <w:rFonts w:ascii="仿宋" w:hAnsi="仿宋" w:eastAsia="仿宋" w:cs="仿宋"/>
          <w:color w:val="000000" w:themeColor="text1"/>
          <w:spacing w:val="-14"/>
          <w:sz w:val="32"/>
          <w:szCs w:val="32"/>
          <w:highlight w:val="none"/>
          <w:u w:val="none"/>
          <w14:textFill>
            <w14:solidFill>
              <w14:schemeClr w14:val="tx1"/>
            </w14:solidFill>
          </w14:textFill>
        </w:rPr>
        <w:t>修，充分利用。</w:t>
      </w:r>
      <w:r>
        <w:rPr>
          <w:rFonts w:ascii="仿宋" w:hAnsi="仿宋" w:eastAsia="仿宋" w:cs="仿宋"/>
          <w:color w:val="000000" w:themeColor="text1"/>
          <w:spacing w:val="-6"/>
          <w:sz w:val="32"/>
          <w:szCs w:val="32"/>
          <w:highlight w:val="none"/>
          <w:u w:val="none"/>
          <w14:textFill>
            <w14:solidFill>
              <w14:schemeClr w14:val="tx1"/>
            </w14:solidFill>
          </w14:textFill>
        </w:rPr>
        <w:t>办公设备设施与家具的处置，由</w:t>
      </w: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6"/>
          <w:sz w:val="32"/>
          <w:szCs w:val="32"/>
          <w:highlight w:val="none"/>
          <w:u w:val="none"/>
          <w14:textFill>
            <w14:solidFill>
              <w14:schemeClr w14:val="tx1"/>
            </w14:solidFill>
          </w14:textFill>
        </w:rPr>
        <w:t>按照有关规定集中申报，并出具本单位财务、资产管理等部门的意见。</w:t>
      </w:r>
    </w:p>
    <w:p w14:paraId="7C5DAE9F">
      <w:pPr>
        <w:keepNext w:val="0"/>
        <w:keepLines w:val="0"/>
        <w:pageBreakBefore w:val="0"/>
        <w:widowControl/>
        <w:kinsoku w:val="0"/>
        <w:wordWrap/>
        <w:overflowPunct/>
        <w:topLinePunct w:val="0"/>
        <w:autoSpaceDE w:val="0"/>
        <w:autoSpaceDN w:val="0"/>
        <w:bidi w:val="0"/>
        <w:adjustRightInd w:val="0"/>
        <w:snapToGrid w:val="0"/>
        <w:spacing w:before="73" w:line="560" w:lineRule="exact"/>
        <w:ind w:right="125" w:firstLine="649"/>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ascii="楷体" w:hAnsi="楷体" w:eastAsia="楷体" w:cs="楷体"/>
          <w:b/>
          <w:bCs/>
          <w:color w:val="000000" w:themeColor="text1"/>
          <w:spacing w:val="9"/>
          <w:sz w:val="31"/>
          <w:szCs w:val="31"/>
          <w:highlight w:val="none"/>
          <w:u w:val="none"/>
          <w14:textFill>
            <w14:solidFill>
              <w14:schemeClr w14:val="tx1"/>
            </w14:solidFill>
          </w14:textFill>
        </w:rPr>
        <w:t>第</w:t>
      </w:r>
      <w:r>
        <w:rPr>
          <w:rFonts w:hint="eastAsia" w:ascii="楷体" w:hAnsi="楷体" w:eastAsia="楷体" w:cs="楷体"/>
          <w:b/>
          <w:bCs/>
          <w:color w:val="000000" w:themeColor="text1"/>
          <w:spacing w:val="9"/>
          <w:sz w:val="31"/>
          <w:szCs w:val="31"/>
          <w:highlight w:val="none"/>
          <w:u w:val="none"/>
          <w:lang w:eastAsia="zh-CN"/>
          <w14:textFill>
            <w14:solidFill>
              <w14:schemeClr w14:val="tx1"/>
            </w14:solidFill>
          </w14:textFill>
        </w:rPr>
        <w:t>三</w:t>
      </w:r>
      <w:r>
        <w:rPr>
          <w:rFonts w:ascii="楷体" w:hAnsi="楷体" w:eastAsia="楷体" w:cs="楷体"/>
          <w:b/>
          <w:bCs/>
          <w:color w:val="000000" w:themeColor="text1"/>
          <w:spacing w:val="9"/>
          <w:sz w:val="31"/>
          <w:szCs w:val="31"/>
          <w:highlight w:val="none"/>
          <w:u w:val="none"/>
          <w14:textFill>
            <w14:solidFill>
              <w14:schemeClr w14:val="tx1"/>
            </w14:solidFill>
          </w14:textFill>
        </w:rPr>
        <w:t>十</w:t>
      </w:r>
      <w:r>
        <w:rPr>
          <w:rFonts w:hint="eastAsia" w:ascii="楷体" w:hAnsi="楷体" w:eastAsia="楷体" w:cs="楷体"/>
          <w:b/>
          <w:bCs/>
          <w:color w:val="000000" w:themeColor="text1"/>
          <w:spacing w:val="9"/>
          <w:sz w:val="31"/>
          <w:szCs w:val="31"/>
          <w:highlight w:val="none"/>
          <w:u w:val="none"/>
          <w:lang w:eastAsia="zh-CN"/>
          <w14:textFill>
            <w14:solidFill>
              <w14:schemeClr w14:val="tx1"/>
            </w14:solidFill>
          </w14:textFill>
        </w:rPr>
        <w:t>六</w:t>
      </w:r>
      <w:r>
        <w:rPr>
          <w:rFonts w:ascii="楷体" w:hAnsi="楷体" w:eastAsia="楷体" w:cs="楷体"/>
          <w:b/>
          <w:bCs/>
          <w:color w:val="000000" w:themeColor="text1"/>
          <w:spacing w:val="9"/>
          <w:sz w:val="31"/>
          <w:szCs w:val="31"/>
          <w:highlight w:val="none"/>
          <w:u w:val="none"/>
          <w14:textFill>
            <w14:solidFill>
              <w14:schemeClr w14:val="tx1"/>
            </w14:solidFill>
          </w14:textFill>
        </w:rPr>
        <w:t>条</w:t>
      </w:r>
      <w:r>
        <w:rPr>
          <w:rFonts w:hint="eastAsia" w:ascii="楷体" w:hAnsi="楷体" w:eastAsia="楷体" w:cs="楷体"/>
          <w:color w:val="000000" w:themeColor="text1"/>
          <w:spacing w:val="4"/>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pacing w:val="4"/>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4"/>
          <w:sz w:val="32"/>
          <w:szCs w:val="32"/>
          <w:highlight w:val="none"/>
          <w:u w:val="none"/>
          <w14:textFill>
            <w14:solidFill>
              <w14:schemeClr w14:val="tx1"/>
            </w14:solidFill>
          </w14:textFill>
        </w:rPr>
        <w:t>应当按照职能划分以及上级部门要求，</w:t>
      </w:r>
      <w:r>
        <w:rPr>
          <w:rFonts w:ascii="仿宋" w:hAnsi="仿宋" w:eastAsia="仿宋" w:cs="仿宋"/>
          <w:color w:val="000000" w:themeColor="text1"/>
          <w:spacing w:val="-6"/>
          <w:sz w:val="32"/>
          <w:szCs w:val="32"/>
          <w:highlight w:val="none"/>
          <w:u w:val="none"/>
          <w14:textFill>
            <w14:solidFill>
              <w14:schemeClr w14:val="tx1"/>
            </w14:solidFill>
          </w14:textFill>
        </w:rPr>
        <w:t>结合实际情况合理配置专用设备，并就配置的合理性、科学</w:t>
      </w:r>
      <w:r>
        <w:rPr>
          <w:rFonts w:ascii="仿宋" w:hAnsi="仿宋" w:eastAsia="仿宋" w:cs="仿宋"/>
          <w:color w:val="000000" w:themeColor="text1"/>
          <w:spacing w:val="-7"/>
          <w:sz w:val="32"/>
          <w:szCs w:val="32"/>
          <w:highlight w:val="none"/>
          <w:u w:val="none"/>
          <w14:textFill>
            <w14:solidFill>
              <w14:schemeClr w14:val="tx1"/>
            </w14:solidFill>
          </w14:textFill>
        </w:rPr>
        <w:t>性进</w:t>
      </w:r>
      <w:r>
        <w:rPr>
          <w:rFonts w:ascii="仿宋" w:hAnsi="仿宋" w:eastAsia="仿宋" w:cs="仿宋"/>
          <w:color w:val="000000" w:themeColor="text1"/>
          <w:spacing w:val="-10"/>
          <w:sz w:val="32"/>
          <w:szCs w:val="32"/>
          <w:highlight w:val="none"/>
          <w:u w:val="none"/>
          <w14:textFill>
            <w14:solidFill>
              <w14:schemeClr w14:val="tx1"/>
            </w14:solidFill>
          </w14:textFill>
        </w:rPr>
        <w:t>行可行性论证和集体决策。</w:t>
      </w:r>
      <w:r>
        <w:rPr>
          <w:rFonts w:hint="eastAsia" w:ascii="仿宋" w:hAnsi="仿宋" w:eastAsia="仿宋" w:cs="仿宋"/>
          <w:color w:val="000000" w:themeColor="text1"/>
          <w:spacing w:val="-7"/>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7"/>
          <w:sz w:val="32"/>
          <w:szCs w:val="32"/>
          <w:highlight w:val="none"/>
          <w:u w:val="none"/>
          <w14:textFill>
            <w14:solidFill>
              <w14:schemeClr w14:val="tx1"/>
            </w14:solidFill>
          </w14:textFill>
        </w:rPr>
        <w:t>应当制定专用设备内部管理制度，明确设备保管和</w:t>
      </w:r>
      <w:r>
        <w:rPr>
          <w:rFonts w:ascii="仿宋" w:hAnsi="仿宋" w:eastAsia="仿宋" w:cs="仿宋"/>
          <w:color w:val="000000" w:themeColor="text1"/>
          <w:spacing w:val="5"/>
          <w:sz w:val="32"/>
          <w:szCs w:val="32"/>
          <w:highlight w:val="none"/>
          <w:u w:val="none"/>
          <w14:textFill>
            <w14:solidFill>
              <w14:schemeClr w14:val="tx1"/>
            </w14:solidFill>
          </w14:textFill>
        </w:rPr>
        <w:t>使用的职责部门以及具体的责任义务，定期对专业设备进行维</w:t>
      </w:r>
      <w:r>
        <w:rPr>
          <w:rFonts w:ascii="仿宋" w:hAnsi="仿宋" w:eastAsia="仿宋" w:cs="仿宋"/>
          <w:color w:val="000000" w:themeColor="text1"/>
          <w:spacing w:val="-11"/>
          <w:sz w:val="32"/>
          <w:szCs w:val="32"/>
          <w:highlight w:val="none"/>
          <w:u w:val="none"/>
          <w14:textFill>
            <w14:solidFill>
              <w14:schemeClr w14:val="tx1"/>
            </w14:solidFill>
          </w14:textFill>
        </w:rPr>
        <w:t>护，延长专用设备使用周期。</w:t>
      </w:r>
    </w:p>
    <w:p w14:paraId="3A903D5A">
      <w:pPr>
        <w:keepNext w:val="0"/>
        <w:keepLines w:val="0"/>
        <w:pageBreakBefore w:val="0"/>
        <w:widowControl/>
        <w:kinsoku w:val="0"/>
        <w:wordWrap/>
        <w:overflowPunct/>
        <w:topLinePunct w:val="0"/>
        <w:autoSpaceDE w:val="0"/>
        <w:autoSpaceDN w:val="0"/>
        <w:bidi w:val="0"/>
        <w:adjustRightInd w:val="0"/>
        <w:snapToGrid w:val="0"/>
        <w:spacing w:before="104" w:line="560" w:lineRule="exact"/>
        <w:ind w:left="159" w:right="16" w:firstLine="635" w:firstLineChars="200"/>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ascii="楷体" w:hAnsi="楷体" w:eastAsia="楷体" w:cs="楷体"/>
          <w:b/>
          <w:bCs/>
          <w:color w:val="000000" w:themeColor="text1"/>
          <w:spacing w:val="-2"/>
          <w:sz w:val="32"/>
          <w:szCs w:val="32"/>
          <w:highlight w:val="none"/>
          <w:u w:val="none"/>
          <w14:textFill>
            <w14:solidFill>
              <w14:schemeClr w14:val="tx1"/>
            </w14:solidFill>
          </w14:textFill>
        </w:rPr>
        <w:t>第</w:t>
      </w:r>
      <w:r>
        <w:rPr>
          <w:rFonts w:hint="eastAsia" w:ascii="楷体" w:hAnsi="楷体" w:eastAsia="楷体" w:cs="楷体"/>
          <w:b/>
          <w:bCs/>
          <w:color w:val="000000" w:themeColor="text1"/>
          <w:spacing w:val="-2"/>
          <w:sz w:val="32"/>
          <w:szCs w:val="32"/>
          <w:highlight w:val="none"/>
          <w:u w:val="none"/>
          <w:lang w:eastAsia="zh-CN"/>
          <w14:textFill>
            <w14:solidFill>
              <w14:schemeClr w14:val="tx1"/>
            </w14:solidFill>
          </w14:textFill>
        </w:rPr>
        <w:t>三</w:t>
      </w:r>
      <w:r>
        <w:rPr>
          <w:rFonts w:ascii="楷体" w:hAnsi="楷体" w:eastAsia="楷体" w:cs="楷体"/>
          <w:b/>
          <w:bCs/>
          <w:color w:val="000000" w:themeColor="text1"/>
          <w:spacing w:val="-2"/>
          <w:sz w:val="32"/>
          <w:szCs w:val="32"/>
          <w:highlight w:val="none"/>
          <w:u w:val="none"/>
          <w14:textFill>
            <w14:solidFill>
              <w14:schemeClr w14:val="tx1"/>
            </w14:solidFill>
          </w14:textFill>
        </w:rPr>
        <w:t>十</w:t>
      </w:r>
      <w:r>
        <w:rPr>
          <w:rFonts w:hint="eastAsia" w:ascii="楷体" w:hAnsi="楷体" w:eastAsia="楷体" w:cs="楷体"/>
          <w:b/>
          <w:bCs/>
          <w:color w:val="000000" w:themeColor="text1"/>
          <w:spacing w:val="-2"/>
          <w:sz w:val="32"/>
          <w:szCs w:val="32"/>
          <w:highlight w:val="none"/>
          <w:u w:val="none"/>
          <w:lang w:eastAsia="zh-CN"/>
          <w14:textFill>
            <w14:solidFill>
              <w14:schemeClr w14:val="tx1"/>
            </w14:solidFill>
          </w14:textFill>
        </w:rPr>
        <w:t>七</w:t>
      </w:r>
      <w:r>
        <w:rPr>
          <w:rFonts w:ascii="楷体" w:hAnsi="楷体" w:eastAsia="楷体" w:cs="楷体"/>
          <w:b/>
          <w:bCs/>
          <w:color w:val="000000" w:themeColor="text1"/>
          <w:spacing w:val="-2"/>
          <w:sz w:val="32"/>
          <w:szCs w:val="32"/>
          <w:highlight w:val="none"/>
          <w:u w:val="none"/>
          <w14:textFill>
            <w14:solidFill>
              <w14:schemeClr w14:val="tx1"/>
            </w14:solidFill>
          </w14:textFill>
        </w:rPr>
        <w:t>条</w:t>
      </w:r>
      <w:r>
        <w:rPr>
          <w:rFonts w:hint="eastAsia" w:ascii="楷体" w:hAnsi="楷体" w:eastAsia="楷体" w:cs="楷体"/>
          <w:b/>
          <w:bCs/>
          <w:color w:val="000000" w:themeColor="text1"/>
          <w:spacing w:val="-2"/>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pacing w:val="-2"/>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2"/>
          <w:sz w:val="32"/>
          <w:szCs w:val="32"/>
          <w:highlight w:val="none"/>
          <w:u w:val="none"/>
          <w14:textFill>
            <w14:solidFill>
              <w14:schemeClr w14:val="tx1"/>
            </w14:solidFill>
          </w14:textFill>
        </w:rPr>
        <w:t>采用建设方式配置资产的，依法办理</w:t>
      </w:r>
      <w:r>
        <w:rPr>
          <w:rFonts w:ascii="仿宋" w:hAnsi="仿宋" w:eastAsia="仿宋" w:cs="仿宋"/>
          <w:color w:val="000000" w:themeColor="text1"/>
          <w:spacing w:val="-6"/>
          <w:sz w:val="32"/>
          <w:szCs w:val="32"/>
          <w:highlight w:val="none"/>
          <w:u w:val="none"/>
          <w14:textFill>
            <w14:solidFill>
              <w14:schemeClr w14:val="tx1"/>
            </w14:solidFill>
          </w14:textFill>
        </w:rPr>
        <w:t>报建手续，加强质量、安全、造价管理，在建设项</w:t>
      </w:r>
      <w:r>
        <w:rPr>
          <w:rFonts w:ascii="仿宋" w:hAnsi="仿宋" w:eastAsia="仿宋" w:cs="仿宋"/>
          <w:color w:val="000000" w:themeColor="text1"/>
          <w:spacing w:val="-7"/>
          <w:sz w:val="32"/>
          <w:szCs w:val="32"/>
          <w:highlight w:val="none"/>
          <w:u w:val="none"/>
          <w14:textFill>
            <w14:solidFill>
              <w14:schemeClr w14:val="tx1"/>
            </w14:solidFill>
          </w14:textFill>
        </w:rPr>
        <w:t>目竣工验收合</w:t>
      </w:r>
      <w:r>
        <w:rPr>
          <w:rFonts w:ascii="仿宋" w:hAnsi="仿宋" w:eastAsia="仿宋" w:cs="仿宋"/>
          <w:color w:val="000000" w:themeColor="text1"/>
          <w:spacing w:val="-6"/>
          <w:sz w:val="32"/>
          <w:szCs w:val="32"/>
          <w:highlight w:val="none"/>
          <w:u w:val="none"/>
          <w14:textFill>
            <w14:solidFill>
              <w14:schemeClr w14:val="tx1"/>
            </w14:solidFill>
          </w14:textFill>
        </w:rPr>
        <w:t>格后及时办理权属登记和资产交付手续，并在规定期限内</w:t>
      </w:r>
      <w:r>
        <w:rPr>
          <w:rFonts w:ascii="仿宋" w:hAnsi="仿宋" w:eastAsia="仿宋" w:cs="仿宋"/>
          <w:color w:val="000000" w:themeColor="text1"/>
          <w:spacing w:val="-7"/>
          <w:sz w:val="32"/>
          <w:szCs w:val="32"/>
          <w:highlight w:val="none"/>
          <w:u w:val="none"/>
          <w14:textFill>
            <w14:solidFill>
              <w14:schemeClr w14:val="tx1"/>
            </w14:solidFill>
          </w14:textFill>
        </w:rPr>
        <w:t>办理竣</w:t>
      </w:r>
      <w:r>
        <w:rPr>
          <w:rFonts w:ascii="仿宋" w:hAnsi="仿宋" w:eastAsia="仿宋" w:cs="仿宋"/>
          <w:color w:val="000000" w:themeColor="text1"/>
          <w:sz w:val="32"/>
          <w:szCs w:val="32"/>
          <w:highlight w:val="none"/>
          <w:u w:val="none"/>
          <w14:textFill>
            <w14:solidFill>
              <w14:schemeClr w14:val="tx1"/>
            </w14:solidFill>
          </w14:textFill>
        </w:rPr>
        <w:t>工财务决算，期限最长不得超过1年；对已交付但未</w:t>
      </w:r>
      <w:r>
        <w:rPr>
          <w:rFonts w:ascii="仿宋" w:hAnsi="仿宋" w:eastAsia="仿宋" w:cs="仿宋"/>
          <w:color w:val="000000" w:themeColor="text1"/>
          <w:spacing w:val="-1"/>
          <w:sz w:val="32"/>
          <w:szCs w:val="32"/>
          <w:highlight w:val="none"/>
          <w:u w:val="none"/>
          <w14:textFill>
            <w14:solidFill>
              <w14:schemeClr w14:val="tx1"/>
            </w14:solidFill>
          </w14:textFill>
        </w:rPr>
        <w:t>办理竣工财</w:t>
      </w:r>
      <w:r>
        <w:rPr>
          <w:rFonts w:ascii="仿宋" w:hAnsi="仿宋" w:eastAsia="仿宋" w:cs="仿宋"/>
          <w:color w:val="000000" w:themeColor="text1"/>
          <w:spacing w:val="5"/>
          <w:sz w:val="32"/>
          <w:szCs w:val="32"/>
          <w:highlight w:val="none"/>
          <w:u w:val="none"/>
          <w14:textFill>
            <w14:solidFill>
              <w14:schemeClr w14:val="tx1"/>
            </w14:solidFill>
          </w14:textFill>
        </w:rPr>
        <w:t>务决算的建设项目，应当按照国家统一的会计制度确认资产价</w:t>
      </w:r>
      <w:r>
        <w:rPr>
          <w:rFonts w:ascii="仿宋" w:hAnsi="仿宋" w:eastAsia="仿宋" w:cs="仿宋"/>
          <w:color w:val="000000" w:themeColor="text1"/>
          <w:spacing w:val="-6"/>
          <w:sz w:val="32"/>
          <w:szCs w:val="32"/>
          <w:highlight w:val="none"/>
          <w:u w:val="none"/>
          <w14:textFill>
            <w14:solidFill>
              <w14:schemeClr w14:val="tx1"/>
            </w14:solidFill>
          </w14:textFill>
        </w:rPr>
        <w:t>值；对无法进行会计确认入账的资产，可以根据需要组织专家或第三方资产评估机构参照资产评估方法进行估价，并作为反映资</w:t>
      </w:r>
      <w:r>
        <w:rPr>
          <w:rFonts w:ascii="仿宋" w:hAnsi="仿宋" w:eastAsia="仿宋" w:cs="仿宋"/>
          <w:color w:val="000000" w:themeColor="text1"/>
          <w:spacing w:val="-15"/>
          <w:sz w:val="32"/>
          <w:szCs w:val="32"/>
          <w:highlight w:val="none"/>
          <w:u w:val="none"/>
          <w14:textFill>
            <w14:solidFill>
              <w14:schemeClr w14:val="tx1"/>
            </w14:solidFill>
          </w14:textFill>
        </w:rPr>
        <w:t>产状况的依据。</w:t>
      </w:r>
    </w:p>
    <w:p w14:paraId="7984CBB1">
      <w:pPr>
        <w:keepNext w:val="0"/>
        <w:keepLines w:val="0"/>
        <w:pageBreakBefore w:val="0"/>
        <w:widowControl/>
        <w:kinsoku w:val="0"/>
        <w:wordWrap/>
        <w:overflowPunct/>
        <w:topLinePunct w:val="0"/>
        <w:autoSpaceDE w:val="0"/>
        <w:autoSpaceDN w:val="0"/>
        <w:bidi w:val="0"/>
        <w:adjustRightInd w:val="0"/>
        <w:snapToGrid w:val="0"/>
        <w:spacing w:before="28" w:line="560" w:lineRule="exact"/>
        <w:ind w:left="159" w:right="22" w:firstLine="639"/>
        <w:jc w:val="both"/>
        <w:textAlignment w:val="baseline"/>
        <w:rPr>
          <w:color w:val="000000" w:themeColor="text1"/>
          <w:highlight w:val="none"/>
          <w:u w:val="none"/>
          <w14:textFill>
            <w14:solidFill>
              <w14:schemeClr w14:val="tx1"/>
            </w14:solidFill>
          </w14:textFill>
        </w:rPr>
      </w:pPr>
      <w:r>
        <w:rPr>
          <w:rFonts w:ascii="仿宋" w:hAnsi="仿宋" w:eastAsia="仿宋" w:cs="仿宋"/>
          <w:color w:val="000000" w:themeColor="text1"/>
          <w:spacing w:val="-7"/>
          <w:sz w:val="32"/>
          <w:szCs w:val="32"/>
          <w:highlight w:val="none"/>
          <w:u w:val="none"/>
          <w14:textFill>
            <w14:solidFill>
              <w14:schemeClr w14:val="tx1"/>
            </w14:solidFill>
          </w14:textFill>
        </w:rPr>
        <w:t>对已经超过规定期限尚未入账的在建工程，</w:t>
      </w:r>
      <w:r>
        <w:rPr>
          <w:rFonts w:hint="eastAsia" w:ascii="仿宋" w:hAnsi="仿宋" w:eastAsia="仿宋" w:cs="仿宋"/>
          <w:color w:val="000000" w:themeColor="text1"/>
          <w:spacing w:val="-7"/>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7"/>
          <w:sz w:val="32"/>
          <w:szCs w:val="32"/>
          <w:highlight w:val="none"/>
          <w:u w:val="none"/>
          <w14:textFill>
            <w14:solidFill>
              <w14:schemeClr w14:val="tx1"/>
            </w14:solidFill>
          </w14:textFill>
        </w:rPr>
        <w:t>应当采</w:t>
      </w:r>
      <w:r>
        <w:rPr>
          <w:rFonts w:ascii="仿宋" w:hAnsi="仿宋" w:eastAsia="仿宋" w:cs="仿宋"/>
          <w:color w:val="000000" w:themeColor="text1"/>
          <w:spacing w:val="-6"/>
          <w:sz w:val="32"/>
          <w:szCs w:val="32"/>
          <w:highlight w:val="none"/>
          <w:u w:val="none"/>
          <w14:textFill>
            <w14:solidFill>
              <w14:schemeClr w14:val="tx1"/>
            </w14:solidFill>
          </w14:textFill>
        </w:rPr>
        <w:t>取有效措施解决存在问题，依据国家统一的会计制度进</w:t>
      </w:r>
      <w:r>
        <w:rPr>
          <w:rFonts w:ascii="仿宋" w:hAnsi="仿宋" w:eastAsia="仿宋" w:cs="仿宋"/>
          <w:color w:val="000000" w:themeColor="text1"/>
          <w:spacing w:val="-7"/>
          <w:sz w:val="32"/>
          <w:szCs w:val="32"/>
          <w:highlight w:val="none"/>
          <w:u w:val="none"/>
          <w14:textFill>
            <w14:solidFill>
              <w14:schemeClr w14:val="tx1"/>
            </w14:solidFill>
          </w14:textFill>
        </w:rPr>
        <w:t>行会计核</w:t>
      </w:r>
      <w:r>
        <w:rPr>
          <w:rFonts w:ascii="仿宋" w:hAnsi="仿宋" w:eastAsia="仿宋" w:cs="仿宋"/>
          <w:color w:val="000000" w:themeColor="text1"/>
          <w:spacing w:val="-12"/>
          <w:sz w:val="32"/>
          <w:szCs w:val="32"/>
          <w:highlight w:val="none"/>
          <w:u w:val="none"/>
          <w14:textFill>
            <w14:solidFill>
              <w14:schemeClr w14:val="tx1"/>
            </w14:solidFill>
          </w14:textFill>
        </w:rPr>
        <w:t>算，不得形成帐外资产。</w:t>
      </w:r>
    </w:p>
    <w:p w14:paraId="4370ADB4">
      <w:pPr>
        <w:keepNext w:val="0"/>
        <w:keepLines w:val="0"/>
        <w:pageBreakBefore w:val="0"/>
        <w:widowControl/>
        <w:kinsoku w:val="0"/>
        <w:wordWrap/>
        <w:overflowPunct/>
        <w:topLinePunct w:val="0"/>
        <w:autoSpaceDE w:val="0"/>
        <w:autoSpaceDN w:val="0"/>
        <w:bidi w:val="0"/>
        <w:adjustRightInd w:val="0"/>
        <w:snapToGrid w:val="0"/>
        <w:spacing w:before="104" w:line="560" w:lineRule="exact"/>
        <w:ind w:left="1834"/>
        <w:jc w:val="both"/>
        <w:textAlignment w:val="baseline"/>
        <w:rPr>
          <w:rFonts w:ascii="黑体" w:hAnsi="黑体" w:eastAsia="黑体" w:cs="黑体"/>
          <w:color w:val="000000" w:themeColor="text1"/>
          <w:sz w:val="32"/>
          <w:szCs w:val="32"/>
          <w:highlight w:val="none"/>
          <w14:textFill>
            <w14:solidFill>
              <w14:schemeClr w14:val="tx1"/>
            </w14:solidFill>
          </w14:textFill>
        </w:rPr>
      </w:pPr>
      <w:r>
        <w:rPr>
          <w:rFonts w:ascii="黑体" w:hAnsi="黑体" w:eastAsia="黑体" w:cs="黑体"/>
          <w:b/>
          <w:bCs/>
          <w:color w:val="000000" w:themeColor="text1"/>
          <w:spacing w:val="-2"/>
          <w:sz w:val="32"/>
          <w:szCs w:val="32"/>
          <w:highlight w:val="none"/>
          <w14:textFill>
            <w14:solidFill>
              <w14:schemeClr w14:val="tx1"/>
            </w14:solidFill>
          </w14:textFill>
        </w:rPr>
        <w:t>第六章</w:t>
      </w:r>
      <w:r>
        <w:rPr>
          <w:rFonts w:hint="eastAsia" w:ascii="黑体" w:hAnsi="黑体" w:eastAsia="黑体" w:cs="黑体"/>
          <w:b/>
          <w:bCs/>
          <w:color w:val="000000" w:themeColor="text1"/>
          <w:spacing w:val="-2"/>
          <w:sz w:val="32"/>
          <w:szCs w:val="32"/>
          <w:highlight w:val="none"/>
          <w:lang w:val="en-US" w:eastAsia="zh-CN"/>
          <w14:textFill>
            <w14:solidFill>
              <w14:schemeClr w14:val="tx1"/>
            </w14:solidFill>
          </w14:textFill>
        </w:rPr>
        <w:t xml:space="preserve">  </w:t>
      </w:r>
      <w:r>
        <w:rPr>
          <w:rFonts w:ascii="黑体" w:hAnsi="黑体" w:eastAsia="黑体" w:cs="黑体"/>
          <w:b/>
          <w:bCs/>
          <w:color w:val="000000" w:themeColor="text1"/>
          <w:spacing w:val="-2"/>
          <w:sz w:val="32"/>
          <w:szCs w:val="32"/>
          <w:highlight w:val="none"/>
          <w14:textFill>
            <w14:solidFill>
              <w14:schemeClr w14:val="tx1"/>
            </w14:solidFill>
          </w14:textFill>
        </w:rPr>
        <w:t>资产收益、权属登记和纠纷调处</w:t>
      </w:r>
    </w:p>
    <w:p w14:paraId="44D7A80C">
      <w:pPr>
        <w:keepNext w:val="0"/>
        <w:keepLines w:val="0"/>
        <w:pageBreakBefore w:val="0"/>
        <w:widowControl/>
        <w:kinsoku w:val="0"/>
        <w:wordWrap/>
        <w:overflowPunct/>
        <w:topLinePunct w:val="0"/>
        <w:autoSpaceDE w:val="0"/>
        <w:autoSpaceDN w:val="0"/>
        <w:bidi w:val="0"/>
        <w:adjustRightInd w:val="0"/>
        <w:snapToGrid w:val="0"/>
        <w:spacing w:before="212" w:line="560" w:lineRule="exact"/>
        <w:ind w:left="159" w:right="26" w:firstLine="639"/>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ascii="楷体" w:hAnsi="楷体" w:eastAsia="楷体" w:cs="楷体"/>
          <w:b/>
          <w:bCs/>
          <w:color w:val="000000" w:themeColor="text1"/>
          <w:spacing w:val="-1"/>
          <w:sz w:val="32"/>
          <w:szCs w:val="32"/>
          <w:highlight w:val="none"/>
          <w14:textFill>
            <w14:solidFill>
              <w14:schemeClr w14:val="tx1"/>
            </w14:solidFill>
          </w14:textFill>
        </w:rPr>
        <w:t>第</w:t>
      </w:r>
      <w:r>
        <w:rPr>
          <w:rFonts w:hint="eastAsia" w:ascii="楷体" w:hAnsi="楷体" w:eastAsia="楷体" w:cs="楷体"/>
          <w:b/>
          <w:bCs/>
          <w:color w:val="000000" w:themeColor="text1"/>
          <w:spacing w:val="-1"/>
          <w:sz w:val="32"/>
          <w:szCs w:val="32"/>
          <w:highlight w:val="none"/>
          <w:lang w:eastAsia="zh-CN"/>
          <w14:textFill>
            <w14:solidFill>
              <w14:schemeClr w14:val="tx1"/>
            </w14:solidFill>
          </w14:textFill>
        </w:rPr>
        <w:t>三十八</w:t>
      </w:r>
      <w:r>
        <w:rPr>
          <w:rFonts w:ascii="楷体" w:hAnsi="楷体" w:eastAsia="楷体" w:cs="楷体"/>
          <w:b/>
          <w:bCs/>
          <w:color w:val="000000" w:themeColor="text1"/>
          <w:spacing w:val="-1"/>
          <w:sz w:val="32"/>
          <w:szCs w:val="32"/>
          <w:highlight w:val="none"/>
          <w14:textFill>
            <w14:solidFill>
              <w14:schemeClr w14:val="tx1"/>
            </w14:solidFill>
          </w14:textFill>
        </w:rPr>
        <w:t>条</w:t>
      </w:r>
      <w:r>
        <w:rPr>
          <w:rFonts w:hint="eastAsia" w:ascii="楷体" w:hAnsi="楷体" w:eastAsia="楷体" w:cs="楷体"/>
          <w:b/>
          <w:bCs/>
          <w:color w:val="000000" w:themeColor="text1"/>
          <w:spacing w:val="-1"/>
          <w:sz w:val="32"/>
          <w:szCs w:val="32"/>
          <w:highlight w:val="none"/>
          <w:lang w:val="en-US" w:eastAsia="zh-CN"/>
          <w14:textFill>
            <w14:solidFill>
              <w14:schemeClr w14:val="tx1"/>
            </w14:solidFill>
          </w14:textFill>
        </w:rPr>
        <w:t xml:space="preserve">  </w:t>
      </w:r>
      <w:r>
        <w:rPr>
          <w:rFonts w:ascii="仿宋" w:hAnsi="仿宋" w:eastAsia="仿宋" w:cs="仿宋"/>
          <w:color w:val="000000" w:themeColor="text1"/>
          <w:spacing w:val="-1"/>
          <w:sz w:val="32"/>
          <w:szCs w:val="32"/>
          <w:highlight w:val="none"/>
          <w14:textFill>
            <w14:solidFill>
              <w14:schemeClr w14:val="tx1"/>
            </w14:solidFill>
          </w14:textFill>
        </w:rPr>
        <w:t>资产处置收入包括有偿转让收入、置换差价收</w:t>
      </w:r>
      <w:r>
        <w:rPr>
          <w:rFonts w:ascii="仿宋" w:hAnsi="仿宋" w:eastAsia="仿宋" w:cs="仿宋"/>
          <w:color w:val="000000" w:themeColor="text1"/>
          <w:spacing w:val="-6"/>
          <w:sz w:val="32"/>
          <w:szCs w:val="32"/>
          <w:highlight w:val="none"/>
          <w14:textFill>
            <w14:solidFill>
              <w14:schemeClr w14:val="tx1"/>
            </w14:solidFill>
          </w14:textFill>
        </w:rPr>
        <w:t>入、报废报损残值变价收入、征收补偿收入、保险理赔收入以及</w:t>
      </w:r>
      <w:r>
        <w:rPr>
          <w:rFonts w:ascii="仿宋" w:hAnsi="仿宋" w:eastAsia="仿宋" w:cs="仿宋"/>
          <w:color w:val="000000" w:themeColor="text1"/>
          <w:spacing w:val="-10"/>
          <w:sz w:val="32"/>
          <w:szCs w:val="32"/>
          <w:highlight w:val="none"/>
          <w14:textFill>
            <w14:solidFill>
              <w14:schemeClr w14:val="tx1"/>
            </w14:solidFill>
          </w14:textFill>
        </w:rPr>
        <w:t>处</w:t>
      </w:r>
      <w:r>
        <w:rPr>
          <w:rFonts w:ascii="仿宋" w:hAnsi="仿宋" w:eastAsia="仿宋" w:cs="仿宋"/>
          <w:color w:val="000000" w:themeColor="text1"/>
          <w:spacing w:val="-10"/>
          <w:sz w:val="32"/>
          <w:szCs w:val="32"/>
          <w:highlight w:val="none"/>
          <w:u w:val="none"/>
          <w14:textFill>
            <w14:solidFill>
              <w14:schemeClr w14:val="tx1"/>
            </w14:solidFill>
          </w14:textFill>
        </w:rPr>
        <w:t>置资产取得的其他收入。</w:t>
      </w:r>
    </w:p>
    <w:p w14:paraId="5956C914">
      <w:pPr>
        <w:keepNext w:val="0"/>
        <w:keepLines w:val="0"/>
        <w:pageBreakBefore w:val="0"/>
        <w:widowControl/>
        <w:kinsoku w:val="0"/>
        <w:wordWrap/>
        <w:overflowPunct/>
        <w:topLinePunct w:val="0"/>
        <w:autoSpaceDE w:val="0"/>
        <w:autoSpaceDN w:val="0"/>
        <w:bidi w:val="0"/>
        <w:adjustRightInd w:val="0"/>
        <w:snapToGrid w:val="0"/>
        <w:spacing w:before="64" w:line="560" w:lineRule="exact"/>
        <w:ind w:left="159" w:firstLine="639"/>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6"/>
          <w:sz w:val="32"/>
          <w:szCs w:val="32"/>
          <w:highlight w:val="none"/>
          <w:u w:val="none"/>
          <w14:textFill>
            <w14:solidFill>
              <w14:schemeClr w14:val="tx1"/>
            </w14:solidFill>
          </w14:textFill>
        </w:rPr>
        <w:t>应建立健全废旧物资处置制度，处置收入应当纳入</w:t>
      </w:r>
      <w:r>
        <w:rPr>
          <w:rFonts w:ascii="仿宋" w:hAnsi="仿宋" w:eastAsia="仿宋" w:cs="仿宋"/>
          <w:color w:val="000000" w:themeColor="text1"/>
          <w:spacing w:val="-9"/>
          <w:sz w:val="32"/>
          <w:szCs w:val="32"/>
          <w:highlight w:val="none"/>
          <w:u w:val="none"/>
          <w14:textFill>
            <w14:solidFill>
              <w14:schemeClr w14:val="tx1"/>
            </w14:solidFill>
          </w14:textFill>
        </w:rPr>
        <w:t>预算管理，按照政府非税收入管理有关规定上缴国库。</w:t>
      </w:r>
    </w:p>
    <w:p w14:paraId="45039EA8">
      <w:pPr>
        <w:keepNext w:val="0"/>
        <w:keepLines w:val="0"/>
        <w:pageBreakBefore w:val="0"/>
        <w:widowControl/>
        <w:kinsoku w:val="0"/>
        <w:wordWrap/>
        <w:overflowPunct/>
        <w:topLinePunct w:val="0"/>
        <w:autoSpaceDE w:val="0"/>
        <w:autoSpaceDN w:val="0"/>
        <w:bidi w:val="0"/>
        <w:adjustRightInd w:val="0"/>
        <w:snapToGrid w:val="0"/>
        <w:spacing w:before="48" w:line="560" w:lineRule="exact"/>
        <w:ind w:right="26" w:firstLine="799"/>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ascii="仿宋" w:hAnsi="仿宋" w:eastAsia="仿宋" w:cs="仿宋"/>
          <w:color w:val="000000" w:themeColor="text1"/>
          <w:spacing w:val="-7"/>
          <w:sz w:val="32"/>
          <w:szCs w:val="32"/>
          <w:highlight w:val="none"/>
          <w:u w:val="none"/>
          <w14:textFill>
            <w14:solidFill>
              <w14:schemeClr w14:val="tx1"/>
            </w14:solidFill>
          </w14:textFill>
        </w:rPr>
        <w:t>国有资产处置收入扣除相关税金、评估费、拍卖佣金</w:t>
      </w:r>
      <w:r>
        <w:rPr>
          <w:rFonts w:ascii="仿宋" w:hAnsi="仿宋" w:eastAsia="仿宋" w:cs="仿宋"/>
          <w:color w:val="000000" w:themeColor="text1"/>
          <w:spacing w:val="-8"/>
          <w:sz w:val="32"/>
          <w:szCs w:val="32"/>
          <w:highlight w:val="none"/>
          <w:u w:val="none"/>
          <w14:textFill>
            <w14:solidFill>
              <w14:schemeClr w14:val="tx1"/>
            </w14:solidFill>
          </w14:textFill>
        </w:rPr>
        <w:t>等费用</w:t>
      </w:r>
      <w:r>
        <w:rPr>
          <w:rFonts w:ascii="仿宋" w:hAnsi="仿宋" w:eastAsia="仿宋" w:cs="仿宋"/>
          <w:color w:val="000000" w:themeColor="text1"/>
          <w:spacing w:val="11"/>
          <w:sz w:val="32"/>
          <w:szCs w:val="32"/>
          <w:highlight w:val="none"/>
          <w:u w:val="none"/>
          <w14:textFill>
            <w14:solidFill>
              <w14:schemeClr w14:val="tx1"/>
            </w14:solidFill>
          </w14:textFill>
        </w:rPr>
        <w:t>后，按照政府非税收入收缴管理有关规定及时缴入国库，实行</w:t>
      </w:r>
      <w:r>
        <w:rPr>
          <w:rFonts w:ascii="仿宋" w:hAnsi="仿宋" w:eastAsia="仿宋" w:cs="仿宋"/>
          <w:color w:val="000000" w:themeColor="text1"/>
          <w:spacing w:val="-11"/>
          <w:sz w:val="32"/>
          <w:szCs w:val="32"/>
          <w:highlight w:val="none"/>
          <w:u w:val="none"/>
          <w14:textFill>
            <w14:solidFill>
              <w14:schemeClr w14:val="tx1"/>
            </w14:solidFill>
          </w14:textFill>
        </w:rPr>
        <w:t>“收支两条线”管理。</w:t>
      </w:r>
    </w:p>
    <w:p w14:paraId="5E390062">
      <w:pPr>
        <w:keepNext w:val="0"/>
        <w:keepLines w:val="0"/>
        <w:pageBreakBefore w:val="0"/>
        <w:widowControl/>
        <w:kinsoku w:val="0"/>
        <w:wordWrap/>
        <w:overflowPunct/>
        <w:topLinePunct w:val="0"/>
        <w:autoSpaceDE w:val="0"/>
        <w:autoSpaceDN w:val="0"/>
        <w:bidi w:val="0"/>
        <w:adjustRightInd w:val="0"/>
        <w:snapToGrid w:val="0"/>
        <w:spacing w:before="104" w:line="560" w:lineRule="exact"/>
        <w:ind w:right="118" w:firstLine="639"/>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ascii="楷体" w:hAnsi="楷体" w:eastAsia="楷体" w:cs="楷体"/>
          <w:b/>
          <w:bCs/>
          <w:color w:val="000000" w:themeColor="text1"/>
          <w:spacing w:val="1"/>
          <w:sz w:val="32"/>
          <w:szCs w:val="32"/>
          <w:highlight w:val="none"/>
          <w:u w:val="none"/>
          <w14:textFill>
            <w14:solidFill>
              <w14:schemeClr w14:val="tx1"/>
            </w14:solidFill>
          </w14:textFill>
        </w:rPr>
        <w:t>第</w:t>
      </w:r>
      <w:r>
        <w:rPr>
          <w:rFonts w:hint="eastAsia" w:ascii="楷体" w:hAnsi="楷体" w:eastAsia="楷体" w:cs="楷体"/>
          <w:b/>
          <w:bCs/>
          <w:color w:val="000000" w:themeColor="text1"/>
          <w:spacing w:val="1"/>
          <w:sz w:val="32"/>
          <w:szCs w:val="32"/>
          <w:highlight w:val="none"/>
          <w:u w:val="none"/>
          <w:lang w:eastAsia="zh-CN"/>
          <w14:textFill>
            <w14:solidFill>
              <w14:schemeClr w14:val="tx1"/>
            </w14:solidFill>
          </w14:textFill>
        </w:rPr>
        <w:t>三</w:t>
      </w:r>
      <w:r>
        <w:rPr>
          <w:rFonts w:ascii="楷体" w:hAnsi="楷体" w:eastAsia="楷体" w:cs="楷体"/>
          <w:b/>
          <w:bCs/>
          <w:color w:val="000000" w:themeColor="text1"/>
          <w:spacing w:val="1"/>
          <w:sz w:val="32"/>
          <w:szCs w:val="32"/>
          <w:highlight w:val="none"/>
          <w:u w:val="none"/>
          <w14:textFill>
            <w14:solidFill>
              <w14:schemeClr w14:val="tx1"/>
            </w14:solidFill>
          </w14:textFill>
        </w:rPr>
        <w:t>十</w:t>
      </w:r>
      <w:r>
        <w:rPr>
          <w:rFonts w:hint="eastAsia" w:ascii="楷体" w:hAnsi="楷体" w:eastAsia="楷体" w:cs="楷体"/>
          <w:b/>
          <w:bCs/>
          <w:color w:val="000000" w:themeColor="text1"/>
          <w:spacing w:val="1"/>
          <w:sz w:val="32"/>
          <w:szCs w:val="32"/>
          <w:highlight w:val="none"/>
          <w:u w:val="none"/>
          <w:lang w:eastAsia="zh-CN"/>
          <w14:textFill>
            <w14:solidFill>
              <w14:schemeClr w14:val="tx1"/>
            </w14:solidFill>
          </w14:textFill>
        </w:rPr>
        <w:t>九</w:t>
      </w:r>
      <w:r>
        <w:rPr>
          <w:rFonts w:ascii="楷体" w:hAnsi="楷体" w:eastAsia="楷体" w:cs="楷体"/>
          <w:b/>
          <w:bCs/>
          <w:color w:val="000000" w:themeColor="text1"/>
          <w:spacing w:val="1"/>
          <w:sz w:val="32"/>
          <w:szCs w:val="32"/>
          <w:highlight w:val="none"/>
          <w:u w:val="none"/>
          <w14:textFill>
            <w14:solidFill>
              <w14:schemeClr w14:val="tx1"/>
            </w14:solidFill>
          </w14:textFill>
        </w:rPr>
        <w:t>条</w:t>
      </w:r>
      <w:r>
        <w:rPr>
          <w:rFonts w:hint="eastAsia" w:ascii="楷体" w:hAnsi="楷体" w:eastAsia="楷体" w:cs="楷体"/>
          <w:color w:val="000000" w:themeColor="text1"/>
          <w:spacing w:val="1"/>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pacing w:val="1"/>
          <w:sz w:val="32"/>
          <w:szCs w:val="32"/>
          <w:highlight w:val="none"/>
          <w:u w:val="none"/>
          <w:lang w:eastAsia="zh-CN"/>
          <w14:textFill>
            <w14:solidFill>
              <w14:schemeClr w14:val="tx1"/>
            </w14:solidFill>
          </w14:textFill>
        </w:rPr>
        <w:t>县机关事务服务中心</w:t>
      </w:r>
      <w:r>
        <w:rPr>
          <w:rFonts w:ascii="仿宋" w:hAnsi="仿宋" w:eastAsia="仿宋" w:cs="仿宋"/>
          <w:color w:val="000000" w:themeColor="text1"/>
          <w:spacing w:val="1"/>
          <w:sz w:val="32"/>
          <w:szCs w:val="32"/>
          <w:highlight w:val="none"/>
          <w:u w:val="none"/>
          <w14:textFill>
            <w14:solidFill>
              <w14:schemeClr w14:val="tx1"/>
            </w14:solidFill>
          </w14:textFill>
        </w:rPr>
        <w:t>和</w:t>
      </w:r>
      <w:r>
        <w:rPr>
          <w:rFonts w:hint="eastAsia" w:ascii="仿宋" w:hAnsi="仿宋" w:eastAsia="仿宋" w:cs="仿宋"/>
          <w:color w:val="000000" w:themeColor="text1"/>
          <w:spacing w:val="1"/>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1"/>
          <w:sz w:val="32"/>
          <w:szCs w:val="32"/>
          <w:highlight w:val="none"/>
          <w:u w:val="none"/>
          <w14:textFill>
            <w14:solidFill>
              <w14:schemeClr w14:val="tx1"/>
            </w14:solidFill>
          </w14:textFill>
        </w:rPr>
        <w:t>应当依据政府会计制</w:t>
      </w:r>
      <w:r>
        <w:rPr>
          <w:rFonts w:ascii="仿宋" w:hAnsi="仿宋" w:eastAsia="仿宋" w:cs="仿宋"/>
          <w:color w:val="000000" w:themeColor="text1"/>
          <w:spacing w:val="-6"/>
          <w:sz w:val="32"/>
          <w:szCs w:val="32"/>
          <w:highlight w:val="none"/>
          <w:u w:val="none"/>
          <w14:textFill>
            <w14:solidFill>
              <w14:schemeClr w14:val="tx1"/>
            </w14:solidFill>
          </w14:textFill>
        </w:rPr>
        <w:t>度等规定，参考资产权属主体等因素建立资产财务账，对资产配置、处置或盘盈、盘亏事项，及时办理相关手续，分别进行相应</w:t>
      </w:r>
      <w:r>
        <w:rPr>
          <w:rFonts w:ascii="仿宋" w:hAnsi="仿宋" w:eastAsia="仿宋" w:cs="仿宋"/>
          <w:color w:val="000000" w:themeColor="text1"/>
          <w:spacing w:val="-15"/>
          <w:sz w:val="32"/>
          <w:szCs w:val="32"/>
          <w:highlight w:val="none"/>
          <w:u w:val="none"/>
          <w14:textFill>
            <w14:solidFill>
              <w14:schemeClr w14:val="tx1"/>
            </w14:solidFill>
          </w14:textFill>
        </w:rPr>
        <w:t>账务处理。</w:t>
      </w:r>
    </w:p>
    <w:p w14:paraId="3B0D6670">
      <w:pPr>
        <w:keepNext w:val="0"/>
        <w:keepLines w:val="0"/>
        <w:pageBreakBefore w:val="0"/>
        <w:widowControl/>
        <w:kinsoku w:val="0"/>
        <w:wordWrap/>
        <w:overflowPunct/>
        <w:topLinePunct w:val="0"/>
        <w:autoSpaceDE w:val="0"/>
        <w:autoSpaceDN w:val="0"/>
        <w:bidi w:val="0"/>
        <w:adjustRightInd w:val="0"/>
        <w:snapToGrid w:val="0"/>
        <w:spacing w:before="78" w:line="560" w:lineRule="exact"/>
        <w:ind w:right="118" w:firstLine="639"/>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6"/>
          <w:sz w:val="32"/>
          <w:szCs w:val="32"/>
          <w:highlight w:val="none"/>
          <w:u w:val="none"/>
          <w14:textFill>
            <w14:solidFill>
              <w14:schemeClr w14:val="tx1"/>
            </w14:solidFill>
          </w14:textFill>
        </w:rPr>
        <w:t>按要求分别建立资产总台</w:t>
      </w:r>
      <w:r>
        <w:rPr>
          <w:rFonts w:ascii="仿宋" w:hAnsi="仿宋" w:eastAsia="仿宋" w:cs="仿宋"/>
          <w:color w:val="000000" w:themeColor="text1"/>
          <w:spacing w:val="-7"/>
          <w:sz w:val="32"/>
          <w:szCs w:val="32"/>
          <w:highlight w:val="none"/>
          <w:u w:val="none"/>
          <w14:textFill>
            <w14:solidFill>
              <w14:schemeClr w14:val="tx1"/>
            </w14:solidFill>
          </w14:textFill>
        </w:rPr>
        <w:t>账和分台</w:t>
      </w:r>
      <w:r>
        <w:rPr>
          <w:rFonts w:ascii="仿宋" w:hAnsi="仿宋" w:eastAsia="仿宋" w:cs="仿宋"/>
          <w:color w:val="000000" w:themeColor="text1"/>
          <w:spacing w:val="-9"/>
          <w:sz w:val="32"/>
          <w:szCs w:val="32"/>
          <w:highlight w:val="none"/>
          <w:u w:val="none"/>
          <w14:textFill>
            <w14:solidFill>
              <w14:schemeClr w14:val="tx1"/>
            </w14:solidFill>
          </w14:textFill>
        </w:rPr>
        <w:t>账，及时更新资产配置、使用和处置信息。</w:t>
      </w:r>
    </w:p>
    <w:p w14:paraId="3B190DD8">
      <w:pPr>
        <w:keepNext w:val="0"/>
        <w:keepLines w:val="0"/>
        <w:pageBreakBefore w:val="0"/>
        <w:widowControl/>
        <w:kinsoku w:val="0"/>
        <w:wordWrap/>
        <w:overflowPunct/>
        <w:topLinePunct w:val="0"/>
        <w:autoSpaceDE w:val="0"/>
        <w:autoSpaceDN w:val="0"/>
        <w:bidi w:val="0"/>
        <w:adjustRightInd w:val="0"/>
        <w:snapToGrid w:val="0"/>
        <w:spacing w:before="25" w:line="560" w:lineRule="exact"/>
        <w:ind w:right="133" w:firstLine="644"/>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ascii="楷体" w:hAnsi="楷体" w:eastAsia="楷体" w:cs="楷体"/>
          <w:b/>
          <w:bCs/>
          <w:color w:val="000000" w:themeColor="text1"/>
          <w:spacing w:val="-2"/>
          <w:sz w:val="32"/>
          <w:szCs w:val="32"/>
          <w:highlight w:val="none"/>
          <w:u w:val="none"/>
          <w14:textFill>
            <w14:solidFill>
              <w14:schemeClr w14:val="tx1"/>
            </w14:solidFill>
          </w14:textFill>
        </w:rPr>
        <w:t>第四十条</w:t>
      </w:r>
      <w:r>
        <w:rPr>
          <w:rFonts w:hint="eastAsia" w:ascii="楷体" w:hAnsi="楷体" w:eastAsia="楷体" w:cs="楷体"/>
          <w:b/>
          <w:bCs/>
          <w:color w:val="000000" w:themeColor="text1"/>
          <w:spacing w:val="-2"/>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pacing w:val="-2"/>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2"/>
          <w:sz w:val="32"/>
          <w:szCs w:val="32"/>
          <w:highlight w:val="none"/>
          <w:u w:val="none"/>
          <w14:textFill>
            <w14:solidFill>
              <w14:schemeClr w14:val="tx1"/>
            </w14:solidFill>
          </w14:textFill>
        </w:rPr>
        <w:t>所属车辆的权属，应当登记在各</w:t>
      </w:r>
      <w:r>
        <w:rPr>
          <w:rFonts w:hint="eastAsia" w:ascii="仿宋" w:hAnsi="仿宋" w:eastAsia="仿宋" w:cs="仿宋"/>
          <w:color w:val="000000" w:themeColor="text1"/>
          <w:spacing w:val="-2"/>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18"/>
          <w:sz w:val="32"/>
          <w:szCs w:val="32"/>
          <w:highlight w:val="none"/>
          <w:u w:val="none"/>
          <w14:textFill>
            <w14:solidFill>
              <w14:schemeClr w14:val="tx1"/>
            </w14:solidFill>
          </w14:textFill>
        </w:rPr>
        <w:t>名下。</w:t>
      </w:r>
    </w:p>
    <w:p w14:paraId="0B9F0ED9">
      <w:pPr>
        <w:keepNext w:val="0"/>
        <w:keepLines w:val="0"/>
        <w:pageBreakBefore w:val="0"/>
        <w:widowControl/>
        <w:kinsoku w:val="0"/>
        <w:wordWrap/>
        <w:overflowPunct/>
        <w:topLinePunct w:val="0"/>
        <w:autoSpaceDE w:val="0"/>
        <w:autoSpaceDN w:val="0"/>
        <w:bidi w:val="0"/>
        <w:adjustRightInd w:val="0"/>
        <w:snapToGrid w:val="0"/>
        <w:spacing w:before="104" w:line="560" w:lineRule="exact"/>
        <w:ind w:left="2314"/>
        <w:jc w:val="both"/>
        <w:textAlignment w:val="baseline"/>
        <w:rPr>
          <w:rFonts w:ascii="黑体" w:hAnsi="黑体" w:eastAsia="黑体" w:cs="黑体"/>
          <w:color w:val="000000" w:themeColor="text1"/>
          <w:sz w:val="32"/>
          <w:szCs w:val="32"/>
          <w:highlight w:val="none"/>
          <w14:textFill>
            <w14:solidFill>
              <w14:schemeClr w14:val="tx1"/>
            </w14:solidFill>
          </w14:textFill>
        </w:rPr>
      </w:pPr>
      <w:r>
        <w:rPr>
          <w:rFonts w:ascii="黑体" w:hAnsi="黑体" w:eastAsia="黑体" w:cs="黑体"/>
          <w:b/>
          <w:bCs/>
          <w:color w:val="000000" w:themeColor="text1"/>
          <w:sz w:val="32"/>
          <w:szCs w:val="32"/>
          <w:highlight w:val="none"/>
          <w14:textFill>
            <w14:solidFill>
              <w14:schemeClr w14:val="tx1"/>
            </w14:solidFill>
          </w14:textFill>
        </w:rPr>
        <w:t>第七章</w:t>
      </w: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 xml:space="preserve">  </w:t>
      </w:r>
      <w:r>
        <w:rPr>
          <w:rFonts w:ascii="黑体" w:hAnsi="黑体" w:eastAsia="黑体" w:cs="黑体"/>
          <w:b/>
          <w:bCs/>
          <w:color w:val="000000" w:themeColor="text1"/>
          <w:sz w:val="32"/>
          <w:szCs w:val="32"/>
          <w:highlight w:val="none"/>
          <w14:textFill>
            <w14:solidFill>
              <w14:schemeClr w14:val="tx1"/>
            </w14:solidFill>
          </w14:textFill>
        </w:rPr>
        <w:t>资产清查、评估和报告</w:t>
      </w:r>
    </w:p>
    <w:p w14:paraId="6D88B793">
      <w:pPr>
        <w:keepNext w:val="0"/>
        <w:keepLines w:val="0"/>
        <w:pageBreakBefore w:val="0"/>
        <w:widowControl/>
        <w:kinsoku w:val="0"/>
        <w:wordWrap/>
        <w:overflowPunct/>
        <w:topLinePunct w:val="0"/>
        <w:autoSpaceDE w:val="0"/>
        <w:autoSpaceDN w:val="0"/>
        <w:bidi w:val="0"/>
        <w:adjustRightInd w:val="0"/>
        <w:snapToGrid w:val="0"/>
        <w:spacing w:before="217" w:line="560" w:lineRule="exact"/>
        <w:ind w:right="163" w:firstLine="649"/>
        <w:jc w:val="both"/>
        <w:textAlignment w:val="baseline"/>
        <w:rPr>
          <w:rFonts w:ascii="仿宋" w:hAnsi="仿宋" w:eastAsia="仿宋" w:cs="仿宋"/>
          <w:color w:val="000000" w:themeColor="text1"/>
          <w:sz w:val="32"/>
          <w:szCs w:val="32"/>
          <w:highlight w:val="none"/>
          <w14:textFill>
            <w14:solidFill>
              <w14:schemeClr w14:val="tx1"/>
            </w14:solidFill>
          </w14:textFill>
        </w:rPr>
      </w:pPr>
      <w:r>
        <w:rPr>
          <w:rFonts w:ascii="楷体" w:hAnsi="楷体" w:eastAsia="楷体" w:cs="楷体"/>
          <w:b/>
          <w:bCs/>
          <w:color w:val="000000" w:themeColor="text1"/>
          <w:spacing w:val="9"/>
          <w:sz w:val="31"/>
          <w:szCs w:val="31"/>
          <w:highlight w:val="none"/>
          <w14:textFill>
            <w14:solidFill>
              <w14:schemeClr w14:val="tx1"/>
            </w14:solidFill>
          </w14:textFill>
        </w:rPr>
        <w:t>第四十</w:t>
      </w:r>
      <w:r>
        <w:rPr>
          <w:rFonts w:hint="eastAsia" w:ascii="楷体" w:hAnsi="楷体" w:eastAsia="楷体" w:cs="楷体"/>
          <w:b/>
          <w:bCs/>
          <w:color w:val="000000" w:themeColor="text1"/>
          <w:spacing w:val="9"/>
          <w:sz w:val="31"/>
          <w:szCs w:val="31"/>
          <w:highlight w:val="none"/>
          <w:lang w:eastAsia="zh-CN"/>
          <w14:textFill>
            <w14:solidFill>
              <w14:schemeClr w14:val="tx1"/>
            </w14:solidFill>
          </w14:textFill>
        </w:rPr>
        <w:t>一</w:t>
      </w:r>
      <w:r>
        <w:rPr>
          <w:rFonts w:ascii="楷体" w:hAnsi="楷体" w:eastAsia="楷体" w:cs="楷体"/>
          <w:b/>
          <w:bCs/>
          <w:color w:val="000000" w:themeColor="text1"/>
          <w:spacing w:val="9"/>
          <w:sz w:val="31"/>
          <w:szCs w:val="31"/>
          <w:highlight w:val="none"/>
          <w14:textFill>
            <w14:solidFill>
              <w14:schemeClr w14:val="tx1"/>
            </w14:solidFill>
          </w14:textFill>
        </w:rPr>
        <w:t>条</w:t>
      </w:r>
      <w:r>
        <w:rPr>
          <w:rFonts w:hint="eastAsia" w:ascii="楷体" w:hAnsi="楷体" w:eastAsia="楷体" w:cs="楷体"/>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lang w:eastAsia="zh-CN"/>
          <w14:textFill>
            <w14:solidFill>
              <w14:schemeClr w14:val="tx1"/>
            </w14:solidFill>
          </w14:textFill>
        </w:rPr>
        <w:t>县</w:t>
      </w:r>
      <w:r>
        <w:rPr>
          <w:rFonts w:ascii="仿宋" w:hAnsi="仿宋" w:eastAsia="仿宋" w:cs="仿宋"/>
          <w:color w:val="000000" w:themeColor="text1"/>
          <w:sz w:val="32"/>
          <w:szCs w:val="32"/>
          <w:highlight w:val="none"/>
          <w14:textFill>
            <w14:solidFill>
              <w14:schemeClr w14:val="tx1"/>
            </w14:solidFill>
          </w14:textFill>
        </w:rPr>
        <w:t>财政局、</w:t>
      </w:r>
      <w:r>
        <w:rPr>
          <w:rFonts w:hint="eastAsia" w:ascii="仿宋" w:hAnsi="仿宋" w:eastAsia="仿宋" w:cs="仿宋"/>
          <w:color w:val="000000" w:themeColor="text1"/>
          <w:sz w:val="32"/>
          <w:szCs w:val="32"/>
          <w:highlight w:val="none"/>
          <w:lang w:eastAsia="zh-CN"/>
          <w14:textFill>
            <w14:solidFill>
              <w14:schemeClr w14:val="tx1"/>
            </w14:solidFill>
          </w14:textFill>
        </w:rPr>
        <w:t>县机关事务服务中心</w:t>
      </w:r>
      <w:r>
        <w:rPr>
          <w:rFonts w:ascii="仿宋" w:hAnsi="仿宋" w:eastAsia="仿宋" w:cs="仿宋"/>
          <w:color w:val="000000" w:themeColor="text1"/>
          <w:sz w:val="32"/>
          <w:szCs w:val="32"/>
          <w:highlight w:val="none"/>
          <w14:textFill>
            <w14:solidFill>
              <w14:schemeClr w14:val="tx1"/>
            </w14:solidFill>
          </w14:textFill>
        </w:rPr>
        <w:t>应当根据</w:t>
      </w:r>
      <w:r>
        <w:rPr>
          <w:rFonts w:ascii="仿宋" w:hAnsi="仿宋" w:eastAsia="仿宋" w:cs="仿宋"/>
          <w:color w:val="000000" w:themeColor="text1"/>
          <w:spacing w:val="-1"/>
          <w:sz w:val="32"/>
          <w:szCs w:val="32"/>
          <w:highlight w:val="none"/>
          <w14:textFill>
            <w14:solidFill>
              <w14:schemeClr w14:val="tx1"/>
            </w14:solidFill>
          </w14:textFill>
        </w:rPr>
        <w:t>实际工作需</w:t>
      </w:r>
      <w:r>
        <w:rPr>
          <w:rFonts w:ascii="仿宋" w:hAnsi="仿宋" w:eastAsia="仿宋" w:cs="仿宋"/>
          <w:color w:val="000000" w:themeColor="text1"/>
          <w:spacing w:val="-6"/>
          <w:sz w:val="32"/>
          <w:szCs w:val="32"/>
          <w:highlight w:val="none"/>
          <w14:textFill>
            <w14:solidFill>
              <w14:schemeClr w14:val="tx1"/>
            </w14:solidFill>
          </w14:textFill>
        </w:rPr>
        <w:t>要，适时组织</w:t>
      </w: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6"/>
          <w:sz w:val="32"/>
          <w:szCs w:val="32"/>
          <w:highlight w:val="none"/>
          <w14:textFill>
            <w14:solidFill>
              <w14:schemeClr w14:val="tx1"/>
            </w14:solidFill>
          </w14:textFill>
        </w:rPr>
        <w:t>开展资产清查盘点，清查内容包括单</w:t>
      </w:r>
      <w:r>
        <w:rPr>
          <w:rFonts w:ascii="仿宋" w:hAnsi="仿宋" w:eastAsia="仿宋" w:cs="仿宋"/>
          <w:color w:val="000000" w:themeColor="text1"/>
          <w:spacing w:val="-7"/>
          <w:sz w:val="32"/>
          <w:szCs w:val="32"/>
          <w:highlight w:val="none"/>
          <w14:textFill>
            <w14:solidFill>
              <w14:schemeClr w14:val="tx1"/>
            </w14:solidFill>
          </w14:textFill>
        </w:rPr>
        <w:t>位基</w:t>
      </w:r>
      <w:r>
        <w:rPr>
          <w:rFonts w:ascii="仿宋" w:hAnsi="仿宋" w:eastAsia="仿宋" w:cs="仿宋"/>
          <w:color w:val="000000" w:themeColor="text1"/>
          <w:spacing w:val="-6"/>
          <w:sz w:val="32"/>
          <w:szCs w:val="32"/>
          <w:highlight w:val="none"/>
          <w14:textFill>
            <w14:solidFill>
              <w14:schemeClr w14:val="tx1"/>
            </w14:solidFill>
          </w14:textFill>
        </w:rPr>
        <w:t>本情况、账务清理、财产清查、损溢认定、资产核实和完善制度</w:t>
      </w:r>
      <w:r>
        <w:rPr>
          <w:rFonts w:ascii="仿宋" w:hAnsi="仿宋" w:eastAsia="仿宋" w:cs="仿宋"/>
          <w:color w:val="000000" w:themeColor="text1"/>
          <w:spacing w:val="-19"/>
          <w:sz w:val="32"/>
          <w:szCs w:val="32"/>
          <w:highlight w:val="none"/>
          <w14:textFill>
            <w14:solidFill>
              <w14:schemeClr w14:val="tx1"/>
            </w14:solidFill>
          </w14:textFill>
        </w:rPr>
        <w:t>等。</w:t>
      </w:r>
    </w:p>
    <w:p w14:paraId="5DCBAC68">
      <w:pPr>
        <w:keepNext w:val="0"/>
        <w:keepLines w:val="0"/>
        <w:pageBreakBefore w:val="0"/>
        <w:widowControl/>
        <w:kinsoku w:val="0"/>
        <w:wordWrap/>
        <w:overflowPunct/>
        <w:topLinePunct w:val="0"/>
        <w:autoSpaceDE w:val="0"/>
        <w:autoSpaceDN w:val="0"/>
        <w:bidi w:val="0"/>
        <w:adjustRightInd w:val="0"/>
        <w:snapToGrid w:val="0"/>
        <w:spacing w:before="93" w:line="560" w:lineRule="exact"/>
        <w:ind w:right="160" w:firstLine="649"/>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6"/>
          <w:sz w:val="32"/>
          <w:szCs w:val="32"/>
          <w:highlight w:val="none"/>
          <w:u w:val="none"/>
          <w14:textFill>
            <w14:solidFill>
              <w14:schemeClr w14:val="tx1"/>
            </w14:solidFill>
          </w14:textFill>
        </w:rPr>
        <w:t>在资产清查中发现账实不符、账账不</w:t>
      </w:r>
      <w:r>
        <w:rPr>
          <w:rFonts w:ascii="仿宋" w:hAnsi="仿宋" w:eastAsia="仿宋" w:cs="仿宋"/>
          <w:color w:val="000000" w:themeColor="text1"/>
          <w:spacing w:val="-7"/>
          <w:sz w:val="32"/>
          <w:szCs w:val="32"/>
          <w:highlight w:val="none"/>
          <w:u w:val="none"/>
          <w14:textFill>
            <w14:solidFill>
              <w14:schemeClr w14:val="tx1"/>
            </w14:solidFill>
          </w14:textFill>
        </w:rPr>
        <w:t>符的，应当查</w:t>
      </w:r>
      <w:r>
        <w:rPr>
          <w:rFonts w:ascii="仿宋" w:hAnsi="仿宋" w:eastAsia="仿宋" w:cs="仿宋"/>
          <w:color w:val="000000" w:themeColor="text1"/>
          <w:spacing w:val="-6"/>
          <w:sz w:val="32"/>
          <w:szCs w:val="32"/>
          <w:highlight w:val="none"/>
          <w:u w:val="none"/>
          <w14:textFill>
            <w14:solidFill>
              <w14:schemeClr w14:val="tx1"/>
            </w14:solidFill>
          </w14:textFill>
        </w:rPr>
        <w:t>明原因予以说明，并随同清查结果一并履行审批程序。</w:t>
      </w:r>
      <w:r>
        <w:rPr>
          <w:rFonts w:ascii="仿宋" w:hAnsi="仿宋" w:eastAsia="仿宋" w:cs="仿宋"/>
          <w:color w:val="000000" w:themeColor="text1"/>
          <w:spacing w:val="-7"/>
          <w:sz w:val="32"/>
          <w:szCs w:val="32"/>
          <w:highlight w:val="none"/>
          <w:u w:val="none"/>
          <w14:textFill>
            <w14:solidFill>
              <w14:schemeClr w14:val="tx1"/>
            </w14:solidFill>
          </w14:textFill>
        </w:rPr>
        <w:t>根据审批</w:t>
      </w:r>
      <w:r>
        <w:rPr>
          <w:rFonts w:ascii="仿宋" w:hAnsi="仿宋" w:eastAsia="仿宋" w:cs="仿宋"/>
          <w:color w:val="000000" w:themeColor="text1"/>
          <w:spacing w:val="-6"/>
          <w:sz w:val="32"/>
          <w:szCs w:val="32"/>
          <w:highlight w:val="none"/>
          <w:u w:val="none"/>
          <w14:textFill>
            <w14:solidFill>
              <w14:schemeClr w14:val="tx1"/>
            </w14:solidFill>
          </w14:textFill>
        </w:rPr>
        <w:t>结果或者批复，及时调整资产台账信息，同时进行会计处理，确</w:t>
      </w:r>
      <w:r>
        <w:rPr>
          <w:rFonts w:ascii="仿宋" w:hAnsi="仿宋" w:eastAsia="仿宋" w:cs="仿宋"/>
          <w:color w:val="000000" w:themeColor="text1"/>
          <w:spacing w:val="-10"/>
          <w:sz w:val="32"/>
          <w:szCs w:val="32"/>
          <w:highlight w:val="none"/>
          <w:u w:val="none"/>
          <w14:textFill>
            <w14:solidFill>
              <w14:schemeClr w14:val="tx1"/>
            </w14:solidFill>
          </w14:textFill>
        </w:rPr>
        <w:t>保账账相符、账卡相符、账实相符。</w:t>
      </w:r>
    </w:p>
    <w:p w14:paraId="41A7EFFD">
      <w:pPr>
        <w:keepNext w:val="0"/>
        <w:keepLines w:val="0"/>
        <w:pageBreakBefore w:val="0"/>
        <w:widowControl/>
        <w:kinsoku w:val="0"/>
        <w:wordWrap/>
        <w:overflowPunct/>
        <w:topLinePunct w:val="0"/>
        <w:autoSpaceDE w:val="0"/>
        <w:autoSpaceDN w:val="0"/>
        <w:bidi w:val="0"/>
        <w:adjustRightInd w:val="0"/>
        <w:snapToGrid w:val="0"/>
        <w:spacing w:before="39" w:line="560" w:lineRule="exact"/>
        <w:ind w:right="175" w:firstLine="654"/>
        <w:jc w:val="both"/>
        <w:textAlignment w:val="baseline"/>
        <w:rPr>
          <w:rFonts w:ascii="仿宋" w:hAnsi="仿宋" w:eastAsia="仿宋" w:cs="仿宋"/>
          <w:color w:val="000000" w:themeColor="text1"/>
          <w:sz w:val="32"/>
          <w:szCs w:val="32"/>
          <w:highlight w:val="none"/>
          <w:u w:val="none"/>
          <w14:textFill>
            <w14:solidFill>
              <w14:schemeClr w14:val="tx1"/>
            </w14:solidFill>
          </w14:textFill>
        </w:rPr>
      </w:pPr>
      <w:r>
        <w:rPr>
          <w:rFonts w:ascii="楷体" w:hAnsi="楷体" w:eastAsia="楷体" w:cs="楷体"/>
          <w:b/>
          <w:bCs/>
          <w:color w:val="000000" w:themeColor="text1"/>
          <w:spacing w:val="-2"/>
          <w:sz w:val="32"/>
          <w:szCs w:val="32"/>
          <w:highlight w:val="none"/>
          <w:u w:val="none"/>
          <w14:textFill>
            <w14:solidFill>
              <w14:schemeClr w14:val="tx1"/>
            </w14:solidFill>
          </w14:textFill>
        </w:rPr>
        <w:t>第四十</w:t>
      </w:r>
      <w:r>
        <w:rPr>
          <w:rFonts w:hint="eastAsia" w:ascii="楷体" w:hAnsi="楷体" w:eastAsia="楷体" w:cs="楷体"/>
          <w:b/>
          <w:bCs/>
          <w:color w:val="000000" w:themeColor="text1"/>
          <w:spacing w:val="-2"/>
          <w:sz w:val="32"/>
          <w:szCs w:val="32"/>
          <w:highlight w:val="none"/>
          <w:u w:val="none"/>
          <w:lang w:eastAsia="zh-CN"/>
          <w14:textFill>
            <w14:solidFill>
              <w14:schemeClr w14:val="tx1"/>
            </w14:solidFill>
          </w14:textFill>
        </w:rPr>
        <w:t>二</w:t>
      </w:r>
      <w:r>
        <w:rPr>
          <w:rFonts w:ascii="楷体" w:hAnsi="楷体" w:eastAsia="楷体" w:cs="楷体"/>
          <w:b/>
          <w:bCs/>
          <w:color w:val="000000" w:themeColor="text1"/>
          <w:spacing w:val="-2"/>
          <w:sz w:val="32"/>
          <w:szCs w:val="32"/>
          <w:highlight w:val="none"/>
          <w:u w:val="none"/>
          <w14:textFill>
            <w14:solidFill>
              <w14:schemeClr w14:val="tx1"/>
            </w14:solidFill>
          </w14:textFill>
        </w:rPr>
        <w:t>条</w:t>
      </w:r>
      <w:r>
        <w:rPr>
          <w:rFonts w:hint="eastAsia" w:ascii="楷体" w:hAnsi="楷体" w:eastAsia="楷体" w:cs="楷体"/>
          <w:b/>
          <w:bCs/>
          <w:color w:val="000000" w:themeColor="text1"/>
          <w:spacing w:val="-2"/>
          <w:sz w:val="32"/>
          <w:szCs w:val="32"/>
          <w:highlight w:val="none"/>
          <w:u w:val="none"/>
          <w:lang w:val="en-US" w:eastAsia="zh-CN"/>
          <w14:textFill>
            <w14:solidFill>
              <w14:schemeClr w14:val="tx1"/>
            </w14:solidFill>
          </w14:textFill>
        </w:rPr>
        <w:t xml:space="preserve">  </w:t>
      </w:r>
      <w:r>
        <w:rPr>
          <w:rFonts w:ascii="仿宋" w:hAnsi="仿宋" w:eastAsia="仿宋" w:cs="仿宋"/>
          <w:color w:val="000000" w:themeColor="text1"/>
          <w:spacing w:val="-2"/>
          <w:sz w:val="32"/>
          <w:szCs w:val="32"/>
          <w:highlight w:val="none"/>
          <w:u w:val="none"/>
          <w14:textFill>
            <w14:solidFill>
              <w14:schemeClr w14:val="tx1"/>
            </w14:solidFill>
          </w14:textFill>
        </w:rPr>
        <w:t>有下列情形之一的，</w:t>
      </w:r>
      <w:r>
        <w:rPr>
          <w:rFonts w:hint="eastAsia" w:ascii="仿宋" w:hAnsi="仿宋" w:eastAsia="仿宋" w:cs="仿宋"/>
          <w:color w:val="000000" w:themeColor="text1"/>
          <w:spacing w:val="-2"/>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2"/>
          <w:sz w:val="32"/>
          <w:szCs w:val="32"/>
          <w:highlight w:val="none"/>
          <w:u w:val="none"/>
          <w14:textFill>
            <w14:solidFill>
              <w14:schemeClr w14:val="tx1"/>
            </w14:solidFill>
          </w14:textFill>
        </w:rPr>
        <w:t>应当进行资产专</w:t>
      </w:r>
      <w:r>
        <w:rPr>
          <w:rFonts w:ascii="仿宋" w:hAnsi="仿宋" w:eastAsia="仿宋" w:cs="仿宋"/>
          <w:color w:val="000000" w:themeColor="text1"/>
          <w:spacing w:val="-18"/>
          <w:sz w:val="32"/>
          <w:szCs w:val="32"/>
          <w:highlight w:val="none"/>
          <w:u w:val="none"/>
          <w14:textFill>
            <w14:solidFill>
              <w14:schemeClr w14:val="tx1"/>
            </w14:solidFill>
          </w14:textFill>
        </w:rPr>
        <w:t>项清查：</w:t>
      </w:r>
    </w:p>
    <w:p w14:paraId="64915B19">
      <w:pPr>
        <w:keepNext w:val="0"/>
        <w:keepLines w:val="0"/>
        <w:pageBreakBefore w:val="0"/>
        <w:widowControl/>
        <w:kinsoku w:val="0"/>
        <w:wordWrap/>
        <w:overflowPunct/>
        <w:topLinePunct w:val="0"/>
        <w:autoSpaceDE w:val="0"/>
        <w:autoSpaceDN w:val="0"/>
        <w:bidi w:val="0"/>
        <w:adjustRightInd w:val="0"/>
        <w:snapToGrid w:val="0"/>
        <w:spacing w:before="104" w:line="560" w:lineRule="exact"/>
        <w:ind w:firstLine="632" w:firstLineChars="200"/>
        <w:jc w:val="both"/>
        <w:textAlignment w:val="baseline"/>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pacing w:val="-2"/>
          <w:sz w:val="32"/>
          <w:szCs w:val="32"/>
          <w:highlight w:val="none"/>
          <w14:textFill>
            <w14:solidFill>
              <w14:schemeClr w14:val="tx1"/>
            </w14:solidFill>
          </w14:textFill>
        </w:rPr>
        <w:t>(一)发生重大资产调拨、划转以及单位分立、合并、改制、</w:t>
      </w:r>
      <w:r>
        <w:rPr>
          <w:rFonts w:ascii="仿宋" w:hAnsi="仿宋" w:eastAsia="仿宋" w:cs="仿宋"/>
          <w:color w:val="000000" w:themeColor="text1"/>
          <w:spacing w:val="-11"/>
          <w:sz w:val="32"/>
          <w:szCs w:val="32"/>
          <w:highlight w:val="none"/>
          <w14:textFill>
            <w14:solidFill>
              <w14:schemeClr w14:val="tx1"/>
            </w14:solidFill>
          </w14:textFill>
        </w:rPr>
        <w:t>撤销、隶属关系改变等情形；</w:t>
      </w:r>
    </w:p>
    <w:p w14:paraId="386C0E4E">
      <w:pPr>
        <w:keepNext w:val="0"/>
        <w:keepLines w:val="0"/>
        <w:pageBreakBefore w:val="0"/>
        <w:widowControl/>
        <w:kinsoku w:val="0"/>
        <w:wordWrap/>
        <w:overflowPunct/>
        <w:topLinePunct w:val="0"/>
        <w:autoSpaceDE w:val="0"/>
        <w:autoSpaceDN w:val="0"/>
        <w:bidi w:val="0"/>
        <w:adjustRightInd w:val="0"/>
        <w:snapToGrid w:val="0"/>
        <w:spacing w:before="205" w:line="560" w:lineRule="exact"/>
        <w:ind w:left="639"/>
        <w:jc w:val="both"/>
        <w:textAlignment w:val="baseline"/>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pacing w:val="-4"/>
          <w:sz w:val="32"/>
          <w:szCs w:val="32"/>
          <w:highlight w:val="none"/>
          <w14:textFill>
            <w14:solidFill>
              <w14:schemeClr w14:val="tx1"/>
            </w14:solidFill>
          </w14:textFill>
        </w:rPr>
        <w:t>(二)因自然灾害等不可抗力造成资产毁损、灭失；</w:t>
      </w:r>
    </w:p>
    <w:p w14:paraId="01EB03C1">
      <w:pPr>
        <w:keepNext w:val="0"/>
        <w:keepLines w:val="0"/>
        <w:pageBreakBefore w:val="0"/>
        <w:widowControl/>
        <w:kinsoku w:val="0"/>
        <w:wordWrap/>
        <w:overflowPunct/>
        <w:topLinePunct w:val="0"/>
        <w:autoSpaceDE w:val="0"/>
        <w:autoSpaceDN w:val="0"/>
        <w:bidi w:val="0"/>
        <w:adjustRightInd w:val="0"/>
        <w:snapToGrid w:val="0"/>
        <w:spacing w:before="205" w:line="560" w:lineRule="exact"/>
        <w:ind w:right="154" w:firstLine="639"/>
        <w:jc w:val="both"/>
        <w:textAlignment w:val="baseline"/>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pacing w:val="5"/>
          <w:sz w:val="32"/>
          <w:szCs w:val="32"/>
          <w:highlight w:val="none"/>
          <w14:textFill>
            <w14:solidFill>
              <w14:schemeClr w14:val="tx1"/>
            </w14:solidFill>
          </w14:textFill>
        </w:rPr>
        <w:t>(三)会计政策发生重大更改，涉及资产核</w:t>
      </w:r>
      <w:r>
        <w:rPr>
          <w:rFonts w:ascii="仿宋" w:hAnsi="仿宋" w:eastAsia="仿宋" w:cs="仿宋"/>
          <w:color w:val="000000" w:themeColor="text1"/>
          <w:spacing w:val="4"/>
          <w:sz w:val="32"/>
          <w:szCs w:val="32"/>
          <w:highlight w:val="none"/>
          <w14:textFill>
            <w14:solidFill>
              <w14:schemeClr w14:val="tx1"/>
            </w14:solidFill>
          </w14:textFill>
        </w:rPr>
        <w:t>算方法发生重要</w:t>
      </w:r>
      <w:r>
        <w:rPr>
          <w:rFonts w:ascii="仿宋" w:hAnsi="仿宋" w:eastAsia="仿宋" w:cs="仿宋"/>
          <w:color w:val="000000" w:themeColor="text1"/>
          <w:spacing w:val="-20"/>
          <w:sz w:val="32"/>
          <w:szCs w:val="32"/>
          <w:highlight w:val="none"/>
          <w14:textFill>
            <w14:solidFill>
              <w14:schemeClr w14:val="tx1"/>
            </w14:solidFill>
          </w14:textFill>
        </w:rPr>
        <w:t>变化的；</w:t>
      </w:r>
    </w:p>
    <w:p w14:paraId="4A928C15">
      <w:pPr>
        <w:keepNext w:val="0"/>
        <w:keepLines w:val="0"/>
        <w:pageBreakBefore w:val="0"/>
        <w:widowControl/>
        <w:kinsoku w:val="0"/>
        <w:wordWrap/>
        <w:overflowPunct/>
        <w:topLinePunct w:val="0"/>
        <w:autoSpaceDE w:val="0"/>
        <w:autoSpaceDN w:val="0"/>
        <w:bidi w:val="0"/>
        <w:adjustRightInd w:val="0"/>
        <w:snapToGrid w:val="0"/>
        <w:spacing w:before="202" w:line="560" w:lineRule="exact"/>
        <w:ind w:left="639"/>
        <w:jc w:val="both"/>
        <w:textAlignment w:val="baseline"/>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pacing w:val="-4"/>
          <w:sz w:val="32"/>
          <w:szCs w:val="32"/>
          <w:highlight w:val="none"/>
          <w14:textFill>
            <w14:solidFill>
              <w14:schemeClr w14:val="tx1"/>
            </w14:solidFill>
          </w14:textFill>
        </w:rPr>
        <w:t>(四)会计信息严重失真或者国有资产出现重大流失的；</w:t>
      </w:r>
    </w:p>
    <w:p w14:paraId="77C96314">
      <w:pPr>
        <w:keepNext w:val="0"/>
        <w:keepLines w:val="0"/>
        <w:pageBreakBefore w:val="0"/>
        <w:widowControl/>
        <w:kinsoku w:val="0"/>
        <w:wordWrap/>
        <w:overflowPunct/>
        <w:topLinePunct w:val="0"/>
        <w:autoSpaceDE w:val="0"/>
        <w:autoSpaceDN w:val="0"/>
        <w:bidi w:val="0"/>
        <w:adjustRightInd w:val="0"/>
        <w:snapToGrid w:val="0"/>
        <w:spacing w:before="194" w:line="560" w:lineRule="exact"/>
        <w:ind w:left="639"/>
        <w:jc w:val="both"/>
        <w:textAlignment w:val="baseline"/>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pacing w:val="-3"/>
          <w:sz w:val="32"/>
          <w:szCs w:val="32"/>
          <w:highlight w:val="none"/>
          <w14:textFill>
            <w14:solidFill>
              <w14:schemeClr w14:val="tx1"/>
            </w14:solidFill>
          </w14:textFill>
        </w:rPr>
        <w:t>(五)其他应当进行资产清查的情形。</w:t>
      </w:r>
    </w:p>
    <w:p w14:paraId="629D3BCB">
      <w:pPr>
        <w:keepNext w:val="0"/>
        <w:keepLines w:val="0"/>
        <w:pageBreakBefore w:val="0"/>
        <w:widowControl/>
        <w:kinsoku w:val="0"/>
        <w:wordWrap/>
        <w:overflowPunct/>
        <w:topLinePunct w:val="0"/>
        <w:autoSpaceDE w:val="0"/>
        <w:autoSpaceDN w:val="0"/>
        <w:bidi w:val="0"/>
        <w:adjustRightInd w:val="0"/>
        <w:snapToGrid w:val="0"/>
        <w:spacing w:before="216" w:line="560" w:lineRule="exact"/>
        <w:ind w:left="639"/>
        <w:jc w:val="both"/>
        <w:textAlignment w:val="baseline"/>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pacing w:val="-10"/>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10"/>
          <w:sz w:val="32"/>
          <w:szCs w:val="32"/>
          <w:highlight w:val="none"/>
          <w14:textFill>
            <w14:solidFill>
              <w14:schemeClr w14:val="tx1"/>
            </w14:solidFill>
          </w14:textFill>
        </w:rPr>
        <w:t>应当按照规定程序报批后组织实施。</w:t>
      </w:r>
    </w:p>
    <w:p w14:paraId="4F0A3A30">
      <w:pPr>
        <w:keepNext w:val="0"/>
        <w:keepLines w:val="0"/>
        <w:pageBreakBefore w:val="0"/>
        <w:widowControl/>
        <w:kinsoku w:val="0"/>
        <w:wordWrap/>
        <w:overflowPunct/>
        <w:topLinePunct w:val="0"/>
        <w:autoSpaceDE w:val="0"/>
        <w:autoSpaceDN w:val="0"/>
        <w:bidi w:val="0"/>
        <w:adjustRightInd w:val="0"/>
        <w:snapToGrid w:val="0"/>
        <w:spacing w:before="214" w:line="560" w:lineRule="exact"/>
        <w:ind w:right="134" w:firstLine="644"/>
        <w:jc w:val="both"/>
        <w:textAlignment w:val="baseline"/>
        <w:rPr>
          <w:rFonts w:ascii="仿宋" w:hAnsi="仿宋" w:eastAsia="仿宋" w:cs="仿宋"/>
          <w:color w:val="000000" w:themeColor="text1"/>
          <w:sz w:val="32"/>
          <w:szCs w:val="32"/>
          <w:highlight w:val="none"/>
          <w14:textFill>
            <w14:solidFill>
              <w14:schemeClr w14:val="tx1"/>
            </w14:solidFill>
          </w14:textFill>
        </w:rPr>
      </w:pPr>
      <w:r>
        <w:rPr>
          <w:rFonts w:ascii="楷体" w:hAnsi="楷体" w:eastAsia="楷体" w:cs="楷体"/>
          <w:b/>
          <w:bCs/>
          <w:color w:val="000000" w:themeColor="text1"/>
          <w:spacing w:val="-2"/>
          <w:sz w:val="32"/>
          <w:szCs w:val="32"/>
          <w:highlight w:val="none"/>
          <w14:textFill>
            <w14:solidFill>
              <w14:schemeClr w14:val="tx1"/>
            </w14:solidFill>
          </w14:textFill>
        </w:rPr>
        <w:t>第</w:t>
      </w:r>
      <w:r>
        <w:rPr>
          <w:rFonts w:hint="eastAsia" w:ascii="楷体" w:hAnsi="楷体" w:eastAsia="楷体" w:cs="楷体"/>
          <w:b/>
          <w:bCs/>
          <w:color w:val="000000" w:themeColor="text1"/>
          <w:spacing w:val="-2"/>
          <w:sz w:val="32"/>
          <w:szCs w:val="32"/>
          <w:highlight w:val="none"/>
          <w:lang w:eastAsia="zh-CN"/>
          <w14:textFill>
            <w14:solidFill>
              <w14:schemeClr w14:val="tx1"/>
            </w14:solidFill>
          </w14:textFill>
        </w:rPr>
        <w:t>四十三</w:t>
      </w:r>
      <w:r>
        <w:rPr>
          <w:rFonts w:ascii="楷体" w:hAnsi="楷体" w:eastAsia="楷体" w:cs="楷体"/>
          <w:b/>
          <w:bCs/>
          <w:color w:val="000000" w:themeColor="text1"/>
          <w:spacing w:val="-2"/>
          <w:sz w:val="32"/>
          <w:szCs w:val="32"/>
          <w:highlight w:val="none"/>
          <w14:textFill>
            <w14:solidFill>
              <w14:schemeClr w14:val="tx1"/>
            </w14:solidFill>
          </w14:textFill>
        </w:rPr>
        <w:t>条</w:t>
      </w:r>
      <w:r>
        <w:rPr>
          <w:rFonts w:hint="eastAsia" w:ascii="楷体" w:hAnsi="楷体" w:eastAsia="楷体" w:cs="楷体"/>
          <w:b/>
          <w:bCs/>
          <w:color w:val="000000" w:themeColor="text1"/>
          <w:spacing w:val="-2"/>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2"/>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2"/>
          <w:sz w:val="32"/>
          <w:szCs w:val="32"/>
          <w:highlight w:val="none"/>
          <w14:textFill>
            <w14:solidFill>
              <w14:schemeClr w14:val="tx1"/>
            </w14:solidFill>
          </w14:textFill>
        </w:rPr>
        <w:t>在国有资产管理过程中，需要对资产价</w:t>
      </w:r>
      <w:r>
        <w:rPr>
          <w:rFonts w:ascii="仿宋" w:hAnsi="仿宋" w:eastAsia="仿宋" w:cs="仿宋"/>
          <w:color w:val="000000" w:themeColor="text1"/>
          <w:spacing w:val="-7"/>
          <w:sz w:val="32"/>
          <w:szCs w:val="32"/>
          <w:highlight w:val="none"/>
          <w14:textFill>
            <w14:solidFill>
              <w14:schemeClr w14:val="tx1"/>
            </w14:solidFill>
          </w14:textFill>
        </w:rPr>
        <w:t>值进行认定的，应当委托具有相应资质的第三方机构进行资产评</w:t>
      </w:r>
      <w:r>
        <w:rPr>
          <w:rFonts w:ascii="仿宋" w:hAnsi="仿宋" w:eastAsia="仿宋" w:cs="仿宋"/>
          <w:color w:val="000000" w:themeColor="text1"/>
          <w:spacing w:val="-6"/>
          <w:sz w:val="32"/>
          <w:szCs w:val="32"/>
          <w:highlight w:val="none"/>
          <w14:textFill>
            <w14:solidFill>
              <w14:schemeClr w14:val="tx1"/>
            </w14:solidFill>
          </w14:textFill>
        </w:rPr>
        <w:t>估并出具评估报告。评估结论应当如实反映资</w:t>
      </w:r>
      <w:r>
        <w:rPr>
          <w:rFonts w:ascii="仿宋" w:hAnsi="仿宋" w:eastAsia="仿宋" w:cs="仿宋"/>
          <w:color w:val="000000" w:themeColor="text1"/>
          <w:spacing w:val="-7"/>
          <w:sz w:val="32"/>
          <w:szCs w:val="32"/>
          <w:highlight w:val="none"/>
          <w14:textFill>
            <w14:solidFill>
              <w14:schemeClr w14:val="tx1"/>
            </w14:solidFill>
          </w14:textFill>
        </w:rPr>
        <w:t>产价值，并报</w:t>
      </w:r>
      <w:r>
        <w:rPr>
          <w:rFonts w:hint="eastAsia" w:ascii="仿宋" w:hAnsi="仿宋" w:eastAsia="仿宋" w:cs="仿宋"/>
          <w:color w:val="000000" w:themeColor="text1"/>
          <w:spacing w:val="-7"/>
          <w:sz w:val="32"/>
          <w:szCs w:val="32"/>
          <w:highlight w:val="none"/>
          <w:lang w:eastAsia="zh-CN"/>
          <w14:textFill>
            <w14:solidFill>
              <w14:schemeClr w14:val="tx1"/>
            </w14:solidFill>
          </w14:textFill>
        </w:rPr>
        <w:t>县</w:t>
      </w:r>
      <w:r>
        <w:rPr>
          <w:rFonts w:ascii="仿宋" w:hAnsi="仿宋" w:eastAsia="仿宋" w:cs="仿宋"/>
          <w:color w:val="000000" w:themeColor="text1"/>
          <w:spacing w:val="-7"/>
          <w:sz w:val="32"/>
          <w:szCs w:val="32"/>
          <w:highlight w:val="none"/>
          <w14:textFill>
            <w14:solidFill>
              <w14:schemeClr w14:val="tx1"/>
            </w14:solidFill>
          </w14:textFill>
        </w:rPr>
        <w:t>财</w:t>
      </w:r>
      <w:r>
        <w:rPr>
          <w:rFonts w:ascii="仿宋" w:hAnsi="仿宋" w:eastAsia="仿宋" w:cs="仿宋"/>
          <w:color w:val="000000" w:themeColor="text1"/>
          <w:spacing w:val="-13"/>
          <w:sz w:val="32"/>
          <w:szCs w:val="32"/>
          <w:highlight w:val="none"/>
          <w14:textFill>
            <w14:solidFill>
              <w14:schemeClr w14:val="tx1"/>
            </w14:solidFill>
          </w14:textFill>
        </w:rPr>
        <w:t>政局审核备案。</w:t>
      </w:r>
    </w:p>
    <w:p w14:paraId="28DF8F10">
      <w:pPr>
        <w:keepNext w:val="0"/>
        <w:keepLines w:val="0"/>
        <w:pageBreakBefore w:val="0"/>
        <w:widowControl/>
        <w:kinsoku w:val="0"/>
        <w:wordWrap/>
        <w:overflowPunct/>
        <w:topLinePunct w:val="0"/>
        <w:autoSpaceDE w:val="0"/>
        <w:autoSpaceDN w:val="0"/>
        <w:bidi w:val="0"/>
        <w:adjustRightInd w:val="0"/>
        <w:snapToGrid w:val="0"/>
        <w:spacing w:before="77" w:line="560" w:lineRule="exact"/>
        <w:ind w:firstLine="644"/>
        <w:jc w:val="both"/>
        <w:textAlignment w:val="baseline"/>
        <w:rPr>
          <w:rFonts w:ascii="仿宋" w:hAnsi="仿宋" w:eastAsia="仿宋" w:cs="仿宋"/>
          <w:color w:val="000000" w:themeColor="text1"/>
          <w:spacing w:val="-19"/>
          <w:sz w:val="32"/>
          <w:szCs w:val="32"/>
          <w:highlight w:val="none"/>
          <w14:textFill>
            <w14:solidFill>
              <w14:schemeClr w14:val="tx1"/>
            </w14:solidFill>
          </w14:textFill>
        </w:rPr>
      </w:pPr>
      <w:r>
        <w:rPr>
          <w:rFonts w:ascii="楷体" w:hAnsi="楷体" w:eastAsia="楷体" w:cs="楷体"/>
          <w:b/>
          <w:bCs/>
          <w:color w:val="000000" w:themeColor="text1"/>
          <w:spacing w:val="-8"/>
          <w:sz w:val="32"/>
          <w:szCs w:val="32"/>
          <w:highlight w:val="none"/>
          <w14:textFill>
            <w14:solidFill>
              <w14:schemeClr w14:val="tx1"/>
            </w14:solidFill>
          </w14:textFill>
        </w:rPr>
        <w:t>第</w:t>
      </w:r>
      <w:r>
        <w:rPr>
          <w:rFonts w:hint="eastAsia" w:ascii="楷体" w:hAnsi="楷体" w:eastAsia="楷体" w:cs="楷体"/>
          <w:b/>
          <w:bCs/>
          <w:color w:val="000000" w:themeColor="text1"/>
          <w:spacing w:val="-8"/>
          <w:sz w:val="32"/>
          <w:szCs w:val="32"/>
          <w:highlight w:val="none"/>
          <w:lang w:eastAsia="zh-CN"/>
          <w14:textFill>
            <w14:solidFill>
              <w14:schemeClr w14:val="tx1"/>
            </w14:solidFill>
          </w14:textFill>
        </w:rPr>
        <w:t>四十四</w:t>
      </w:r>
      <w:r>
        <w:rPr>
          <w:rFonts w:ascii="楷体" w:hAnsi="楷体" w:eastAsia="楷体" w:cs="楷体"/>
          <w:b/>
          <w:bCs/>
          <w:color w:val="000000" w:themeColor="text1"/>
          <w:spacing w:val="-8"/>
          <w:sz w:val="32"/>
          <w:szCs w:val="32"/>
          <w:highlight w:val="none"/>
          <w14:textFill>
            <w14:solidFill>
              <w14:schemeClr w14:val="tx1"/>
            </w14:solidFill>
          </w14:textFill>
        </w:rPr>
        <w:t>条</w:t>
      </w:r>
      <w:r>
        <w:rPr>
          <w:rFonts w:hint="eastAsia" w:ascii="楷体" w:hAnsi="楷体" w:eastAsia="楷体" w:cs="楷体"/>
          <w:b/>
          <w:bCs/>
          <w:color w:val="000000" w:themeColor="text1"/>
          <w:spacing w:val="-8"/>
          <w:sz w:val="32"/>
          <w:szCs w:val="32"/>
          <w:highlight w:val="none"/>
          <w:lang w:val="en-US" w:eastAsia="zh-CN"/>
          <w14:textFill>
            <w14:solidFill>
              <w14:schemeClr w14:val="tx1"/>
            </w14:solidFill>
          </w14:textFill>
        </w:rPr>
        <w:t xml:space="preserve"> </w:t>
      </w:r>
      <w:r>
        <w:rPr>
          <w:rFonts w:hint="eastAsia" w:ascii="楷体" w:hAnsi="楷体" w:eastAsia="楷体" w:cs="楷体"/>
          <w:b/>
          <w:bCs/>
          <w:color w:val="000000" w:themeColor="text1"/>
          <w:spacing w:val="-8"/>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pacing w:val="-8"/>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8"/>
          <w:sz w:val="32"/>
          <w:szCs w:val="32"/>
          <w:highlight w:val="none"/>
          <w:u w:val="none"/>
          <w14:textFill>
            <w14:solidFill>
              <w14:schemeClr w14:val="tx1"/>
            </w14:solidFill>
          </w14:textFill>
        </w:rPr>
        <w:t>应当在日常管理及资产</w:t>
      </w:r>
      <w:r>
        <w:rPr>
          <w:rFonts w:ascii="仿宋" w:hAnsi="仿宋" w:eastAsia="仿宋" w:cs="仿宋"/>
          <w:color w:val="000000" w:themeColor="text1"/>
          <w:spacing w:val="-9"/>
          <w:sz w:val="32"/>
          <w:szCs w:val="32"/>
          <w:highlight w:val="none"/>
          <w:u w:val="none"/>
          <w14:textFill>
            <w14:solidFill>
              <w14:schemeClr w14:val="tx1"/>
            </w14:solidFill>
          </w14:textFill>
        </w:rPr>
        <w:t>清查的基础上，</w:t>
      </w:r>
      <w:r>
        <w:rPr>
          <w:rFonts w:ascii="仿宋" w:hAnsi="仿宋" w:eastAsia="仿宋" w:cs="仿宋"/>
          <w:color w:val="000000" w:themeColor="text1"/>
          <w:spacing w:val="-6"/>
          <w:sz w:val="32"/>
          <w:szCs w:val="32"/>
          <w:highlight w:val="none"/>
          <w:u w:val="none"/>
          <w14:textFill>
            <w14:solidFill>
              <w14:schemeClr w14:val="tx1"/>
            </w14:solidFill>
          </w14:textFill>
        </w:rPr>
        <w:t>编制资产年度报告。资产年度报告应当反映</w:t>
      </w: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6"/>
          <w:sz w:val="32"/>
          <w:szCs w:val="32"/>
          <w:highlight w:val="none"/>
          <w:u w:val="none"/>
          <w14:textFill>
            <w14:solidFill>
              <w14:schemeClr w14:val="tx1"/>
            </w14:solidFill>
          </w14:textFill>
        </w:rPr>
        <w:t>年度资产占有、使用、变动等情况，包括</w:t>
      </w: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6"/>
          <w:sz w:val="32"/>
          <w:szCs w:val="32"/>
          <w:highlight w:val="none"/>
          <w14:textFill>
            <w14:solidFill>
              <w14:schemeClr w14:val="tx1"/>
            </w14:solidFill>
          </w14:textFill>
        </w:rPr>
        <w:t>资产报表</w:t>
      </w:r>
      <w:r>
        <w:rPr>
          <w:rFonts w:ascii="仿宋" w:hAnsi="仿宋" w:eastAsia="仿宋" w:cs="仿宋"/>
          <w:color w:val="000000" w:themeColor="text1"/>
          <w:spacing w:val="-7"/>
          <w:sz w:val="32"/>
          <w:szCs w:val="32"/>
          <w:highlight w:val="none"/>
          <w14:textFill>
            <w14:solidFill>
              <w14:schemeClr w14:val="tx1"/>
            </w14:solidFill>
          </w14:textFill>
        </w:rPr>
        <w:t>，相关管理制度</w:t>
      </w:r>
      <w:r>
        <w:rPr>
          <w:rFonts w:ascii="仿宋" w:hAnsi="仿宋" w:eastAsia="仿宋" w:cs="仿宋"/>
          <w:color w:val="000000" w:themeColor="text1"/>
          <w:spacing w:val="-6"/>
          <w:sz w:val="32"/>
          <w:szCs w:val="32"/>
          <w:highlight w:val="none"/>
          <w14:textFill>
            <w14:solidFill>
              <w14:schemeClr w14:val="tx1"/>
            </w14:solidFill>
          </w14:textFill>
        </w:rPr>
        <w:t>建立和实施，资产配置、使用、处置和收益，推进管理体制机制</w:t>
      </w:r>
      <w:r>
        <w:rPr>
          <w:rFonts w:ascii="仿宋" w:hAnsi="仿宋" w:eastAsia="仿宋" w:cs="仿宋"/>
          <w:color w:val="000000" w:themeColor="text1"/>
          <w:spacing w:val="-19"/>
          <w:sz w:val="32"/>
          <w:szCs w:val="32"/>
          <w:highlight w:val="none"/>
          <w14:textFill>
            <w14:solidFill>
              <w14:schemeClr w14:val="tx1"/>
            </w14:solidFill>
          </w14:textFill>
        </w:rPr>
        <w:t>改革等情况。</w:t>
      </w:r>
    </w:p>
    <w:p w14:paraId="6F505C69">
      <w:pPr>
        <w:keepNext w:val="0"/>
        <w:keepLines w:val="0"/>
        <w:pageBreakBefore w:val="0"/>
        <w:widowControl/>
        <w:kinsoku w:val="0"/>
        <w:wordWrap/>
        <w:overflowPunct/>
        <w:topLinePunct w:val="0"/>
        <w:autoSpaceDE w:val="0"/>
        <w:autoSpaceDN w:val="0"/>
        <w:bidi w:val="0"/>
        <w:adjustRightInd w:val="0"/>
        <w:snapToGrid w:val="0"/>
        <w:spacing w:before="77" w:line="560" w:lineRule="exact"/>
        <w:ind w:firstLine="644"/>
        <w:jc w:val="both"/>
        <w:textAlignment w:val="baseline"/>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pacing w:val="-7"/>
          <w:sz w:val="32"/>
          <w:szCs w:val="32"/>
          <w:highlight w:val="none"/>
          <w14:textFill>
            <w14:solidFill>
              <w14:schemeClr w14:val="tx1"/>
            </w14:solidFill>
          </w14:textFill>
        </w:rPr>
        <w:t>资产年度报告的资产报表数据应当真实、准确、完整。</w:t>
      </w:r>
      <w:r>
        <w:rPr>
          <w:rFonts w:hint="eastAsia" w:ascii="仿宋" w:hAnsi="仿宋" w:eastAsia="仿宋" w:cs="仿宋"/>
          <w:color w:val="000000" w:themeColor="text1"/>
          <w:spacing w:val="-7"/>
          <w:sz w:val="32"/>
          <w:szCs w:val="32"/>
          <w:highlight w:val="none"/>
          <w:lang w:eastAsia="zh-CN"/>
          <w14:textFill>
            <w14:solidFill>
              <w14:schemeClr w14:val="tx1"/>
            </w14:solidFill>
          </w14:textFill>
        </w:rPr>
        <w:t>县</w:t>
      </w:r>
      <w:r>
        <w:rPr>
          <w:rFonts w:ascii="仿宋" w:hAnsi="仿宋" w:eastAsia="仿宋" w:cs="仿宋"/>
          <w:color w:val="000000" w:themeColor="text1"/>
          <w:spacing w:val="-7"/>
          <w:sz w:val="32"/>
          <w:szCs w:val="32"/>
          <w:highlight w:val="none"/>
          <w14:textFill>
            <w14:solidFill>
              <w14:schemeClr w14:val="tx1"/>
            </w14:solidFill>
          </w14:textFill>
        </w:rPr>
        <w:t>财</w:t>
      </w:r>
      <w:r>
        <w:rPr>
          <w:rFonts w:ascii="仿宋" w:hAnsi="仿宋" w:eastAsia="仿宋" w:cs="仿宋"/>
          <w:color w:val="000000" w:themeColor="text1"/>
          <w:spacing w:val="-6"/>
          <w:sz w:val="32"/>
          <w:szCs w:val="32"/>
          <w:highlight w:val="none"/>
          <w14:textFill>
            <w14:solidFill>
              <w14:schemeClr w14:val="tx1"/>
            </w14:solidFill>
          </w14:textFill>
        </w:rPr>
        <w:t>政局、</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县机关事务服务中心</w:t>
      </w:r>
      <w:r>
        <w:rPr>
          <w:rFonts w:ascii="仿宋" w:hAnsi="仿宋" w:eastAsia="仿宋" w:cs="仿宋"/>
          <w:color w:val="000000" w:themeColor="text1"/>
          <w:spacing w:val="-6"/>
          <w:sz w:val="32"/>
          <w:szCs w:val="32"/>
          <w:highlight w:val="none"/>
          <w14:textFill>
            <w14:solidFill>
              <w14:schemeClr w14:val="tx1"/>
            </w14:solidFill>
          </w14:textFill>
        </w:rPr>
        <w:t>负责</w:t>
      </w: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6"/>
          <w:sz w:val="32"/>
          <w:szCs w:val="32"/>
          <w:highlight w:val="none"/>
          <w14:textFill>
            <w14:solidFill>
              <w14:schemeClr w14:val="tx1"/>
            </w14:solidFill>
          </w14:textFill>
        </w:rPr>
        <w:t>资产年度报告的审核，发现资产报告编制不符合规定，存在漏报、重报、虚报、瞒报等错误和</w:t>
      </w:r>
      <w:r>
        <w:rPr>
          <w:rFonts w:ascii="仿宋" w:hAnsi="仿宋" w:eastAsia="仿宋" w:cs="仿宋"/>
          <w:color w:val="000000" w:themeColor="text1"/>
          <w:spacing w:val="-10"/>
          <w:sz w:val="32"/>
          <w:szCs w:val="32"/>
          <w:highlight w:val="none"/>
          <w14:textFill>
            <w14:solidFill>
              <w14:schemeClr w14:val="tx1"/>
            </w14:solidFill>
          </w14:textFill>
        </w:rPr>
        <w:t>问题的，应当要求有关单位立即纠正，并限期重报。</w:t>
      </w:r>
    </w:p>
    <w:p w14:paraId="7A1EB1B4">
      <w:pPr>
        <w:keepNext w:val="0"/>
        <w:keepLines w:val="0"/>
        <w:pageBreakBefore w:val="0"/>
        <w:widowControl/>
        <w:kinsoku w:val="0"/>
        <w:wordWrap/>
        <w:overflowPunct/>
        <w:topLinePunct w:val="0"/>
        <w:autoSpaceDE w:val="0"/>
        <w:autoSpaceDN w:val="0"/>
        <w:bidi w:val="0"/>
        <w:adjustRightInd w:val="0"/>
        <w:snapToGrid w:val="0"/>
        <w:spacing w:before="104" w:line="560" w:lineRule="exact"/>
        <w:ind w:firstLine="629"/>
        <w:jc w:val="both"/>
        <w:textAlignment w:val="baseline"/>
        <w:rPr>
          <w:rFonts w:ascii="仿宋" w:hAnsi="仿宋" w:eastAsia="仿宋" w:cs="仿宋"/>
          <w:color w:val="000000" w:themeColor="text1"/>
          <w:sz w:val="32"/>
          <w:szCs w:val="32"/>
          <w:highlight w:val="none"/>
          <w14:textFill>
            <w14:solidFill>
              <w14:schemeClr w14:val="tx1"/>
            </w14:solidFill>
          </w14:textFill>
        </w:rPr>
      </w:pPr>
      <w:r>
        <w:rPr>
          <w:rFonts w:ascii="楷体" w:hAnsi="楷体" w:eastAsia="楷体" w:cs="楷体"/>
          <w:b/>
          <w:bCs/>
          <w:color w:val="000000" w:themeColor="text1"/>
          <w:spacing w:val="9"/>
          <w:sz w:val="31"/>
          <w:szCs w:val="31"/>
          <w:highlight w:val="none"/>
          <w14:textFill>
            <w14:solidFill>
              <w14:schemeClr w14:val="tx1"/>
            </w14:solidFill>
          </w14:textFill>
        </w:rPr>
        <w:t>第</w:t>
      </w:r>
      <w:r>
        <w:rPr>
          <w:rFonts w:hint="eastAsia" w:ascii="楷体" w:hAnsi="楷体" w:eastAsia="楷体" w:cs="楷体"/>
          <w:b/>
          <w:bCs/>
          <w:color w:val="000000" w:themeColor="text1"/>
          <w:spacing w:val="9"/>
          <w:sz w:val="31"/>
          <w:szCs w:val="31"/>
          <w:highlight w:val="none"/>
          <w:lang w:eastAsia="zh-CN"/>
          <w14:textFill>
            <w14:solidFill>
              <w14:schemeClr w14:val="tx1"/>
            </w14:solidFill>
          </w14:textFill>
        </w:rPr>
        <w:t>四十五</w:t>
      </w:r>
      <w:r>
        <w:rPr>
          <w:rFonts w:ascii="楷体" w:hAnsi="楷体" w:eastAsia="楷体" w:cs="楷体"/>
          <w:b/>
          <w:bCs/>
          <w:color w:val="000000" w:themeColor="text1"/>
          <w:spacing w:val="9"/>
          <w:sz w:val="31"/>
          <w:szCs w:val="31"/>
          <w:highlight w:val="none"/>
          <w14:textFill>
            <w14:solidFill>
              <w14:schemeClr w14:val="tx1"/>
            </w14:solidFill>
          </w14:textFill>
        </w:rPr>
        <w:t>条</w:t>
      </w:r>
      <w:r>
        <w:rPr>
          <w:rFonts w:hint="eastAsia" w:ascii="楷体" w:hAnsi="楷体" w:eastAsia="楷体" w:cs="楷体"/>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lang w:eastAsia="zh-CN"/>
          <w14:textFill>
            <w14:solidFill>
              <w14:schemeClr w14:val="tx1"/>
            </w14:solidFill>
          </w14:textFill>
        </w:rPr>
        <w:t>县</w:t>
      </w:r>
      <w:r>
        <w:rPr>
          <w:rFonts w:ascii="仿宋" w:hAnsi="仿宋" w:eastAsia="仿宋" w:cs="仿宋"/>
          <w:color w:val="000000" w:themeColor="text1"/>
          <w:sz w:val="32"/>
          <w:szCs w:val="32"/>
          <w:highlight w:val="none"/>
          <w14:textFill>
            <w14:solidFill>
              <w14:schemeClr w14:val="tx1"/>
            </w14:solidFill>
          </w14:textFill>
        </w:rPr>
        <w:t>财政局、</w:t>
      </w:r>
      <w:r>
        <w:rPr>
          <w:rFonts w:hint="eastAsia" w:ascii="仿宋" w:hAnsi="仿宋" w:eastAsia="仿宋" w:cs="仿宋"/>
          <w:color w:val="000000" w:themeColor="text1"/>
          <w:sz w:val="32"/>
          <w:szCs w:val="32"/>
          <w:highlight w:val="none"/>
          <w:lang w:eastAsia="zh-CN"/>
          <w14:textFill>
            <w14:solidFill>
              <w14:schemeClr w14:val="tx1"/>
            </w14:solidFill>
          </w14:textFill>
        </w:rPr>
        <w:t>县机关事务服务中心</w:t>
      </w:r>
      <w:r>
        <w:rPr>
          <w:rFonts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1"/>
          <w:sz w:val="32"/>
          <w:szCs w:val="32"/>
          <w:highlight w:val="none"/>
          <w14:textFill>
            <w14:solidFill>
              <w14:schemeClr w14:val="tx1"/>
            </w14:solidFill>
          </w14:textFill>
        </w:rPr>
        <w:t>应当加强</w:t>
      </w:r>
      <w:r>
        <w:rPr>
          <w:rFonts w:hint="eastAsia" w:ascii="仿宋" w:hAnsi="仿宋" w:eastAsia="仿宋" w:cs="仿宋"/>
          <w:color w:val="000000" w:themeColor="text1"/>
          <w:spacing w:val="-6"/>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6"/>
          <w:sz w:val="32"/>
          <w:szCs w:val="32"/>
          <w:highlight w:val="none"/>
          <w14:textFill>
            <w14:solidFill>
              <w14:schemeClr w14:val="tx1"/>
            </w14:solidFill>
          </w14:textFill>
        </w:rPr>
        <w:t>国有资产管理信息系统建设，并与</w:t>
      </w:r>
      <w:r>
        <w:rPr>
          <w:rFonts w:ascii="仿宋" w:hAnsi="仿宋" w:eastAsia="仿宋" w:cs="仿宋"/>
          <w:color w:val="000000" w:themeColor="text1"/>
          <w:spacing w:val="-7"/>
          <w:sz w:val="32"/>
          <w:szCs w:val="32"/>
          <w:highlight w:val="none"/>
          <w14:textFill>
            <w14:solidFill>
              <w14:schemeClr w14:val="tx1"/>
            </w14:solidFill>
          </w14:textFill>
        </w:rPr>
        <w:t>单位财务系统、预算</w:t>
      </w:r>
      <w:r>
        <w:rPr>
          <w:rFonts w:ascii="仿宋" w:hAnsi="仿宋" w:eastAsia="仿宋" w:cs="仿宋"/>
          <w:color w:val="000000" w:themeColor="text1"/>
          <w:spacing w:val="-3"/>
          <w:sz w:val="32"/>
          <w:szCs w:val="32"/>
          <w:highlight w:val="none"/>
          <w14:textFill>
            <w14:solidFill>
              <w14:schemeClr w14:val="tx1"/>
            </w14:solidFill>
          </w14:textFill>
        </w:rPr>
        <w:t>系统、决算系统、政府采购系统和非税收入管理系统实现对接。</w:t>
      </w:r>
      <w:r>
        <w:rPr>
          <w:rFonts w:ascii="仿宋" w:hAnsi="仿宋" w:eastAsia="仿宋" w:cs="仿宋"/>
          <w:color w:val="000000" w:themeColor="text1"/>
          <w:spacing w:val="-10"/>
          <w:sz w:val="32"/>
          <w:szCs w:val="32"/>
          <w:highlight w:val="none"/>
          <w14:textFill>
            <w14:solidFill>
              <w14:schemeClr w14:val="tx1"/>
            </w14:solidFill>
          </w14:textFill>
        </w:rPr>
        <w:t>推行资产管理网上办理，实现信息共享。</w:t>
      </w:r>
    </w:p>
    <w:p w14:paraId="1EADE7DC">
      <w:pPr>
        <w:keepNext w:val="0"/>
        <w:keepLines w:val="0"/>
        <w:pageBreakBefore w:val="0"/>
        <w:widowControl/>
        <w:kinsoku w:val="0"/>
        <w:wordWrap/>
        <w:overflowPunct/>
        <w:topLinePunct w:val="0"/>
        <w:autoSpaceDE w:val="0"/>
        <w:autoSpaceDN w:val="0"/>
        <w:bidi w:val="0"/>
        <w:adjustRightInd w:val="0"/>
        <w:snapToGrid w:val="0"/>
        <w:spacing w:before="64" w:line="560" w:lineRule="exact"/>
        <w:ind w:right="90" w:firstLine="629"/>
        <w:jc w:val="both"/>
        <w:textAlignment w:val="baseline"/>
        <w:rPr>
          <w:color w:val="000000" w:themeColor="text1"/>
          <w:highlight w:val="none"/>
          <w14:textFill>
            <w14:solidFill>
              <w14:schemeClr w14:val="tx1"/>
            </w14:solidFill>
          </w14:textFill>
        </w:rPr>
      </w:pPr>
      <w:r>
        <w:rPr>
          <w:rFonts w:hint="eastAsia" w:ascii="仿宋" w:hAnsi="仿宋" w:eastAsia="仿宋" w:cs="仿宋"/>
          <w:color w:val="000000" w:themeColor="text1"/>
          <w:spacing w:val="-7"/>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7"/>
          <w:sz w:val="32"/>
          <w:szCs w:val="32"/>
          <w:highlight w:val="none"/>
          <w14:textFill>
            <w14:solidFill>
              <w14:schemeClr w14:val="tx1"/>
            </w14:solidFill>
          </w14:textFill>
        </w:rPr>
        <w:t>应当按照资产信息化管理要求，及时将本单位管理</w:t>
      </w:r>
      <w:r>
        <w:rPr>
          <w:rFonts w:ascii="仿宋" w:hAnsi="仿宋" w:eastAsia="仿宋" w:cs="仿宋"/>
          <w:color w:val="000000" w:themeColor="text1"/>
          <w:spacing w:val="-6"/>
          <w:sz w:val="32"/>
          <w:szCs w:val="32"/>
          <w:highlight w:val="none"/>
          <w14:textFill>
            <w14:solidFill>
              <w14:schemeClr w14:val="tx1"/>
            </w14:solidFill>
          </w14:textFill>
        </w:rPr>
        <w:t>的各类国有资产基本信息录入资产信息管理系统，做好国有资产</w:t>
      </w:r>
      <w:r>
        <w:rPr>
          <w:rFonts w:ascii="仿宋" w:hAnsi="仿宋" w:eastAsia="仿宋" w:cs="仿宋"/>
          <w:color w:val="000000" w:themeColor="text1"/>
          <w:spacing w:val="-9"/>
          <w:sz w:val="32"/>
          <w:szCs w:val="32"/>
          <w:highlight w:val="none"/>
          <w14:textFill>
            <w14:solidFill>
              <w14:schemeClr w14:val="tx1"/>
            </w14:solidFill>
          </w14:textFill>
        </w:rPr>
        <w:t>统计、报告、分析工作，实现国有资产动态管理。</w:t>
      </w:r>
    </w:p>
    <w:p w14:paraId="29219C2C">
      <w:pPr>
        <w:keepNext w:val="0"/>
        <w:keepLines w:val="0"/>
        <w:pageBreakBefore w:val="0"/>
        <w:widowControl/>
        <w:kinsoku w:val="0"/>
        <w:wordWrap/>
        <w:overflowPunct/>
        <w:topLinePunct w:val="0"/>
        <w:autoSpaceDE w:val="0"/>
        <w:autoSpaceDN w:val="0"/>
        <w:bidi w:val="0"/>
        <w:adjustRightInd w:val="0"/>
        <w:snapToGrid w:val="0"/>
        <w:spacing w:before="104" w:line="560" w:lineRule="exact"/>
        <w:ind w:left="2384"/>
        <w:jc w:val="both"/>
        <w:textAlignment w:val="baseline"/>
        <w:outlineLvl w:val="6"/>
        <w:rPr>
          <w:rFonts w:ascii="黑体" w:hAnsi="黑体" w:eastAsia="黑体" w:cs="黑体"/>
          <w:color w:val="000000" w:themeColor="text1"/>
          <w:sz w:val="32"/>
          <w:szCs w:val="32"/>
          <w:highlight w:val="none"/>
          <w14:textFill>
            <w14:solidFill>
              <w14:schemeClr w14:val="tx1"/>
            </w14:solidFill>
          </w14:textFill>
        </w:rPr>
      </w:pPr>
      <w:r>
        <w:rPr>
          <w:rFonts w:ascii="黑体" w:hAnsi="黑体" w:eastAsia="黑体" w:cs="黑体"/>
          <w:b/>
          <w:bCs/>
          <w:color w:val="000000" w:themeColor="text1"/>
          <w:spacing w:val="-11"/>
          <w:sz w:val="32"/>
          <w:szCs w:val="32"/>
          <w:highlight w:val="none"/>
          <w14:textFill>
            <w14:solidFill>
              <w14:schemeClr w14:val="tx1"/>
            </w14:solidFill>
          </w14:textFill>
        </w:rPr>
        <w:t>第八章</w:t>
      </w:r>
      <w:r>
        <w:rPr>
          <w:rFonts w:hint="eastAsia" w:ascii="黑体" w:hAnsi="黑体" w:eastAsia="黑体" w:cs="黑体"/>
          <w:b/>
          <w:bCs/>
          <w:color w:val="000000" w:themeColor="text1"/>
          <w:spacing w:val="-11"/>
          <w:sz w:val="32"/>
          <w:szCs w:val="32"/>
          <w:highlight w:val="none"/>
          <w:lang w:val="en-US" w:eastAsia="zh-CN"/>
          <w14:textFill>
            <w14:solidFill>
              <w14:schemeClr w14:val="tx1"/>
            </w14:solidFill>
          </w14:textFill>
        </w:rPr>
        <w:t xml:space="preserve">  </w:t>
      </w:r>
      <w:r>
        <w:rPr>
          <w:rFonts w:ascii="黑体" w:hAnsi="黑体" w:eastAsia="黑体" w:cs="黑体"/>
          <w:b/>
          <w:bCs/>
          <w:color w:val="000000" w:themeColor="text1"/>
          <w:spacing w:val="-11"/>
          <w:sz w:val="32"/>
          <w:szCs w:val="32"/>
          <w:highlight w:val="none"/>
          <w14:textFill>
            <w14:solidFill>
              <w14:schemeClr w14:val="tx1"/>
            </w14:solidFill>
          </w14:textFill>
        </w:rPr>
        <w:t>监督检查与责任追究</w:t>
      </w:r>
    </w:p>
    <w:p w14:paraId="6E96263A">
      <w:pPr>
        <w:keepNext w:val="0"/>
        <w:keepLines w:val="0"/>
        <w:pageBreakBefore w:val="0"/>
        <w:widowControl/>
        <w:kinsoku w:val="0"/>
        <w:wordWrap/>
        <w:overflowPunct/>
        <w:topLinePunct w:val="0"/>
        <w:autoSpaceDE w:val="0"/>
        <w:autoSpaceDN w:val="0"/>
        <w:bidi w:val="0"/>
        <w:adjustRightInd w:val="0"/>
        <w:snapToGrid w:val="0"/>
        <w:spacing w:before="213" w:line="560" w:lineRule="exact"/>
        <w:ind w:right="100" w:firstLine="634"/>
        <w:jc w:val="both"/>
        <w:textAlignment w:val="baseline"/>
        <w:rPr>
          <w:rFonts w:ascii="仿宋" w:hAnsi="仿宋" w:eastAsia="仿宋" w:cs="仿宋"/>
          <w:color w:val="000000" w:themeColor="text1"/>
          <w:sz w:val="32"/>
          <w:szCs w:val="32"/>
          <w:highlight w:val="none"/>
          <w14:textFill>
            <w14:solidFill>
              <w14:schemeClr w14:val="tx1"/>
            </w14:solidFill>
          </w14:textFill>
        </w:rPr>
      </w:pPr>
      <w:r>
        <w:rPr>
          <w:rFonts w:ascii="楷体" w:hAnsi="楷体" w:eastAsia="楷体" w:cs="楷体"/>
          <w:b/>
          <w:bCs/>
          <w:color w:val="000000" w:themeColor="text1"/>
          <w:spacing w:val="-1"/>
          <w:sz w:val="32"/>
          <w:szCs w:val="32"/>
          <w:highlight w:val="none"/>
          <w14:textFill>
            <w14:solidFill>
              <w14:schemeClr w14:val="tx1"/>
            </w14:solidFill>
          </w14:textFill>
        </w:rPr>
        <w:t>第</w:t>
      </w:r>
      <w:r>
        <w:rPr>
          <w:rFonts w:hint="eastAsia" w:ascii="楷体" w:hAnsi="楷体" w:eastAsia="楷体" w:cs="楷体"/>
          <w:b/>
          <w:bCs/>
          <w:color w:val="000000" w:themeColor="text1"/>
          <w:spacing w:val="-1"/>
          <w:sz w:val="32"/>
          <w:szCs w:val="32"/>
          <w:highlight w:val="none"/>
          <w:lang w:eastAsia="zh-CN"/>
          <w14:textFill>
            <w14:solidFill>
              <w14:schemeClr w14:val="tx1"/>
            </w14:solidFill>
          </w14:textFill>
        </w:rPr>
        <w:t>四十六</w:t>
      </w:r>
      <w:r>
        <w:rPr>
          <w:rFonts w:ascii="楷体" w:hAnsi="楷体" w:eastAsia="楷体" w:cs="楷体"/>
          <w:b/>
          <w:bCs/>
          <w:color w:val="000000" w:themeColor="text1"/>
          <w:spacing w:val="-1"/>
          <w:sz w:val="32"/>
          <w:szCs w:val="32"/>
          <w:highlight w:val="none"/>
          <w14:textFill>
            <w14:solidFill>
              <w14:schemeClr w14:val="tx1"/>
            </w14:solidFill>
          </w14:textFill>
        </w:rPr>
        <w:t>条</w:t>
      </w:r>
      <w:r>
        <w:rPr>
          <w:rFonts w:hint="eastAsia" w:ascii="楷体" w:hAnsi="楷体" w:eastAsia="楷体" w:cs="楷体"/>
          <w:b/>
          <w:bCs/>
          <w:color w:val="000000" w:themeColor="text1"/>
          <w:spacing w:val="-1"/>
          <w:sz w:val="32"/>
          <w:szCs w:val="32"/>
          <w:highlight w:val="none"/>
          <w:lang w:val="en-US" w:eastAsia="zh-CN"/>
          <w14:textFill>
            <w14:solidFill>
              <w14:schemeClr w14:val="tx1"/>
            </w14:solidFill>
          </w14:textFill>
        </w:rPr>
        <w:t xml:space="preserve"> </w:t>
      </w:r>
      <w:r>
        <w:rPr>
          <w:rFonts w:hint="eastAsia" w:ascii="楷体" w:hAnsi="楷体" w:eastAsia="楷体" w:cs="楷体"/>
          <w:b/>
          <w:bCs/>
          <w:color w:val="000000" w:themeColor="text1"/>
          <w:spacing w:val="-1"/>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pacing w:val="-1"/>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1"/>
          <w:sz w:val="32"/>
          <w:szCs w:val="32"/>
          <w:highlight w:val="none"/>
          <w14:textFill>
            <w14:solidFill>
              <w14:schemeClr w14:val="tx1"/>
            </w14:solidFill>
          </w14:textFill>
        </w:rPr>
        <w:t>应当建立健全资产管理内控制</w:t>
      </w:r>
      <w:r>
        <w:rPr>
          <w:rFonts w:ascii="仿宋" w:hAnsi="仿宋" w:eastAsia="仿宋" w:cs="仿宋"/>
          <w:color w:val="000000" w:themeColor="text1"/>
          <w:spacing w:val="-2"/>
          <w:sz w:val="32"/>
          <w:szCs w:val="32"/>
          <w:highlight w:val="none"/>
          <w14:textFill>
            <w14:solidFill>
              <w14:schemeClr w14:val="tx1"/>
            </w14:solidFill>
          </w14:textFill>
        </w:rPr>
        <w:t>度，规</w:t>
      </w:r>
      <w:r>
        <w:rPr>
          <w:rFonts w:ascii="仿宋" w:hAnsi="仿宋" w:eastAsia="仿宋" w:cs="仿宋"/>
          <w:color w:val="000000" w:themeColor="text1"/>
          <w:spacing w:val="-8"/>
          <w:sz w:val="32"/>
          <w:szCs w:val="32"/>
          <w:highlight w:val="none"/>
          <w14:textFill>
            <w14:solidFill>
              <w14:schemeClr w14:val="tx1"/>
            </w14:solidFill>
          </w14:textFill>
        </w:rPr>
        <w:t>范操作流程，加强日常监督，防范国有资产管理风险。</w:t>
      </w:r>
    </w:p>
    <w:p w14:paraId="51762F9F">
      <w:pPr>
        <w:keepNext w:val="0"/>
        <w:keepLines w:val="0"/>
        <w:pageBreakBefore w:val="0"/>
        <w:widowControl/>
        <w:kinsoku w:val="0"/>
        <w:wordWrap/>
        <w:overflowPunct/>
        <w:topLinePunct w:val="0"/>
        <w:autoSpaceDE w:val="0"/>
        <w:autoSpaceDN w:val="0"/>
        <w:bidi w:val="0"/>
        <w:adjustRightInd w:val="0"/>
        <w:snapToGrid w:val="0"/>
        <w:spacing w:before="53" w:line="560" w:lineRule="exact"/>
        <w:ind w:right="93" w:firstLine="629"/>
        <w:jc w:val="both"/>
        <w:textAlignment w:val="baseline"/>
        <w:rPr>
          <w:rFonts w:ascii="仿宋" w:hAnsi="仿宋" w:eastAsia="仿宋" w:cs="仿宋"/>
          <w:color w:val="000000" w:themeColor="text1"/>
          <w:sz w:val="32"/>
          <w:szCs w:val="32"/>
          <w:highlight w:val="none"/>
          <w14:textFill>
            <w14:solidFill>
              <w14:schemeClr w14:val="tx1"/>
            </w14:solidFill>
          </w14:textFill>
        </w:rPr>
      </w:pPr>
      <w:r>
        <w:rPr>
          <w:rFonts w:ascii="楷体" w:hAnsi="楷体" w:eastAsia="楷体" w:cs="楷体"/>
          <w:b/>
          <w:bCs/>
          <w:color w:val="000000" w:themeColor="text1"/>
          <w:spacing w:val="9"/>
          <w:sz w:val="31"/>
          <w:szCs w:val="31"/>
          <w:highlight w:val="none"/>
          <w14:textFill>
            <w14:solidFill>
              <w14:schemeClr w14:val="tx1"/>
            </w14:solidFill>
          </w14:textFill>
        </w:rPr>
        <w:t>第</w:t>
      </w:r>
      <w:r>
        <w:rPr>
          <w:rFonts w:hint="eastAsia" w:ascii="楷体" w:hAnsi="楷体" w:eastAsia="楷体" w:cs="楷体"/>
          <w:b/>
          <w:bCs/>
          <w:color w:val="000000" w:themeColor="text1"/>
          <w:spacing w:val="9"/>
          <w:sz w:val="31"/>
          <w:szCs w:val="31"/>
          <w:highlight w:val="none"/>
          <w:lang w:eastAsia="zh-CN"/>
          <w14:textFill>
            <w14:solidFill>
              <w14:schemeClr w14:val="tx1"/>
            </w14:solidFill>
          </w14:textFill>
        </w:rPr>
        <w:t>四十七</w:t>
      </w:r>
      <w:r>
        <w:rPr>
          <w:rFonts w:ascii="楷体" w:hAnsi="楷体" w:eastAsia="楷体" w:cs="楷体"/>
          <w:b/>
          <w:bCs/>
          <w:color w:val="000000" w:themeColor="text1"/>
          <w:spacing w:val="9"/>
          <w:sz w:val="31"/>
          <w:szCs w:val="31"/>
          <w:highlight w:val="none"/>
          <w14:textFill>
            <w14:solidFill>
              <w14:schemeClr w14:val="tx1"/>
            </w14:solidFill>
          </w14:textFill>
        </w:rPr>
        <w:t>条</w:t>
      </w:r>
      <w:r>
        <w:rPr>
          <w:rFonts w:hint="eastAsia" w:ascii="楷体" w:hAnsi="楷体" w:eastAsia="楷体" w:cs="楷体"/>
          <w:color w:val="000000" w:themeColor="text1"/>
          <w:spacing w:val="-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1"/>
          <w:sz w:val="32"/>
          <w:szCs w:val="32"/>
          <w:highlight w:val="none"/>
          <w:lang w:eastAsia="zh-CN"/>
          <w14:textFill>
            <w14:solidFill>
              <w14:schemeClr w14:val="tx1"/>
            </w14:solidFill>
          </w14:textFill>
        </w:rPr>
        <w:t>县</w:t>
      </w:r>
      <w:r>
        <w:rPr>
          <w:rFonts w:ascii="仿宋" w:hAnsi="仿宋" w:eastAsia="仿宋" w:cs="仿宋"/>
          <w:color w:val="000000" w:themeColor="text1"/>
          <w:spacing w:val="-1"/>
          <w:sz w:val="32"/>
          <w:szCs w:val="32"/>
          <w:highlight w:val="none"/>
          <w14:textFill>
            <w14:solidFill>
              <w14:schemeClr w14:val="tx1"/>
            </w14:solidFill>
          </w14:textFill>
        </w:rPr>
        <w:t>财政局、</w:t>
      </w:r>
      <w:r>
        <w:rPr>
          <w:rFonts w:hint="eastAsia" w:ascii="仿宋" w:hAnsi="仿宋" w:eastAsia="仿宋" w:cs="仿宋"/>
          <w:color w:val="000000" w:themeColor="text1"/>
          <w:spacing w:val="-1"/>
          <w:sz w:val="32"/>
          <w:szCs w:val="32"/>
          <w:highlight w:val="none"/>
          <w:lang w:eastAsia="zh-CN"/>
          <w14:textFill>
            <w14:solidFill>
              <w14:schemeClr w14:val="tx1"/>
            </w14:solidFill>
          </w14:textFill>
        </w:rPr>
        <w:t>县机关事务服务中心</w:t>
      </w:r>
      <w:r>
        <w:rPr>
          <w:rFonts w:ascii="仿宋" w:hAnsi="仿宋" w:eastAsia="仿宋" w:cs="仿宋"/>
          <w:color w:val="000000" w:themeColor="text1"/>
          <w:spacing w:val="-1"/>
          <w:sz w:val="32"/>
          <w:szCs w:val="32"/>
          <w:highlight w:val="none"/>
          <w14:textFill>
            <w14:solidFill>
              <w14:schemeClr w14:val="tx1"/>
            </w14:solidFill>
          </w14:textFill>
        </w:rPr>
        <w:t>应当加强对</w:t>
      </w:r>
      <w:r>
        <w:rPr>
          <w:rFonts w:hint="eastAsia" w:ascii="仿宋" w:hAnsi="仿宋" w:eastAsia="仿宋" w:cs="仿宋"/>
          <w:color w:val="000000" w:themeColor="text1"/>
          <w:spacing w:val="-1"/>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6"/>
          <w:sz w:val="32"/>
          <w:szCs w:val="32"/>
          <w:highlight w:val="none"/>
          <w14:textFill>
            <w14:solidFill>
              <w14:schemeClr w14:val="tx1"/>
            </w14:solidFill>
          </w14:textFill>
        </w:rPr>
        <w:t>国有资产使用活动的监督，及时发现和制止国有资产使用</w:t>
      </w:r>
      <w:r>
        <w:rPr>
          <w:rFonts w:ascii="仿宋" w:hAnsi="仿宋" w:eastAsia="仿宋" w:cs="仿宋"/>
          <w:color w:val="000000" w:themeColor="text1"/>
          <w:spacing w:val="-7"/>
          <w:sz w:val="32"/>
          <w:szCs w:val="32"/>
          <w:highlight w:val="none"/>
          <w14:textFill>
            <w14:solidFill>
              <w14:schemeClr w14:val="tx1"/>
            </w14:solidFill>
          </w14:textFill>
        </w:rPr>
        <w:t>活动中的各种违法违规行为，防止隐瞒、截留、挤占、坐支和挪用国有</w:t>
      </w:r>
      <w:r>
        <w:rPr>
          <w:rFonts w:ascii="仿宋" w:hAnsi="仿宋" w:eastAsia="仿宋" w:cs="仿宋"/>
          <w:color w:val="000000" w:themeColor="text1"/>
          <w:spacing w:val="-15"/>
          <w:sz w:val="32"/>
          <w:szCs w:val="32"/>
          <w:highlight w:val="none"/>
          <w14:textFill>
            <w14:solidFill>
              <w14:schemeClr w14:val="tx1"/>
            </w14:solidFill>
          </w14:textFill>
        </w:rPr>
        <w:t>资产使用收入。</w:t>
      </w:r>
    </w:p>
    <w:p w14:paraId="5D785492">
      <w:pPr>
        <w:keepNext w:val="0"/>
        <w:keepLines w:val="0"/>
        <w:pageBreakBefore w:val="0"/>
        <w:widowControl/>
        <w:kinsoku w:val="0"/>
        <w:wordWrap/>
        <w:overflowPunct/>
        <w:topLinePunct w:val="0"/>
        <w:autoSpaceDE w:val="0"/>
        <w:autoSpaceDN w:val="0"/>
        <w:bidi w:val="0"/>
        <w:adjustRightInd w:val="0"/>
        <w:snapToGrid w:val="0"/>
        <w:spacing w:before="79" w:line="560" w:lineRule="exact"/>
        <w:ind w:right="84" w:firstLine="629"/>
        <w:jc w:val="both"/>
        <w:textAlignment w:val="baseline"/>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pacing w:val="-7"/>
          <w:sz w:val="32"/>
          <w:szCs w:val="32"/>
          <w:highlight w:val="none"/>
          <w14:textFill>
            <w14:solidFill>
              <w14:schemeClr w14:val="tx1"/>
            </w14:solidFill>
          </w14:textFill>
        </w:rPr>
        <w:t>建立</w:t>
      </w:r>
      <w:r>
        <w:rPr>
          <w:rFonts w:hint="eastAsia" w:ascii="仿宋" w:hAnsi="仿宋" w:eastAsia="仿宋" w:cs="仿宋"/>
          <w:color w:val="000000" w:themeColor="text1"/>
          <w:spacing w:val="-7"/>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7"/>
          <w:sz w:val="32"/>
          <w:szCs w:val="32"/>
          <w:highlight w:val="none"/>
          <w14:textFill>
            <w14:solidFill>
              <w14:schemeClr w14:val="tx1"/>
            </w14:solidFill>
          </w14:textFill>
        </w:rPr>
        <w:t>资产管理绩效评价制度。</w:t>
      </w:r>
      <w:r>
        <w:rPr>
          <w:rFonts w:hint="eastAsia" w:ascii="仿宋" w:hAnsi="仿宋" w:eastAsia="仿宋" w:cs="仿宋"/>
          <w:color w:val="000000" w:themeColor="text1"/>
          <w:spacing w:val="-7"/>
          <w:sz w:val="32"/>
          <w:szCs w:val="32"/>
          <w:highlight w:val="none"/>
          <w:lang w:eastAsia="zh-CN"/>
          <w14:textFill>
            <w14:solidFill>
              <w14:schemeClr w14:val="tx1"/>
            </w14:solidFill>
          </w14:textFill>
        </w:rPr>
        <w:t>县</w:t>
      </w:r>
      <w:r>
        <w:rPr>
          <w:rFonts w:ascii="仿宋" w:hAnsi="仿宋" w:eastAsia="仿宋" w:cs="仿宋"/>
          <w:color w:val="000000" w:themeColor="text1"/>
          <w:spacing w:val="-7"/>
          <w:sz w:val="32"/>
          <w:szCs w:val="32"/>
          <w:highlight w:val="none"/>
          <w14:textFill>
            <w14:solidFill>
              <w14:schemeClr w14:val="tx1"/>
            </w14:solidFill>
          </w14:textFill>
        </w:rPr>
        <w:t>财政局会同</w:t>
      </w:r>
      <w:r>
        <w:rPr>
          <w:rFonts w:hint="eastAsia" w:ascii="仿宋" w:hAnsi="仿宋" w:eastAsia="仿宋" w:cs="仿宋"/>
          <w:color w:val="000000" w:themeColor="text1"/>
          <w:spacing w:val="-7"/>
          <w:sz w:val="32"/>
          <w:szCs w:val="32"/>
          <w:highlight w:val="none"/>
          <w:lang w:eastAsia="zh-CN"/>
          <w14:textFill>
            <w14:solidFill>
              <w14:schemeClr w14:val="tx1"/>
            </w14:solidFill>
          </w14:textFill>
        </w:rPr>
        <w:t>县机关事务服务中心</w:t>
      </w:r>
      <w:r>
        <w:rPr>
          <w:rFonts w:ascii="仿宋" w:hAnsi="仿宋" w:eastAsia="仿宋" w:cs="仿宋"/>
          <w:color w:val="000000" w:themeColor="text1"/>
          <w:spacing w:val="-7"/>
          <w:sz w:val="32"/>
          <w:szCs w:val="32"/>
          <w:highlight w:val="none"/>
          <w14:textFill>
            <w14:solidFill>
              <w14:schemeClr w14:val="tx1"/>
            </w14:solidFill>
          </w14:textFill>
        </w:rPr>
        <w:t>组织开展资产管理年度绩效评价工作，通报评价结果，并</w:t>
      </w:r>
      <w:r>
        <w:rPr>
          <w:rFonts w:ascii="仿宋" w:hAnsi="仿宋" w:eastAsia="仿宋" w:cs="仿宋"/>
          <w:color w:val="000000" w:themeColor="text1"/>
          <w:spacing w:val="-6"/>
          <w:sz w:val="32"/>
          <w:szCs w:val="32"/>
          <w:highlight w:val="none"/>
          <w14:textFill>
            <w14:solidFill>
              <w14:schemeClr w14:val="tx1"/>
            </w14:solidFill>
          </w14:textFill>
        </w:rPr>
        <w:t>作为资产配置预算安排、资产管理同级审计的参考，发现重要情</w:t>
      </w:r>
      <w:r>
        <w:rPr>
          <w:rFonts w:ascii="仿宋" w:hAnsi="仿宋" w:eastAsia="仿宋" w:cs="仿宋"/>
          <w:color w:val="000000" w:themeColor="text1"/>
          <w:spacing w:val="-11"/>
          <w:sz w:val="32"/>
          <w:szCs w:val="32"/>
          <w:highlight w:val="none"/>
          <w14:textFill>
            <w14:solidFill>
              <w14:schemeClr w14:val="tx1"/>
            </w14:solidFill>
          </w14:textFill>
        </w:rPr>
        <w:t>况的及时向</w:t>
      </w:r>
      <w:r>
        <w:rPr>
          <w:rFonts w:hint="eastAsia" w:ascii="仿宋" w:hAnsi="仿宋" w:eastAsia="仿宋" w:cs="仿宋"/>
          <w:color w:val="000000" w:themeColor="text1"/>
          <w:spacing w:val="-11"/>
          <w:sz w:val="32"/>
          <w:szCs w:val="32"/>
          <w:highlight w:val="none"/>
          <w:lang w:eastAsia="zh-CN"/>
          <w14:textFill>
            <w14:solidFill>
              <w14:schemeClr w14:val="tx1"/>
            </w14:solidFill>
          </w14:textFill>
        </w:rPr>
        <w:t>县</w:t>
      </w:r>
      <w:r>
        <w:rPr>
          <w:rFonts w:ascii="仿宋" w:hAnsi="仿宋" w:eastAsia="仿宋" w:cs="仿宋"/>
          <w:color w:val="000000" w:themeColor="text1"/>
          <w:spacing w:val="-11"/>
          <w:sz w:val="32"/>
          <w:szCs w:val="32"/>
          <w:highlight w:val="none"/>
          <w14:textFill>
            <w14:solidFill>
              <w14:schemeClr w14:val="tx1"/>
            </w14:solidFill>
          </w14:textFill>
        </w:rPr>
        <w:t>人民政府报告。</w:t>
      </w:r>
    </w:p>
    <w:p w14:paraId="7B4AFBB1">
      <w:pPr>
        <w:keepNext w:val="0"/>
        <w:keepLines w:val="0"/>
        <w:pageBreakBefore w:val="0"/>
        <w:widowControl/>
        <w:kinsoku w:val="0"/>
        <w:wordWrap/>
        <w:overflowPunct/>
        <w:topLinePunct w:val="0"/>
        <w:autoSpaceDE w:val="0"/>
        <w:autoSpaceDN w:val="0"/>
        <w:bidi w:val="0"/>
        <w:adjustRightInd w:val="0"/>
        <w:snapToGrid w:val="0"/>
        <w:spacing w:before="104" w:line="560" w:lineRule="exact"/>
        <w:ind w:right="39" w:firstLine="649"/>
        <w:jc w:val="both"/>
        <w:textAlignment w:val="baseline"/>
        <w:rPr>
          <w:rFonts w:ascii="仿宋" w:hAnsi="仿宋" w:eastAsia="仿宋" w:cs="仿宋"/>
          <w:color w:val="000000" w:themeColor="text1"/>
          <w:sz w:val="32"/>
          <w:szCs w:val="32"/>
          <w:highlight w:val="none"/>
          <w14:textFill>
            <w14:solidFill>
              <w14:schemeClr w14:val="tx1"/>
            </w14:solidFill>
          </w14:textFill>
        </w:rPr>
      </w:pPr>
      <w:r>
        <w:rPr>
          <w:rFonts w:ascii="楷体" w:hAnsi="楷体" w:eastAsia="楷体" w:cs="楷体"/>
          <w:b/>
          <w:bCs/>
          <w:color w:val="000000" w:themeColor="text1"/>
          <w:spacing w:val="9"/>
          <w:sz w:val="31"/>
          <w:szCs w:val="31"/>
          <w:highlight w:val="none"/>
          <w14:textFill>
            <w14:solidFill>
              <w14:schemeClr w14:val="tx1"/>
            </w14:solidFill>
          </w14:textFill>
        </w:rPr>
        <w:t>第</w:t>
      </w:r>
      <w:r>
        <w:rPr>
          <w:rFonts w:hint="eastAsia" w:ascii="楷体" w:hAnsi="楷体" w:eastAsia="楷体" w:cs="楷体"/>
          <w:b/>
          <w:bCs/>
          <w:color w:val="000000" w:themeColor="text1"/>
          <w:spacing w:val="9"/>
          <w:sz w:val="31"/>
          <w:szCs w:val="31"/>
          <w:highlight w:val="none"/>
          <w:lang w:eastAsia="zh-CN"/>
          <w14:textFill>
            <w14:solidFill>
              <w14:schemeClr w14:val="tx1"/>
            </w14:solidFill>
          </w14:textFill>
        </w:rPr>
        <w:t>四十八</w:t>
      </w:r>
      <w:r>
        <w:rPr>
          <w:rFonts w:ascii="楷体" w:hAnsi="楷体" w:eastAsia="楷体" w:cs="楷体"/>
          <w:b/>
          <w:bCs/>
          <w:color w:val="000000" w:themeColor="text1"/>
          <w:spacing w:val="9"/>
          <w:sz w:val="31"/>
          <w:szCs w:val="31"/>
          <w:highlight w:val="none"/>
          <w14:textFill>
            <w14:solidFill>
              <w14:schemeClr w14:val="tx1"/>
            </w14:solidFill>
          </w14:textFill>
        </w:rPr>
        <w:t>条</w:t>
      </w:r>
      <w:r>
        <w:rPr>
          <w:rFonts w:hint="eastAsia" w:ascii="楷体" w:hAnsi="楷体" w:eastAsia="楷体" w:cs="楷体"/>
          <w:color w:val="000000" w:themeColor="text1"/>
          <w:spacing w:val="-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1"/>
          <w:sz w:val="32"/>
          <w:szCs w:val="32"/>
          <w:highlight w:val="none"/>
          <w:lang w:eastAsia="zh-CN"/>
          <w14:textFill>
            <w14:solidFill>
              <w14:schemeClr w14:val="tx1"/>
            </w14:solidFill>
          </w14:textFill>
        </w:rPr>
        <w:t>县</w:t>
      </w:r>
      <w:r>
        <w:rPr>
          <w:rFonts w:ascii="仿宋" w:hAnsi="仿宋" w:eastAsia="仿宋" w:cs="仿宋"/>
          <w:color w:val="000000" w:themeColor="text1"/>
          <w:spacing w:val="-1"/>
          <w:sz w:val="32"/>
          <w:szCs w:val="32"/>
          <w:highlight w:val="none"/>
          <w14:textFill>
            <w14:solidFill>
              <w14:schemeClr w14:val="tx1"/>
            </w14:solidFill>
          </w14:textFill>
        </w:rPr>
        <w:t>财政局、</w:t>
      </w:r>
      <w:r>
        <w:rPr>
          <w:rFonts w:hint="eastAsia" w:ascii="仿宋" w:hAnsi="仿宋" w:eastAsia="仿宋" w:cs="仿宋"/>
          <w:color w:val="000000" w:themeColor="text1"/>
          <w:spacing w:val="-1"/>
          <w:sz w:val="32"/>
          <w:szCs w:val="32"/>
          <w:highlight w:val="none"/>
          <w:lang w:eastAsia="zh-CN"/>
          <w14:textFill>
            <w14:solidFill>
              <w14:schemeClr w14:val="tx1"/>
            </w14:solidFill>
          </w14:textFill>
        </w:rPr>
        <w:t>县机关事务服务中心</w:t>
      </w:r>
      <w:r>
        <w:rPr>
          <w:rFonts w:ascii="仿宋" w:hAnsi="仿宋" w:eastAsia="仿宋" w:cs="仿宋"/>
          <w:color w:val="000000" w:themeColor="text1"/>
          <w:spacing w:val="-1"/>
          <w:sz w:val="32"/>
          <w:szCs w:val="32"/>
          <w:highlight w:val="none"/>
          <w14:textFill>
            <w14:solidFill>
              <w14:schemeClr w14:val="tx1"/>
            </w14:solidFill>
          </w14:textFill>
        </w:rPr>
        <w:t>按照职责分工落实</w:t>
      </w:r>
      <w:r>
        <w:rPr>
          <w:rFonts w:hint="eastAsia" w:ascii="仿宋" w:hAnsi="仿宋" w:eastAsia="仿宋" w:cs="仿宋"/>
          <w:color w:val="000000" w:themeColor="text1"/>
          <w:spacing w:val="-1"/>
          <w:sz w:val="32"/>
          <w:szCs w:val="32"/>
          <w:highlight w:val="none"/>
          <w:lang w:eastAsia="zh-CN"/>
          <w14:textFill>
            <w14:solidFill>
              <w14:schemeClr w14:val="tx1"/>
            </w14:solidFill>
          </w14:textFill>
        </w:rPr>
        <w:t>县</w:t>
      </w:r>
      <w:r>
        <w:rPr>
          <w:rFonts w:ascii="仿宋" w:hAnsi="仿宋" w:eastAsia="仿宋" w:cs="仿宋"/>
          <w:color w:val="000000" w:themeColor="text1"/>
          <w:spacing w:val="-3"/>
          <w:sz w:val="32"/>
          <w:szCs w:val="32"/>
          <w:highlight w:val="none"/>
          <w14:textFill>
            <w14:solidFill>
              <w14:schemeClr w14:val="tx1"/>
            </w14:solidFill>
          </w14:textFill>
        </w:rPr>
        <w:t>人民政府向</w:t>
      </w:r>
      <w:r>
        <w:rPr>
          <w:rFonts w:hint="eastAsia" w:ascii="仿宋" w:hAnsi="仿宋" w:eastAsia="仿宋" w:cs="仿宋"/>
          <w:color w:val="000000" w:themeColor="text1"/>
          <w:spacing w:val="-3"/>
          <w:sz w:val="32"/>
          <w:szCs w:val="32"/>
          <w:highlight w:val="none"/>
          <w:lang w:eastAsia="zh-CN"/>
          <w14:textFill>
            <w14:solidFill>
              <w14:schemeClr w14:val="tx1"/>
            </w14:solidFill>
          </w14:textFill>
        </w:rPr>
        <w:t>县</w:t>
      </w:r>
      <w:r>
        <w:rPr>
          <w:rFonts w:ascii="仿宋" w:hAnsi="仿宋" w:eastAsia="仿宋" w:cs="仿宋"/>
          <w:color w:val="000000" w:themeColor="text1"/>
          <w:spacing w:val="-3"/>
          <w:sz w:val="32"/>
          <w:szCs w:val="32"/>
          <w:highlight w:val="none"/>
          <w14:textFill>
            <w14:solidFill>
              <w14:schemeClr w14:val="tx1"/>
            </w14:solidFill>
          </w14:textFill>
        </w:rPr>
        <w:t>人大常委会报告</w:t>
      </w:r>
      <w:r>
        <w:rPr>
          <w:rFonts w:hint="eastAsia" w:ascii="仿宋" w:hAnsi="仿宋" w:eastAsia="仿宋" w:cs="仿宋"/>
          <w:color w:val="000000" w:themeColor="text1"/>
          <w:spacing w:val="-3"/>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3"/>
          <w:sz w:val="32"/>
          <w:szCs w:val="32"/>
          <w:highlight w:val="none"/>
          <w14:textFill>
            <w14:solidFill>
              <w14:schemeClr w14:val="tx1"/>
            </w14:solidFill>
          </w14:textFill>
        </w:rPr>
        <w:t>国有资产管理情况制度，</w:t>
      </w:r>
      <w:r>
        <w:rPr>
          <w:rFonts w:ascii="仿宋" w:hAnsi="仿宋" w:eastAsia="仿宋" w:cs="仿宋"/>
          <w:color w:val="000000" w:themeColor="text1"/>
          <w:spacing w:val="-12"/>
          <w:sz w:val="32"/>
          <w:szCs w:val="32"/>
          <w:highlight w:val="none"/>
          <w14:textFill>
            <w14:solidFill>
              <w14:schemeClr w14:val="tx1"/>
            </w14:solidFill>
          </w14:textFill>
        </w:rPr>
        <w:t>主动接受</w:t>
      </w:r>
      <w:r>
        <w:rPr>
          <w:rFonts w:hint="eastAsia" w:ascii="仿宋" w:hAnsi="仿宋" w:eastAsia="仿宋" w:cs="仿宋"/>
          <w:color w:val="000000" w:themeColor="text1"/>
          <w:spacing w:val="-12"/>
          <w:sz w:val="32"/>
          <w:szCs w:val="32"/>
          <w:highlight w:val="none"/>
          <w:lang w:eastAsia="zh-CN"/>
          <w14:textFill>
            <w14:solidFill>
              <w14:schemeClr w14:val="tx1"/>
            </w14:solidFill>
          </w14:textFill>
        </w:rPr>
        <w:t>县</w:t>
      </w:r>
      <w:r>
        <w:rPr>
          <w:rFonts w:ascii="仿宋" w:hAnsi="仿宋" w:eastAsia="仿宋" w:cs="仿宋"/>
          <w:color w:val="000000" w:themeColor="text1"/>
          <w:spacing w:val="-12"/>
          <w:sz w:val="32"/>
          <w:szCs w:val="32"/>
          <w:highlight w:val="none"/>
          <w14:textFill>
            <w14:solidFill>
              <w14:schemeClr w14:val="tx1"/>
            </w14:solidFill>
          </w14:textFill>
        </w:rPr>
        <w:t>人大监督。</w:t>
      </w:r>
    </w:p>
    <w:p w14:paraId="51EBDD04">
      <w:pPr>
        <w:keepNext w:val="0"/>
        <w:keepLines w:val="0"/>
        <w:pageBreakBefore w:val="0"/>
        <w:widowControl/>
        <w:kinsoku w:val="0"/>
        <w:wordWrap/>
        <w:overflowPunct/>
        <w:topLinePunct w:val="0"/>
        <w:autoSpaceDE w:val="0"/>
        <w:autoSpaceDN w:val="0"/>
        <w:bidi w:val="0"/>
        <w:adjustRightInd w:val="0"/>
        <w:snapToGrid w:val="0"/>
        <w:spacing w:before="71" w:line="560" w:lineRule="exact"/>
        <w:ind w:left="649"/>
        <w:jc w:val="both"/>
        <w:textAlignment w:val="baseline"/>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pacing w:val="-10"/>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10"/>
          <w:sz w:val="32"/>
          <w:szCs w:val="32"/>
          <w:highlight w:val="none"/>
          <w14:textFill>
            <w14:solidFill>
              <w14:schemeClr w14:val="tx1"/>
            </w14:solidFill>
          </w14:textFill>
        </w:rPr>
        <w:t>国有资产管理接受</w:t>
      </w:r>
      <w:r>
        <w:rPr>
          <w:rFonts w:hint="eastAsia" w:ascii="仿宋" w:hAnsi="仿宋" w:eastAsia="仿宋" w:cs="仿宋"/>
          <w:color w:val="000000" w:themeColor="text1"/>
          <w:spacing w:val="-10"/>
          <w:sz w:val="32"/>
          <w:szCs w:val="32"/>
          <w:highlight w:val="none"/>
          <w:lang w:eastAsia="zh-CN"/>
          <w14:textFill>
            <w14:solidFill>
              <w14:schemeClr w14:val="tx1"/>
            </w14:solidFill>
          </w14:textFill>
        </w:rPr>
        <w:t>县</w:t>
      </w:r>
      <w:r>
        <w:rPr>
          <w:rFonts w:ascii="仿宋" w:hAnsi="仿宋" w:eastAsia="仿宋" w:cs="仿宋"/>
          <w:color w:val="000000" w:themeColor="text1"/>
          <w:spacing w:val="-10"/>
          <w:sz w:val="32"/>
          <w:szCs w:val="32"/>
          <w:highlight w:val="none"/>
          <w14:textFill>
            <w14:solidFill>
              <w14:schemeClr w14:val="tx1"/>
            </w14:solidFill>
          </w14:textFill>
        </w:rPr>
        <w:t>纪委监委、审计部门监督。</w:t>
      </w:r>
    </w:p>
    <w:p w14:paraId="5D1879C6">
      <w:pPr>
        <w:keepNext w:val="0"/>
        <w:keepLines w:val="0"/>
        <w:pageBreakBefore w:val="0"/>
        <w:widowControl/>
        <w:kinsoku w:val="0"/>
        <w:wordWrap/>
        <w:overflowPunct/>
        <w:topLinePunct w:val="0"/>
        <w:autoSpaceDE w:val="0"/>
        <w:autoSpaceDN w:val="0"/>
        <w:bidi w:val="0"/>
        <w:adjustRightInd w:val="0"/>
        <w:snapToGrid w:val="0"/>
        <w:spacing w:before="193" w:line="560" w:lineRule="exact"/>
        <w:ind w:right="106" w:firstLine="649"/>
        <w:jc w:val="both"/>
        <w:textAlignment w:val="baseline"/>
        <w:rPr>
          <w:color w:val="000000" w:themeColor="text1"/>
          <w:highlight w:val="none"/>
          <w14:textFill>
            <w14:solidFill>
              <w14:schemeClr w14:val="tx1"/>
            </w14:solidFill>
          </w14:textFill>
        </w:rPr>
      </w:pPr>
      <w:r>
        <w:rPr>
          <w:rFonts w:ascii="楷体" w:hAnsi="楷体" w:eastAsia="楷体" w:cs="楷体"/>
          <w:b/>
          <w:bCs/>
          <w:color w:val="000000" w:themeColor="text1"/>
          <w:spacing w:val="9"/>
          <w:sz w:val="31"/>
          <w:szCs w:val="31"/>
          <w:highlight w:val="none"/>
          <w14:textFill>
            <w14:solidFill>
              <w14:schemeClr w14:val="tx1"/>
            </w14:solidFill>
          </w14:textFill>
        </w:rPr>
        <w:t>第</w:t>
      </w:r>
      <w:r>
        <w:rPr>
          <w:rFonts w:hint="eastAsia" w:ascii="楷体" w:hAnsi="楷体" w:eastAsia="楷体" w:cs="楷体"/>
          <w:b/>
          <w:bCs/>
          <w:color w:val="000000" w:themeColor="text1"/>
          <w:spacing w:val="9"/>
          <w:sz w:val="31"/>
          <w:szCs w:val="31"/>
          <w:highlight w:val="none"/>
          <w:lang w:eastAsia="zh-CN"/>
          <w14:textFill>
            <w14:solidFill>
              <w14:schemeClr w14:val="tx1"/>
            </w14:solidFill>
          </w14:textFill>
        </w:rPr>
        <w:t>四十九</w:t>
      </w:r>
      <w:r>
        <w:rPr>
          <w:rFonts w:ascii="楷体" w:hAnsi="楷体" w:eastAsia="楷体" w:cs="楷体"/>
          <w:b/>
          <w:bCs/>
          <w:color w:val="000000" w:themeColor="text1"/>
          <w:spacing w:val="9"/>
          <w:sz w:val="31"/>
          <w:szCs w:val="31"/>
          <w:highlight w:val="none"/>
          <w14:textFill>
            <w14:solidFill>
              <w14:schemeClr w14:val="tx1"/>
            </w14:solidFill>
          </w14:textFill>
        </w:rPr>
        <w:t>条</w:t>
      </w:r>
      <w:r>
        <w:rPr>
          <w:rFonts w:hint="eastAsia" w:ascii="楷体" w:hAnsi="楷体" w:eastAsia="楷体" w:cs="楷体"/>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lang w:eastAsia="zh-CN"/>
          <w14:textFill>
            <w14:solidFill>
              <w14:schemeClr w14:val="tx1"/>
            </w14:solidFill>
          </w14:textFill>
        </w:rPr>
        <w:t>县</w:t>
      </w:r>
      <w:r>
        <w:rPr>
          <w:rFonts w:ascii="仿宋" w:hAnsi="仿宋" w:eastAsia="仿宋" w:cs="仿宋"/>
          <w:color w:val="000000" w:themeColor="text1"/>
          <w:sz w:val="32"/>
          <w:szCs w:val="32"/>
          <w:highlight w:val="none"/>
          <w14:textFill>
            <w14:solidFill>
              <w14:schemeClr w14:val="tx1"/>
            </w14:solidFill>
          </w14:textFill>
        </w:rPr>
        <w:t>财政局、</w:t>
      </w:r>
      <w:r>
        <w:rPr>
          <w:rFonts w:hint="eastAsia" w:ascii="仿宋" w:hAnsi="仿宋" w:eastAsia="仿宋" w:cs="仿宋"/>
          <w:color w:val="000000" w:themeColor="text1"/>
          <w:sz w:val="32"/>
          <w:szCs w:val="32"/>
          <w:highlight w:val="none"/>
          <w:lang w:eastAsia="zh-CN"/>
          <w14:textFill>
            <w14:solidFill>
              <w14:schemeClr w14:val="tx1"/>
            </w14:solidFill>
          </w14:textFill>
        </w:rPr>
        <w:t>县机关事务服务中心</w:t>
      </w:r>
      <w:r>
        <w:rPr>
          <w:rFonts w:ascii="仿宋" w:hAnsi="仿宋" w:eastAsia="仿宋" w:cs="仿宋"/>
          <w:color w:val="000000" w:themeColor="text1"/>
          <w:sz w:val="32"/>
          <w:szCs w:val="32"/>
          <w:highlight w:val="none"/>
          <w14:textFill>
            <w14:solidFill>
              <w14:schemeClr w14:val="tx1"/>
            </w14:solidFill>
          </w14:textFill>
        </w:rPr>
        <w:t>、其他相关职能部门</w:t>
      </w:r>
      <w:r>
        <w:rPr>
          <w:rFonts w:ascii="仿宋" w:hAnsi="仿宋" w:eastAsia="仿宋" w:cs="仿宋"/>
          <w:color w:val="000000" w:themeColor="text1"/>
          <w:spacing w:val="-6"/>
          <w:sz w:val="32"/>
          <w:szCs w:val="32"/>
          <w:highlight w:val="none"/>
          <w14:textFill>
            <w14:solidFill>
              <w14:schemeClr w14:val="tx1"/>
            </w14:solidFill>
          </w14:textFill>
        </w:rPr>
        <w:t>及其工作人员在国有资产配置、使用、处置等管理工作中，存在违反本办法规定的行为，以及其他滥用职权、玩忽职守、徇私舞弊等违法违规行为的，依照国家有关规定追究相应责任，</w:t>
      </w:r>
      <w:r>
        <w:rPr>
          <w:rFonts w:ascii="仿宋" w:hAnsi="仿宋" w:eastAsia="仿宋" w:cs="仿宋"/>
          <w:color w:val="000000" w:themeColor="text1"/>
          <w:spacing w:val="-7"/>
          <w:sz w:val="32"/>
          <w:szCs w:val="32"/>
          <w:highlight w:val="none"/>
          <w14:textFill>
            <w14:solidFill>
              <w14:schemeClr w14:val="tx1"/>
            </w14:solidFill>
          </w14:textFill>
        </w:rPr>
        <w:t>涉嫌犯</w:t>
      </w:r>
      <w:r>
        <w:rPr>
          <w:rFonts w:ascii="仿宋" w:hAnsi="仿宋" w:eastAsia="仿宋" w:cs="仿宋"/>
          <w:color w:val="000000" w:themeColor="text1"/>
          <w:spacing w:val="-10"/>
          <w:sz w:val="32"/>
          <w:szCs w:val="32"/>
          <w:highlight w:val="none"/>
          <w14:textFill>
            <w14:solidFill>
              <w14:schemeClr w14:val="tx1"/>
            </w14:solidFill>
          </w14:textFill>
        </w:rPr>
        <w:t>罪的，依法移送司法机关处理。</w:t>
      </w:r>
    </w:p>
    <w:p w14:paraId="15746E09">
      <w:pPr>
        <w:keepNext w:val="0"/>
        <w:keepLines w:val="0"/>
        <w:pageBreakBefore w:val="0"/>
        <w:widowControl/>
        <w:kinsoku w:val="0"/>
        <w:wordWrap/>
        <w:overflowPunct/>
        <w:topLinePunct w:val="0"/>
        <w:autoSpaceDE w:val="0"/>
        <w:autoSpaceDN w:val="0"/>
        <w:bidi w:val="0"/>
        <w:adjustRightInd w:val="0"/>
        <w:snapToGrid w:val="0"/>
        <w:spacing w:before="104" w:line="560" w:lineRule="exact"/>
        <w:ind w:left="3334"/>
        <w:jc w:val="both"/>
        <w:textAlignment w:val="baseline"/>
        <w:outlineLvl w:val="0"/>
        <w:rPr>
          <w:rFonts w:ascii="黑体" w:hAnsi="黑体" w:eastAsia="黑体" w:cs="黑体"/>
          <w:color w:val="000000" w:themeColor="text1"/>
          <w:sz w:val="32"/>
          <w:szCs w:val="32"/>
          <w:highlight w:val="none"/>
          <w14:textFill>
            <w14:solidFill>
              <w14:schemeClr w14:val="tx1"/>
            </w14:solidFill>
          </w14:textFill>
        </w:rPr>
      </w:pPr>
      <w:r>
        <w:rPr>
          <w:rFonts w:ascii="黑体" w:hAnsi="黑体" w:eastAsia="黑体" w:cs="黑体"/>
          <w:b/>
          <w:bCs/>
          <w:color w:val="000000" w:themeColor="text1"/>
          <w:spacing w:val="-17"/>
          <w:sz w:val="32"/>
          <w:szCs w:val="32"/>
          <w:highlight w:val="none"/>
          <w14:textFill>
            <w14:solidFill>
              <w14:schemeClr w14:val="tx1"/>
            </w14:solidFill>
          </w14:textFill>
        </w:rPr>
        <w:t>第九章</w:t>
      </w:r>
      <w:r>
        <w:rPr>
          <w:rFonts w:hint="eastAsia" w:ascii="黑体" w:hAnsi="黑体" w:eastAsia="黑体" w:cs="黑体"/>
          <w:b/>
          <w:bCs/>
          <w:color w:val="000000" w:themeColor="text1"/>
          <w:spacing w:val="-17"/>
          <w:sz w:val="32"/>
          <w:szCs w:val="32"/>
          <w:highlight w:val="none"/>
          <w:lang w:val="en-US" w:eastAsia="zh-CN"/>
          <w14:textFill>
            <w14:solidFill>
              <w14:schemeClr w14:val="tx1"/>
            </w14:solidFill>
          </w14:textFill>
        </w:rPr>
        <w:t xml:space="preserve">  </w:t>
      </w:r>
      <w:r>
        <w:rPr>
          <w:rFonts w:ascii="黑体" w:hAnsi="黑体" w:eastAsia="黑体" w:cs="黑体"/>
          <w:b/>
          <w:bCs/>
          <w:color w:val="000000" w:themeColor="text1"/>
          <w:spacing w:val="-17"/>
          <w:sz w:val="32"/>
          <w:szCs w:val="32"/>
          <w:highlight w:val="none"/>
          <w14:textFill>
            <w14:solidFill>
              <w14:schemeClr w14:val="tx1"/>
            </w14:solidFill>
          </w14:textFill>
        </w:rPr>
        <w:t>附</w:t>
      </w:r>
      <w:r>
        <w:rPr>
          <w:rFonts w:hint="eastAsia" w:ascii="黑体" w:hAnsi="黑体" w:eastAsia="黑体" w:cs="黑体"/>
          <w:b/>
          <w:bCs/>
          <w:color w:val="000000" w:themeColor="text1"/>
          <w:spacing w:val="-17"/>
          <w:sz w:val="32"/>
          <w:szCs w:val="32"/>
          <w:highlight w:val="none"/>
          <w:lang w:val="en-US" w:eastAsia="zh-CN"/>
          <w14:textFill>
            <w14:solidFill>
              <w14:schemeClr w14:val="tx1"/>
            </w14:solidFill>
          </w14:textFill>
        </w:rPr>
        <w:t xml:space="preserve">  </w:t>
      </w:r>
      <w:r>
        <w:rPr>
          <w:rFonts w:ascii="黑体" w:hAnsi="黑体" w:eastAsia="黑体" w:cs="黑体"/>
          <w:b/>
          <w:bCs/>
          <w:color w:val="000000" w:themeColor="text1"/>
          <w:spacing w:val="-17"/>
          <w:sz w:val="32"/>
          <w:szCs w:val="32"/>
          <w:highlight w:val="none"/>
          <w14:textFill>
            <w14:solidFill>
              <w14:schemeClr w14:val="tx1"/>
            </w14:solidFill>
          </w14:textFill>
        </w:rPr>
        <w:t>则</w:t>
      </w:r>
    </w:p>
    <w:p w14:paraId="1670AFD1">
      <w:pPr>
        <w:keepNext w:val="0"/>
        <w:keepLines w:val="0"/>
        <w:pageBreakBefore w:val="0"/>
        <w:widowControl/>
        <w:kinsoku w:val="0"/>
        <w:wordWrap/>
        <w:overflowPunct/>
        <w:topLinePunct w:val="0"/>
        <w:autoSpaceDE w:val="0"/>
        <w:autoSpaceDN w:val="0"/>
        <w:bidi w:val="0"/>
        <w:adjustRightInd w:val="0"/>
        <w:snapToGrid w:val="0"/>
        <w:spacing w:before="213" w:line="560" w:lineRule="exact"/>
        <w:ind w:firstLine="654"/>
        <w:jc w:val="both"/>
        <w:textAlignment w:val="baseline"/>
        <w:rPr>
          <w:rFonts w:ascii="仿宋" w:hAnsi="仿宋" w:eastAsia="仿宋" w:cs="仿宋"/>
          <w:color w:val="000000" w:themeColor="text1"/>
          <w:sz w:val="32"/>
          <w:szCs w:val="32"/>
          <w:highlight w:val="none"/>
          <w14:textFill>
            <w14:solidFill>
              <w14:schemeClr w14:val="tx1"/>
            </w14:solidFill>
          </w14:textFill>
        </w:rPr>
      </w:pPr>
      <w:r>
        <w:rPr>
          <w:rFonts w:ascii="楷体" w:hAnsi="楷体" w:eastAsia="楷体" w:cs="楷体"/>
          <w:b/>
          <w:bCs/>
          <w:color w:val="000000" w:themeColor="text1"/>
          <w:spacing w:val="-8"/>
          <w:sz w:val="32"/>
          <w:szCs w:val="32"/>
          <w:highlight w:val="none"/>
          <w14:textFill>
            <w14:solidFill>
              <w14:schemeClr w14:val="tx1"/>
            </w14:solidFill>
          </w14:textFill>
        </w:rPr>
        <w:t>第五十条</w:t>
      </w:r>
      <w:r>
        <w:rPr>
          <w:rFonts w:hint="eastAsia" w:ascii="楷体" w:hAnsi="楷体" w:eastAsia="楷体" w:cs="楷体"/>
          <w:b/>
          <w:bCs/>
          <w:color w:val="000000" w:themeColor="text1"/>
          <w:spacing w:val="-8"/>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8"/>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8"/>
          <w:sz w:val="32"/>
          <w:szCs w:val="32"/>
          <w:highlight w:val="none"/>
          <w14:textFill>
            <w14:solidFill>
              <w14:schemeClr w14:val="tx1"/>
            </w14:solidFill>
          </w14:textFill>
        </w:rPr>
        <w:t>涉及国家安全和保密的</w:t>
      </w:r>
      <w:r>
        <w:rPr>
          <w:rFonts w:ascii="仿宋" w:hAnsi="仿宋" w:eastAsia="仿宋" w:cs="仿宋"/>
          <w:color w:val="000000" w:themeColor="text1"/>
          <w:spacing w:val="-9"/>
          <w:sz w:val="32"/>
          <w:szCs w:val="32"/>
          <w:highlight w:val="none"/>
          <w14:textFill>
            <w14:solidFill>
              <w14:schemeClr w14:val="tx1"/>
            </w14:solidFill>
          </w14:textFill>
        </w:rPr>
        <w:t>国有资产配置、使用、处置等管理活动，按照国家有关保密制度执行。</w:t>
      </w:r>
    </w:p>
    <w:p w14:paraId="266547D1">
      <w:pPr>
        <w:keepNext w:val="0"/>
        <w:keepLines w:val="0"/>
        <w:pageBreakBefore w:val="0"/>
        <w:widowControl/>
        <w:kinsoku w:val="0"/>
        <w:wordWrap/>
        <w:overflowPunct/>
        <w:topLinePunct w:val="0"/>
        <w:autoSpaceDE w:val="0"/>
        <w:autoSpaceDN w:val="0"/>
        <w:bidi w:val="0"/>
        <w:adjustRightInd w:val="0"/>
        <w:snapToGrid w:val="0"/>
        <w:spacing w:before="58" w:line="560" w:lineRule="exact"/>
        <w:ind w:right="116" w:firstLine="649"/>
        <w:jc w:val="both"/>
        <w:textAlignment w:val="baseline"/>
        <w:rPr>
          <w:rFonts w:ascii="仿宋" w:hAnsi="仿宋" w:eastAsia="仿宋" w:cs="仿宋"/>
          <w:color w:val="000000" w:themeColor="text1"/>
          <w:sz w:val="32"/>
          <w:szCs w:val="32"/>
          <w:highlight w:val="none"/>
          <w14:textFill>
            <w14:solidFill>
              <w14:schemeClr w14:val="tx1"/>
            </w14:solidFill>
          </w14:textFill>
        </w:rPr>
      </w:pPr>
      <w:r>
        <w:rPr>
          <w:rFonts w:ascii="楷体" w:hAnsi="楷体" w:eastAsia="楷体" w:cs="楷体"/>
          <w:b/>
          <w:bCs/>
          <w:color w:val="000000" w:themeColor="text1"/>
          <w:spacing w:val="9"/>
          <w:sz w:val="31"/>
          <w:szCs w:val="31"/>
          <w:highlight w:val="none"/>
          <w14:textFill>
            <w14:solidFill>
              <w14:schemeClr w14:val="tx1"/>
            </w14:solidFill>
          </w14:textFill>
        </w:rPr>
        <w:t>第五十</w:t>
      </w:r>
      <w:r>
        <w:rPr>
          <w:rFonts w:hint="eastAsia" w:ascii="楷体" w:hAnsi="楷体" w:eastAsia="楷体" w:cs="楷体"/>
          <w:b/>
          <w:bCs/>
          <w:color w:val="000000" w:themeColor="text1"/>
          <w:spacing w:val="9"/>
          <w:sz w:val="31"/>
          <w:szCs w:val="31"/>
          <w:highlight w:val="none"/>
          <w:lang w:eastAsia="zh-CN"/>
          <w14:textFill>
            <w14:solidFill>
              <w14:schemeClr w14:val="tx1"/>
            </w14:solidFill>
          </w14:textFill>
        </w:rPr>
        <w:t>一</w:t>
      </w:r>
      <w:r>
        <w:rPr>
          <w:rFonts w:ascii="楷体" w:hAnsi="楷体" w:eastAsia="楷体" w:cs="楷体"/>
          <w:b/>
          <w:bCs/>
          <w:color w:val="000000" w:themeColor="text1"/>
          <w:spacing w:val="9"/>
          <w:sz w:val="31"/>
          <w:szCs w:val="31"/>
          <w:highlight w:val="none"/>
          <w14:textFill>
            <w14:solidFill>
              <w14:schemeClr w14:val="tx1"/>
            </w14:solidFill>
          </w14:textFill>
        </w:rPr>
        <w:t>条</w:t>
      </w:r>
      <w:r>
        <w:rPr>
          <w:rFonts w:hint="eastAsia" w:ascii="楷体" w:hAnsi="楷体" w:eastAsia="楷体" w:cs="楷体"/>
          <w:color w:val="000000" w:themeColor="text1"/>
          <w:spacing w:val="-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1"/>
          <w:sz w:val="32"/>
          <w:szCs w:val="32"/>
          <w:highlight w:val="none"/>
          <w:lang w:eastAsia="zh-CN"/>
          <w14:textFill>
            <w14:solidFill>
              <w14:schemeClr w14:val="tx1"/>
            </w14:solidFill>
          </w14:textFill>
        </w:rPr>
        <w:t>县</w:t>
      </w:r>
      <w:r>
        <w:rPr>
          <w:rFonts w:ascii="仿宋" w:hAnsi="仿宋" w:eastAsia="仿宋" w:cs="仿宋"/>
          <w:color w:val="000000" w:themeColor="text1"/>
          <w:spacing w:val="-1"/>
          <w:sz w:val="32"/>
          <w:szCs w:val="32"/>
          <w:highlight w:val="none"/>
          <w14:textFill>
            <w14:solidFill>
              <w14:schemeClr w14:val="tx1"/>
            </w14:solidFill>
          </w14:textFill>
        </w:rPr>
        <w:t>财政局、</w:t>
      </w:r>
      <w:r>
        <w:rPr>
          <w:rFonts w:hint="eastAsia" w:ascii="仿宋" w:hAnsi="仿宋" w:eastAsia="仿宋" w:cs="仿宋"/>
          <w:color w:val="000000" w:themeColor="text1"/>
          <w:spacing w:val="-1"/>
          <w:sz w:val="32"/>
          <w:szCs w:val="32"/>
          <w:highlight w:val="none"/>
          <w:lang w:eastAsia="zh-CN"/>
          <w14:textFill>
            <w14:solidFill>
              <w14:schemeClr w14:val="tx1"/>
            </w14:solidFill>
          </w14:textFill>
        </w:rPr>
        <w:t>县机关事务服务中心</w:t>
      </w:r>
      <w:r>
        <w:rPr>
          <w:rFonts w:ascii="仿宋" w:hAnsi="仿宋" w:eastAsia="仿宋" w:cs="仿宋"/>
          <w:color w:val="000000" w:themeColor="text1"/>
          <w:spacing w:val="-1"/>
          <w:sz w:val="32"/>
          <w:szCs w:val="32"/>
          <w:highlight w:val="none"/>
          <w14:textFill>
            <w14:solidFill>
              <w14:schemeClr w14:val="tx1"/>
            </w14:solidFill>
          </w14:textFill>
        </w:rPr>
        <w:t>按照职责分工和本办</w:t>
      </w:r>
      <w:r>
        <w:rPr>
          <w:rFonts w:ascii="仿宋" w:hAnsi="仿宋" w:eastAsia="仿宋" w:cs="仿宋"/>
          <w:color w:val="000000" w:themeColor="text1"/>
          <w:spacing w:val="-6"/>
          <w:sz w:val="32"/>
          <w:szCs w:val="32"/>
          <w:highlight w:val="none"/>
          <w14:textFill>
            <w14:solidFill>
              <w14:schemeClr w14:val="tx1"/>
            </w14:solidFill>
          </w14:textFill>
        </w:rPr>
        <w:t>法要求，配套建立健全资产配置、资产处置、办公用房、公务用车、办公设备设施与家具管理</w:t>
      </w:r>
      <w:r>
        <w:rPr>
          <w:rFonts w:ascii="仿宋" w:hAnsi="仿宋" w:eastAsia="仿宋" w:cs="仿宋"/>
          <w:color w:val="000000" w:themeColor="text1"/>
          <w:spacing w:val="-7"/>
          <w:sz w:val="32"/>
          <w:szCs w:val="32"/>
          <w:highlight w:val="none"/>
          <w14:textFill>
            <w14:solidFill>
              <w14:schemeClr w14:val="tx1"/>
            </w14:solidFill>
          </w14:textFill>
        </w:rPr>
        <w:t>等具体制</w:t>
      </w:r>
      <w:r>
        <w:rPr>
          <w:rFonts w:ascii="仿宋" w:hAnsi="仿宋" w:eastAsia="仿宋" w:cs="仿宋"/>
          <w:color w:val="000000" w:themeColor="text1"/>
          <w:spacing w:val="-5"/>
          <w:sz w:val="32"/>
          <w:szCs w:val="32"/>
          <w:highlight w:val="none"/>
          <w14:textFill>
            <w14:solidFill>
              <w14:schemeClr w14:val="tx1"/>
            </w14:solidFill>
          </w14:textFill>
        </w:rPr>
        <w:t>度。</w:t>
      </w:r>
      <w:r>
        <w:rPr>
          <w:rFonts w:hint="eastAsia" w:ascii="仿宋" w:hAnsi="仿宋" w:eastAsia="仿宋" w:cs="仿宋"/>
          <w:color w:val="000000" w:themeColor="text1"/>
          <w:spacing w:val="-5"/>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5"/>
          <w:sz w:val="32"/>
          <w:szCs w:val="32"/>
          <w:highlight w:val="none"/>
          <w14:textFill>
            <w14:solidFill>
              <w14:schemeClr w14:val="tx1"/>
            </w14:solidFill>
          </w14:textFill>
        </w:rPr>
        <w:t>可根据本办法，制定具体操作规</w:t>
      </w:r>
      <w:r>
        <w:rPr>
          <w:rFonts w:ascii="仿宋" w:hAnsi="仿宋" w:eastAsia="仿宋" w:cs="仿宋"/>
          <w:color w:val="000000" w:themeColor="text1"/>
          <w:spacing w:val="-6"/>
          <w:sz w:val="32"/>
          <w:szCs w:val="32"/>
          <w:highlight w:val="none"/>
          <w14:textFill>
            <w14:solidFill>
              <w14:schemeClr w14:val="tx1"/>
            </w14:solidFill>
          </w14:textFill>
        </w:rPr>
        <w:t>程，并报送</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县</w:t>
      </w:r>
      <w:r>
        <w:rPr>
          <w:rFonts w:ascii="仿宋" w:hAnsi="仿宋" w:eastAsia="仿宋" w:cs="仿宋"/>
          <w:color w:val="000000" w:themeColor="text1"/>
          <w:spacing w:val="-6"/>
          <w:sz w:val="32"/>
          <w:szCs w:val="32"/>
          <w:highlight w:val="none"/>
          <w14:textFill>
            <w14:solidFill>
              <w14:schemeClr w14:val="tx1"/>
            </w14:solidFill>
          </w14:textFill>
        </w:rPr>
        <w:t>财政</w:t>
      </w:r>
      <w:r>
        <w:rPr>
          <w:rFonts w:ascii="仿宋" w:hAnsi="仿宋" w:eastAsia="仿宋" w:cs="仿宋"/>
          <w:color w:val="000000" w:themeColor="text1"/>
          <w:spacing w:val="-10"/>
          <w:sz w:val="32"/>
          <w:szCs w:val="32"/>
          <w:highlight w:val="none"/>
          <w14:textFill>
            <w14:solidFill>
              <w14:schemeClr w14:val="tx1"/>
            </w14:solidFill>
          </w14:textFill>
        </w:rPr>
        <w:t>局、</w:t>
      </w:r>
      <w:r>
        <w:rPr>
          <w:rFonts w:hint="eastAsia" w:ascii="仿宋" w:hAnsi="仿宋" w:eastAsia="仿宋" w:cs="仿宋"/>
          <w:color w:val="000000" w:themeColor="text1"/>
          <w:spacing w:val="-10"/>
          <w:sz w:val="32"/>
          <w:szCs w:val="32"/>
          <w:highlight w:val="none"/>
          <w:lang w:eastAsia="zh-CN"/>
          <w14:textFill>
            <w14:solidFill>
              <w14:schemeClr w14:val="tx1"/>
            </w14:solidFill>
          </w14:textFill>
        </w:rPr>
        <w:t>县机关事务服务中心</w:t>
      </w:r>
      <w:r>
        <w:rPr>
          <w:rFonts w:ascii="仿宋" w:hAnsi="仿宋" w:eastAsia="仿宋" w:cs="仿宋"/>
          <w:color w:val="000000" w:themeColor="text1"/>
          <w:spacing w:val="-10"/>
          <w:sz w:val="32"/>
          <w:szCs w:val="32"/>
          <w:highlight w:val="none"/>
          <w14:textFill>
            <w14:solidFill>
              <w14:schemeClr w14:val="tx1"/>
            </w14:solidFill>
          </w14:textFill>
        </w:rPr>
        <w:t>备案。</w:t>
      </w:r>
    </w:p>
    <w:p w14:paraId="54D949E3">
      <w:pPr>
        <w:keepNext w:val="0"/>
        <w:keepLines w:val="0"/>
        <w:pageBreakBefore w:val="0"/>
        <w:widowControl/>
        <w:kinsoku w:val="0"/>
        <w:wordWrap/>
        <w:overflowPunct/>
        <w:topLinePunct w:val="0"/>
        <w:autoSpaceDE w:val="0"/>
        <w:autoSpaceDN w:val="0"/>
        <w:bidi w:val="0"/>
        <w:adjustRightInd w:val="0"/>
        <w:snapToGrid w:val="0"/>
        <w:spacing w:before="91" w:line="560" w:lineRule="exact"/>
        <w:ind w:firstLine="649"/>
        <w:jc w:val="both"/>
        <w:textAlignment w:val="baseline"/>
        <w:rPr>
          <w:rFonts w:ascii="仿宋" w:hAnsi="仿宋" w:eastAsia="仿宋" w:cs="仿宋"/>
          <w:color w:val="000000" w:themeColor="text1"/>
          <w:spacing w:val="-10"/>
          <w:sz w:val="32"/>
          <w:szCs w:val="32"/>
          <w:highlight w:val="none"/>
          <w14:textFill>
            <w14:solidFill>
              <w14:schemeClr w14:val="tx1"/>
            </w14:solidFill>
          </w14:textFill>
        </w:rPr>
      </w:pPr>
      <w:r>
        <w:rPr>
          <w:rFonts w:ascii="楷体" w:hAnsi="楷体" w:eastAsia="楷体" w:cs="楷体"/>
          <w:b/>
          <w:bCs/>
          <w:color w:val="000000" w:themeColor="text1"/>
          <w:spacing w:val="9"/>
          <w:sz w:val="31"/>
          <w:szCs w:val="31"/>
          <w:highlight w:val="none"/>
          <w14:textFill>
            <w14:solidFill>
              <w14:schemeClr w14:val="tx1"/>
            </w14:solidFill>
          </w14:textFill>
        </w:rPr>
        <w:t>第五十</w:t>
      </w:r>
      <w:r>
        <w:rPr>
          <w:rFonts w:hint="eastAsia" w:ascii="楷体" w:hAnsi="楷体" w:eastAsia="楷体" w:cs="楷体"/>
          <w:b/>
          <w:bCs/>
          <w:color w:val="000000" w:themeColor="text1"/>
          <w:spacing w:val="9"/>
          <w:sz w:val="31"/>
          <w:szCs w:val="31"/>
          <w:highlight w:val="none"/>
          <w:lang w:eastAsia="zh-CN"/>
          <w14:textFill>
            <w14:solidFill>
              <w14:schemeClr w14:val="tx1"/>
            </w14:solidFill>
          </w14:textFill>
        </w:rPr>
        <w:t>二</w:t>
      </w:r>
      <w:r>
        <w:rPr>
          <w:rFonts w:ascii="楷体" w:hAnsi="楷体" w:eastAsia="楷体" w:cs="楷体"/>
          <w:b/>
          <w:bCs/>
          <w:color w:val="000000" w:themeColor="text1"/>
          <w:spacing w:val="9"/>
          <w:sz w:val="31"/>
          <w:szCs w:val="31"/>
          <w:highlight w:val="none"/>
          <w14:textFill>
            <w14:solidFill>
              <w14:schemeClr w14:val="tx1"/>
            </w14:solidFill>
          </w14:textFill>
        </w:rPr>
        <w:t>条</w:t>
      </w:r>
      <w:r>
        <w:rPr>
          <w:rFonts w:hint="eastAsia" w:ascii="楷体" w:hAnsi="楷体" w:eastAsia="楷体" w:cs="楷体"/>
          <w:color w:val="000000" w:themeColor="text1"/>
          <w:spacing w:val="-1"/>
          <w:sz w:val="32"/>
          <w:szCs w:val="32"/>
          <w:highlight w:val="none"/>
          <w:lang w:val="en-US" w:eastAsia="zh-CN"/>
          <w14:textFill>
            <w14:solidFill>
              <w14:schemeClr w14:val="tx1"/>
            </w14:solidFill>
          </w14:textFill>
        </w:rPr>
        <w:t xml:space="preserve">  </w:t>
      </w:r>
      <w:r>
        <w:rPr>
          <w:rFonts w:ascii="仿宋" w:hAnsi="仿宋" w:eastAsia="仿宋" w:cs="仿宋"/>
          <w:color w:val="000000" w:themeColor="text1"/>
          <w:spacing w:val="-1"/>
          <w:sz w:val="32"/>
          <w:szCs w:val="32"/>
          <w:highlight w:val="none"/>
          <w14:textFill>
            <w14:solidFill>
              <w14:schemeClr w14:val="tx1"/>
            </w14:solidFill>
          </w14:textFill>
        </w:rPr>
        <w:t>本办法所称</w:t>
      </w:r>
      <w:r>
        <w:rPr>
          <w:rFonts w:hint="eastAsia" w:ascii="仿宋" w:hAnsi="仿宋" w:eastAsia="仿宋" w:cs="仿宋"/>
          <w:color w:val="000000" w:themeColor="text1"/>
          <w:spacing w:val="-1"/>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1"/>
          <w:sz w:val="32"/>
          <w:szCs w:val="32"/>
          <w:highlight w:val="none"/>
          <w14:textFill>
            <w14:solidFill>
              <w14:schemeClr w14:val="tx1"/>
            </w14:solidFill>
          </w14:textFill>
        </w:rPr>
        <w:t>国有资产配置是指</w:t>
      </w:r>
      <w:r>
        <w:rPr>
          <w:rFonts w:hint="eastAsia" w:ascii="仿宋" w:hAnsi="仿宋" w:eastAsia="仿宋" w:cs="仿宋"/>
          <w:color w:val="000000" w:themeColor="text1"/>
          <w:spacing w:val="-1"/>
          <w:sz w:val="32"/>
          <w:szCs w:val="32"/>
          <w:highlight w:val="none"/>
          <w:u w:val="none"/>
          <w:lang w:eastAsia="zh-CN"/>
          <w14:textFill>
            <w14:solidFill>
              <w14:schemeClr w14:val="tx1"/>
            </w14:solidFill>
          </w14:textFill>
        </w:rPr>
        <w:t>行政事业单位</w:t>
      </w:r>
      <w:r>
        <w:rPr>
          <w:rFonts w:ascii="仿宋" w:hAnsi="仿宋" w:eastAsia="仿宋" w:cs="仿宋"/>
          <w:color w:val="000000" w:themeColor="text1"/>
          <w:spacing w:val="-6"/>
          <w:sz w:val="32"/>
          <w:szCs w:val="32"/>
          <w:highlight w:val="none"/>
          <w14:textFill>
            <w14:solidFill>
              <w14:schemeClr w14:val="tx1"/>
            </w14:solidFill>
          </w14:textFill>
        </w:rPr>
        <w:t>为保证履行职能和事业发展的需要，按照国家有关法律法规规</w:t>
      </w:r>
      <w:r>
        <w:rPr>
          <w:rFonts w:ascii="仿宋" w:hAnsi="仿宋" w:eastAsia="仿宋" w:cs="仿宋"/>
          <w:color w:val="000000" w:themeColor="text1"/>
          <w:spacing w:val="-1"/>
          <w:sz w:val="32"/>
          <w:szCs w:val="32"/>
          <w:highlight w:val="none"/>
          <w14:textFill>
            <w14:solidFill>
              <w14:schemeClr w14:val="tx1"/>
            </w14:solidFill>
          </w14:textFill>
        </w:rPr>
        <w:t>定的标准和程序，通过调剂、购置、建设、置换、租用</w:t>
      </w:r>
      <w:r>
        <w:rPr>
          <w:rFonts w:ascii="仿宋" w:hAnsi="仿宋" w:eastAsia="仿宋" w:cs="仿宋"/>
          <w:color w:val="000000" w:themeColor="text1"/>
          <w:spacing w:val="-2"/>
          <w:sz w:val="32"/>
          <w:szCs w:val="32"/>
          <w:highlight w:val="none"/>
          <w14:textFill>
            <w14:solidFill>
              <w14:schemeClr w14:val="tx1"/>
            </w14:solidFill>
          </w14:textFill>
        </w:rPr>
        <w:t>、借用、</w:t>
      </w:r>
      <w:r>
        <w:rPr>
          <w:rFonts w:ascii="仿宋" w:hAnsi="仿宋" w:eastAsia="仿宋" w:cs="仿宋"/>
          <w:color w:val="000000" w:themeColor="text1"/>
          <w:spacing w:val="-10"/>
          <w:sz w:val="32"/>
          <w:szCs w:val="32"/>
          <w:highlight w:val="none"/>
          <w14:textFill>
            <w14:solidFill>
              <w14:schemeClr w14:val="tx1"/>
            </w14:solidFill>
          </w14:textFill>
        </w:rPr>
        <w:t>接受捐赠等方式配置资产的行为。</w:t>
      </w:r>
    </w:p>
    <w:p w14:paraId="26D9924B">
      <w:pPr>
        <w:keepNext w:val="0"/>
        <w:keepLines w:val="0"/>
        <w:pageBreakBefore w:val="0"/>
        <w:widowControl/>
        <w:kinsoku w:val="0"/>
        <w:wordWrap/>
        <w:overflowPunct/>
        <w:topLinePunct w:val="0"/>
        <w:autoSpaceDE w:val="0"/>
        <w:autoSpaceDN w:val="0"/>
        <w:bidi w:val="0"/>
        <w:adjustRightInd w:val="0"/>
        <w:snapToGrid w:val="0"/>
        <w:spacing w:before="91" w:line="560" w:lineRule="exact"/>
        <w:ind w:firstLine="649"/>
        <w:jc w:val="both"/>
        <w:textAlignment w:val="baseline"/>
        <w:rPr>
          <w:rFonts w:ascii="仿宋" w:hAnsi="仿宋" w:eastAsia="仿宋" w:cs="仿宋"/>
          <w:color w:val="000000" w:themeColor="text1"/>
          <w:spacing w:val="16"/>
          <w:sz w:val="31"/>
          <w:szCs w:val="31"/>
          <w:highlight w:val="none"/>
          <w14:textFill>
            <w14:solidFill>
              <w14:schemeClr w14:val="tx1"/>
            </w14:solidFill>
          </w14:textFill>
        </w:rPr>
      </w:pPr>
      <w:r>
        <w:rPr>
          <w:rFonts w:ascii="仿宋" w:hAnsi="仿宋" w:eastAsia="仿宋" w:cs="仿宋"/>
          <w:color w:val="000000" w:themeColor="text1"/>
          <w:spacing w:val="3"/>
          <w:sz w:val="31"/>
          <w:szCs w:val="31"/>
          <w:highlight w:val="none"/>
          <w14:textFill>
            <w14:solidFill>
              <w14:schemeClr w14:val="tx1"/>
            </w14:solidFill>
          </w14:textFill>
        </w:rPr>
        <w:t>本办法所称办公设备设施与家具，具体包括计算机设备及软</w:t>
      </w:r>
      <w:r>
        <w:rPr>
          <w:rFonts w:ascii="仿宋" w:hAnsi="仿宋" w:eastAsia="仿宋" w:cs="仿宋"/>
          <w:color w:val="000000" w:themeColor="text1"/>
          <w:spacing w:val="16"/>
          <w:sz w:val="31"/>
          <w:szCs w:val="31"/>
          <w:highlight w:val="none"/>
          <w14:textFill>
            <w14:solidFill>
              <w14:schemeClr w14:val="tx1"/>
            </w14:solidFill>
          </w14:textFill>
        </w:rPr>
        <w:t>件、办公设备等通用设施设备以及办公区域的家具、用具、</w:t>
      </w:r>
    </w:p>
    <w:p w14:paraId="25BFFD6D">
      <w:pPr>
        <w:keepNext w:val="0"/>
        <w:keepLines w:val="0"/>
        <w:pageBreakBefore w:val="0"/>
        <w:widowControl/>
        <w:kinsoku w:val="0"/>
        <w:wordWrap/>
        <w:overflowPunct/>
        <w:topLinePunct w:val="0"/>
        <w:autoSpaceDE w:val="0"/>
        <w:autoSpaceDN w:val="0"/>
        <w:bidi w:val="0"/>
        <w:adjustRightInd w:val="0"/>
        <w:snapToGrid w:val="0"/>
        <w:spacing w:before="91" w:line="560" w:lineRule="exact"/>
        <w:jc w:val="both"/>
        <w:textAlignment w:val="baseline"/>
        <w:rPr>
          <w:rFonts w:ascii="仿宋" w:hAnsi="仿宋" w:eastAsia="仿宋" w:cs="仿宋"/>
          <w:color w:val="000000" w:themeColor="text1"/>
          <w:spacing w:val="-10"/>
          <w:sz w:val="32"/>
          <w:szCs w:val="32"/>
          <w:highlight w:val="none"/>
          <w14:textFill>
            <w14:solidFill>
              <w14:schemeClr w14:val="tx1"/>
            </w14:solidFill>
          </w14:textFill>
        </w:rPr>
      </w:pPr>
      <w:r>
        <w:rPr>
          <w:rFonts w:ascii="仿宋" w:hAnsi="仿宋" w:eastAsia="仿宋" w:cs="仿宋"/>
          <w:color w:val="000000" w:themeColor="text1"/>
          <w:spacing w:val="16"/>
          <w:sz w:val="31"/>
          <w:szCs w:val="31"/>
          <w:highlight w:val="none"/>
          <w14:textFill>
            <w14:solidFill>
              <w14:schemeClr w14:val="tx1"/>
            </w14:solidFill>
          </w14:textFill>
        </w:rPr>
        <w:t>装</w:t>
      </w:r>
      <w:r>
        <w:rPr>
          <w:rFonts w:ascii="仿宋" w:hAnsi="仿宋" w:eastAsia="仿宋" w:cs="仿宋"/>
          <w:color w:val="000000" w:themeColor="text1"/>
          <w:spacing w:val="-7"/>
          <w:sz w:val="31"/>
          <w:szCs w:val="31"/>
          <w:highlight w:val="none"/>
          <w14:textFill>
            <w14:solidFill>
              <w14:schemeClr w14:val="tx1"/>
            </w14:solidFill>
          </w14:textFill>
        </w:rPr>
        <w:t>具。</w:t>
      </w:r>
    </w:p>
    <w:p w14:paraId="0736C0F7">
      <w:pPr>
        <w:keepNext w:val="0"/>
        <w:keepLines w:val="0"/>
        <w:pageBreakBefore w:val="0"/>
        <w:widowControl/>
        <w:kinsoku w:val="0"/>
        <w:wordWrap/>
        <w:overflowPunct/>
        <w:topLinePunct w:val="0"/>
        <w:autoSpaceDE w:val="0"/>
        <w:autoSpaceDN w:val="0"/>
        <w:bidi w:val="0"/>
        <w:adjustRightInd w:val="0"/>
        <w:snapToGrid w:val="0"/>
        <w:spacing w:before="27" w:line="560" w:lineRule="exact"/>
        <w:ind w:left="19" w:right="38" w:firstLine="659"/>
        <w:jc w:val="both"/>
        <w:textAlignment w:val="baseline"/>
        <w:rPr>
          <w:rFonts w:ascii="仿宋" w:hAnsi="仿宋" w:eastAsia="仿宋" w:cs="仿宋"/>
          <w:color w:val="000000" w:themeColor="text1"/>
          <w:sz w:val="31"/>
          <w:szCs w:val="31"/>
          <w:highlight w:val="none"/>
          <w14:textFill>
            <w14:solidFill>
              <w14:schemeClr w14:val="tx1"/>
            </w14:solidFill>
          </w14:textFill>
        </w:rPr>
      </w:pPr>
      <w:r>
        <w:rPr>
          <w:rFonts w:ascii="仿宋" w:hAnsi="仿宋" w:eastAsia="仿宋" w:cs="仿宋"/>
          <w:color w:val="000000" w:themeColor="text1"/>
          <w:spacing w:val="4"/>
          <w:sz w:val="31"/>
          <w:szCs w:val="31"/>
          <w:highlight w:val="none"/>
          <w14:textFill>
            <w14:solidFill>
              <w14:schemeClr w14:val="tx1"/>
            </w14:solidFill>
          </w14:textFill>
        </w:rPr>
        <w:t>本办法所称专用设备，具体包括执法专用设备、科研实验设</w:t>
      </w:r>
      <w:r>
        <w:rPr>
          <w:rFonts w:ascii="仿宋" w:hAnsi="仿宋" w:eastAsia="仿宋" w:cs="仿宋"/>
          <w:color w:val="000000" w:themeColor="text1"/>
          <w:spacing w:val="-5"/>
          <w:sz w:val="31"/>
          <w:szCs w:val="31"/>
          <w:highlight w:val="none"/>
          <w14:textFill>
            <w14:solidFill>
              <w14:schemeClr w14:val="tx1"/>
            </w14:solidFill>
          </w14:textFill>
        </w:rPr>
        <w:t>备等设施设备。</w:t>
      </w:r>
    </w:p>
    <w:p w14:paraId="3F69AC74">
      <w:pPr>
        <w:keepNext w:val="0"/>
        <w:keepLines w:val="0"/>
        <w:pageBreakBefore w:val="0"/>
        <w:widowControl/>
        <w:kinsoku w:val="0"/>
        <w:wordWrap/>
        <w:overflowPunct/>
        <w:topLinePunct w:val="0"/>
        <w:autoSpaceDE w:val="0"/>
        <w:autoSpaceDN w:val="0"/>
        <w:bidi w:val="0"/>
        <w:adjustRightInd w:val="0"/>
        <w:snapToGrid w:val="0"/>
        <w:spacing w:line="560" w:lineRule="exact"/>
        <w:ind w:firstLine="654" w:firstLineChars="200"/>
        <w:jc w:val="both"/>
        <w:textAlignment w:val="baseline"/>
        <w:rPr>
          <w:rFonts w:hint="eastAsia" w:ascii="仿宋" w:hAnsi="仿宋" w:eastAsia="仿宋" w:cs="仿宋"/>
          <w:color w:val="000000" w:themeColor="text1"/>
          <w:sz w:val="32"/>
          <w:szCs w:val="32"/>
          <w:highlight w:val="none"/>
          <w:lang w:eastAsia="zh-CN"/>
          <w14:textFill>
            <w14:solidFill>
              <w14:schemeClr w14:val="tx1"/>
            </w14:solidFill>
          </w14:textFill>
        </w:rPr>
        <w:sectPr>
          <w:footerReference r:id="rId5" w:type="default"/>
          <w:pgSz w:w="11900" w:h="16840"/>
          <w:pgMar w:top="1431" w:right="1650" w:bottom="1725" w:left="1270" w:header="0" w:footer="1469" w:gutter="0"/>
          <w:cols w:space="720" w:num="1"/>
        </w:sectPr>
      </w:pPr>
      <w:r>
        <w:rPr>
          <w:rFonts w:ascii="楷体" w:hAnsi="楷体" w:eastAsia="楷体" w:cs="楷体"/>
          <w:b/>
          <w:bCs/>
          <w:color w:val="000000" w:themeColor="text1"/>
          <w:spacing w:val="8"/>
          <w:sz w:val="31"/>
          <w:szCs w:val="31"/>
          <w:highlight w:val="none"/>
          <w14:textFill>
            <w14:solidFill>
              <w14:schemeClr w14:val="tx1"/>
            </w14:solidFill>
          </w14:textFill>
        </w:rPr>
        <w:t>第</w:t>
      </w:r>
      <w:r>
        <w:rPr>
          <w:rFonts w:hint="eastAsia" w:ascii="楷体" w:hAnsi="楷体" w:eastAsia="楷体" w:cs="楷体"/>
          <w:b/>
          <w:bCs/>
          <w:color w:val="000000" w:themeColor="text1"/>
          <w:spacing w:val="8"/>
          <w:sz w:val="31"/>
          <w:szCs w:val="31"/>
          <w:highlight w:val="none"/>
          <w:lang w:eastAsia="zh-CN"/>
          <w14:textFill>
            <w14:solidFill>
              <w14:schemeClr w14:val="tx1"/>
            </w14:solidFill>
          </w14:textFill>
        </w:rPr>
        <w:t>五十三</w:t>
      </w:r>
      <w:r>
        <w:rPr>
          <w:rFonts w:ascii="楷体" w:hAnsi="楷体" w:eastAsia="楷体" w:cs="楷体"/>
          <w:b/>
          <w:bCs/>
          <w:color w:val="000000" w:themeColor="text1"/>
          <w:spacing w:val="8"/>
          <w:sz w:val="31"/>
          <w:szCs w:val="31"/>
          <w:highlight w:val="none"/>
          <w14:textFill>
            <w14:solidFill>
              <w14:schemeClr w14:val="tx1"/>
            </w14:solidFill>
          </w14:textFill>
        </w:rPr>
        <w:t>条</w:t>
      </w:r>
      <w:r>
        <w:rPr>
          <w:rFonts w:hint="eastAsia" w:ascii="楷体" w:hAnsi="楷体" w:eastAsia="楷体" w:cs="楷体"/>
          <w:b/>
          <w:bCs/>
          <w:color w:val="000000" w:themeColor="text1"/>
          <w:spacing w:val="8"/>
          <w:sz w:val="31"/>
          <w:szCs w:val="31"/>
          <w:highlight w:val="none"/>
          <w:lang w:val="en-US" w:eastAsia="zh-CN"/>
          <w14:textFill>
            <w14:solidFill>
              <w14:schemeClr w14:val="tx1"/>
            </w14:solidFill>
          </w14:textFill>
        </w:rPr>
        <w:t xml:space="preserve">  </w:t>
      </w:r>
      <w:r>
        <w:rPr>
          <w:rFonts w:ascii="仿宋" w:hAnsi="仿宋" w:eastAsia="仿宋" w:cs="仿宋"/>
          <w:color w:val="000000" w:themeColor="text1"/>
          <w:spacing w:val="8"/>
          <w:sz w:val="31"/>
          <w:szCs w:val="31"/>
          <w:highlight w:val="none"/>
          <w14:textFill>
            <w14:solidFill>
              <w14:schemeClr w14:val="tx1"/>
            </w14:solidFill>
          </w14:textFill>
        </w:rPr>
        <w:t>本办法自</w:t>
      </w:r>
      <w:r>
        <w:rPr>
          <w:rFonts w:hint="eastAsia" w:ascii="仿宋" w:hAnsi="仿宋" w:eastAsia="仿宋" w:cs="仿宋"/>
          <w:color w:val="000000" w:themeColor="text1"/>
          <w:spacing w:val="8"/>
          <w:sz w:val="31"/>
          <w:szCs w:val="31"/>
          <w:highlight w:val="none"/>
          <w:lang w:val="en-US" w:eastAsia="zh-CN"/>
          <w14:textFill>
            <w14:solidFill>
              <w14:schemeClr w14:val="tx1"/>
            </w14:solidFill>
          </w14:textFill>
        </w:rPr>
        <w:t>(</w:t>
      </w:r>
      <w:r>
        <w:rPr>
          <w:rFonts w:ascii="仿宋" w:hAnsi="仿宋" w:eastAsia="仿宋" w:cs="仿宋"/>
          <w:color w:val="000000" w:themeColor="text1"/>
          <w:spacing w:val="8"/>
          <w:sz w:val="31"/>
          <w:szCs w:val="31"/>
          <w:highlight w:val="none"/>
          <w14:textFill>
            <w14:solidFill>
              <w14:schemeClr w14:val="tx1"/>
            </w14:solidFill>
          </w14:textFill>
        </w:rPr>
        <w:t>公布之日起</w:t>
      </w:r>
      <w:r>
        <w:rPr>
          <w:rFonts w:hint="eastAsia" w:ascii="仿宋" w:hAnsi="仿宋" w:eastAsia="仿宋" w:cs="仿宋"/>
          <w:color w:val="000000" w:themeColor="text1"/>
          <w:spacing w:val="8"/>
          <w:sz w:val="31"/>
          <w:szCs w:val="31"/>
          <w:highlight w:val="none"/>
          <w:lang w:val="en-US" w:eastAsia="zh-CN"/>
          <w14:textFill>
            <w14:solidFill>
              <w14:schemeClr w14:val="tx1"/>
            </w14:solidFill>
          </w14:textFill>
        </w:rPr>
        <w:t>/</w:t>
      </w:r>
      <w:r>
        <w:rPr>
          <w:rFonts w:ascii="仿宋" w:hAnsi="仿宋" w:eastAsia="仿宋" w:cs="仿宋"/>
          <w:color w:val="000000" w:themeColor="text1"/>
          <w:spacing w:val="8"/>
          <w:sz w:val="31"/>
          <w:szCs w:val="31"/>
          <w:highlight w:val="none"/>
          <w14:textFill>
            <w14:solidFill>
              <w14:schemeClr w14:val="tx1"/>
            </w14:solidFill>
          </w14:textFill>
        </w:rPr>
        <w:t>公布之日起30日后</w:t>
      </w:r>
      <w:r>
        <w:rPr>
          <w:rFonts w:hint="eastAsia" w:ascii="仿宋" w:hAnsi="仿宋" w:eastAsia="仿宋" w:cs="仿宋"/>
          <w:color w:val="000000" w:themeColor="text1"/>
          <w:spacing w:val="8"/>
          <w:sz w:val="31"/>
          <w:szCs w:val="31"/>
          <w:highlight w:val="none"/>
          <w:lang w:val="en-US" w:eastAsia="zh-CN"/>
          <w14:textFill>
            <w14:solidFill>
              <w14:schemeClr w14:val="tx1"/>
            </w14:solidFill>
          </w14:textFill>
        </w:rPr>
        <w:t>)</w:t>
      </w:r>
      <w:r>
        <w:rPr>
          <w:rFonts w:ascii="仿宋" w:hAnsi="仿宋" w:eastAsia="仿宋" w:cs="仿宋"/>
          <w:color w:val="000000" w:themeColor="text1"/>
          <w:spacing w:val="8"/>
          <w:sz w:val="31"/>
          <w:szCs w:val="31"/>
          <w:highlight w:val="none"/>
          <w14:textFill>
            <w14:solidFill>
              <w14:schemeClr w14:val="tx1"/>
            </w14:solidFill>
          </w14:textFill>
        </w:rPr>
        <w:t>施</w:t>
      </w:r>
      <w:r>
        <w:rPr>
          <w:rFonts w:hint="eastAsia" w:ascii="仿宋" w:hAnsi="仿宋" w:eastAsia="仿宋" w:cs="仿宋"/>
          <w:color w:val="000000" w:themeColor="text1"/>
          <w:spacing w:val="8"/>
          <w:sz w:val="31"/>
          <w:szCs w:val="31"/>
          <w:highlight w:val="none"/>
          <w:lang w:eastAsia="zh-CN"/>
          <w14:textFill>
            <w14:solidFill>
              <w14:schemeClr w14:val="tx1"/>
            </w14:solidFill>
          </w14:textFill>
        </w:rPr>
        <w:t>行</w:t>
      </w:r>
      <w:bookmarkStart w:id="0" w:name="_GoBack"/>
      <w:bookmarkEnd w:id="0"/>
    </w:p>
    <w:p w14:paraId="57D4B132">
      <w:pPr>
        <w:bidi w:val="0"/>
        <w:jc w:val="both"/>
        <w:rPr>
          <w:color w:val="000000" w:themeColor="text1"/>
          <w:highlight w:val="none"/>
          <w:lang w:val="en-US" w:eastAsia="en-US"/>
          <w14:textFill>
            <w14:solidFill>
              <w14:schemeClr w14:val="tx1"/>
            </w14:solidFill>
          </w14:textFill>
        </w:rPr>
      </w:pPr>
    </w:p>
    <w:sectPr>
      <w:headerReference r:id="rId6" w:type="default"/>
      <w:footerReference r:id="rId7" w:type="default"/>
      <w:pgSz w:w="11900" w:h="16840"/>
      <w:pgMar w:top="1431" w:right="1619" w:bottom="1707" w:left="1390" w:header="0" w:footer="139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3DDD4">
    <w:pPr>
      <w:spacing w:line="0" w:lineRule="exact"/>
      <w:ind w:left="519"/>
    </w:pPr>
    <w:r>
      <w:drawing>
        <wp:inline distT="0" distB="0" distL="0" distR="0">
          <wp:extent cx="196215" cy="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
                  <a:stretch>
                    <a:fillRect/>
                  </a:stretch>
                </pic:blipFill>
                <pic:spPr>
                  <a:xfrm>
                    <a:off x="0" y="0"/>
                    <a:ext cx="196846" cy="66"/>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B2C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0F2D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NzIxM2E1ZjY4MTg1Zjc0OWM5MjcyOGI5MGU2YjAifQ=="/>
  </w:docVars>
  <w:rsids>
    <w:rsidRoot w:val="00000000"/>
    <w:rsid w:val="09B56A64"/>
    <w:rsid w:val="0F830EEF"/>
    <w:rsid w:val="0FED5CC5"/>
    <w:rsid w:val="1C16613D"/>
    <w:rsid w:val="222D4AD8"/>
    <w:rsid w:val="3B032B60"/>
    <w:rsid w:val="462141AE"/>
    <w:rsid w:val="52803032"/>
    <w:rsid w:val="53294391"/>
    <w:rsid w:val="5BA6049C"/>
    <w:rsid w:val="5E170D70"/>
    <w:rsid w:val="657C38DD"/>
    <w:rsid w:val="679A2E15"/>
    <w:rsid w:val="7A1C5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7467</Words>
  <Characters>7484</Characters>
  <Lines>0</Lines>
  <Paragraphs>0</Paragraphs>
  <TotalTime>1120</TotalTime>
  <ScaleCrop>false</ScaleCrop>
  <LinksUpToDate>false</LinksUpToDate>
  <CharactersWithSpaces>7606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2024-10-09T02:32:00Z</dcterms:created>
  <dc:creator>Administrator</dc:creator>
  <cp:lastModifiedBy>cecily</cp:lastModifiedBy>
  <cp:lastPrinted>2024-10-10T03:07:00Z</cp:lastPrinted>
  <dcterms:modified xsi:type="dcterms:W3CDTF">2025-10-17T07:22:27Z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CA1B499AD86D45C999AD40652B3333B2_13</vt:lpwstr>
  </property>
  <property fmtid="{D5CDD505-2E9C-101B-9397-08002B2CF9AE}" pid="4" name="KSOTemplateDocerSaveRecord">
    <vt:lpwstr>eyJoZGlkIjoiNmY0MjhjMzAzNTUxZmU1MmEwY2I2YzljZjg4MjAzMTgiLCJ1c2VySWQiOiIyODI5NzQxMTIifQ==</vt:lpwstr>
  </property>
</Properties>
</file>