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2C92">
      <w:pPr>
        <w:pStyle w:val="2"/>
        <w:jc w:val="left"/>
        <w:rPr>
          <w:rFonts w:ascii="方正公文小标宋" w:eastAsia="方正公文小标宋"/>
          <w:b w:val="0"/>
          <w:sz w:val="84"/>
          <w:szCs w:val="84"/>
          <w:lang w:eastAsia="zh-CN"/>
        </w:rPr>
      </w:pPr>
    </w:p>
    <w:p w14:paraId="00DBB313">
      <w:pPr>
        <w:pStyle w:val="2"/>
        <w:jc w:val="left"/>
        <w:rPr>
          <w:rFonts w:ascii="方正公文小标宋" w:eastAsia="方正公文小标宋"/>
          <w:b w:val="0"/>
          <w:sz w:val="84"/>
          <w:szCs w:val="84"/>
          <w:lang w:eastAsia="zh-CN"/>
        </w:rPr>
      </w:pPr>
    </w:p>
    <w:p w14:paraId="46F80DD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湖南省株洲市炎陵县水口镇履行</w:t>
      </w:r>
    </w:p>
    <w:p w14:paraId="78F76C3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32B126FF">
      <w:pPr>
        <w:rPr>
          <w:rFonts w:ascii="方正公文小标宋" w:eastAsia="方正公文小标宋"/>
          <w:sz w:val="84"/>
          <w:szCs w:val="84"/>
          <w:lang w:eastAsia="zh-CN"/>
        </w:rPr>
      </w:pPr>
    </w:p>
    <w:p w14:paraId="5E90CDF1">
      <w:pPr>
        <w:rPr>
          <w:rFonts w:ascii="方正公文小标宋" w:eastAsia="方正公文小标宋"/>
          <w:sz w:val="84"/>
          <w:szCs w:val="84"/>
          <w:lang w:eastAsia="zh-CN"/>
        </w:rPr>
      </w:pPr>
    </w:p>
    <w:p w14:paraId="6C82EEEA">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7"/>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6</w:t>
          </w:r>
        </w:p>
        <w:p w14:paraId="56D8B367">
          <w:pPr>
            <w:pStyle w:val="7"/>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281DD40F">
          <w:pPr>
            <w:pStyle w:val="2"/>
            <w:jc w:val="both"/>
            <w:rPr>
              <w:rFonts w:ascii="Arial" w:hAnsi="Arial" w:eastAsia="Arial" w:cs="Arial"/>
              <w:b/>
              <w:snapToGrid w:val="0"/>
              <w:color w:val="000000"/>
              <w:kern w:val="0"/>
              <w:sz w:val="32"/>
              <w:szCs w:val="21"/>
              <w:lang w:val="en-US" w:eastAsia="zh-CN" w:bidi="ar-SA"/>
            </w:rPr>
          </w:pPr>
          <w:r>
            <w:rPr>
              <w:lang w:eastAsia="zh-CN"/>
            </w:rPr>
            <w:fldChar w:fldCharType="end"/>
          </w:r>
        </w:p>
      </w:sdtContent>
    </w:sdt>
    <w:sdt>
      <w:sdtPr>
        <w:rPr>
          <w:rFonts w:ascii="宋体" w:hAnsi="宋体" w:eastAsia="宋体" w:cs="Arial"/>
          <w:snapToGrid w:val="0"/>
          <w:color w:val="000000"/>
          <w:kern w:val="0"/>
          <w:sz w:val="21"/>
          <w:szCs w:val="21"/>
          <w:lang w:val="en-US" w:eastAsia="en-US" w:bidi="ar-SA"/>
        </w:rPr>
        <w:id w:val="147474938"/>
        <w:showingPlcHdr/>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6719D2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eastAsia" w:ascii="宋体" w:hAnsi="宋体" w:eastAsia="宋体" w:cs="Arial"/>
              <w:snapToGrid w:val="0"/>
              <w:color w:val="000000"/>
              <w:kern w:val="0"/>
              <w:sz w:val="21"/>
              <w:szCs w:val="21"/>
              <w:lang w:val="en-US" w:eastAsia="zh-CN" w:bidi="ar-SA"/>
            </w:rPr>
            <w:t xml:space="preserve">     </w:t>
          </w:r>
        </w:p>
      </w:sdtContent>
    </w:sdt>
    <w:p w14:paraId="5A9A2AA8">
      <w:pPr>
        <w:rPr>
          <w:lang w:eastAsia="zh-CN"/>
        </w:rPr>
      </w:pPr>
    </w:p>
    <w:p w14:paraId="4DC31C1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F4D55E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6466"/>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BE958B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9EB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C5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9FA35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36E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29F42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6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7E0F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4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0ECC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4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1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40736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3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06D5D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B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49BF9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3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开展政治监督，保障重大决策部署落地见效，开展日常监督和专项监督，推动纪检监察工作向村延伸，指导村纪检组织和村（居）务监督机构的工作。</w:t>
            </w:r>
          </w:p>
        </w:tc>
      </w:tr>
      <w:tr w14:paraId="230D1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745EF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6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79FEE4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5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641D7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组织镇党委、纪委换届，落实党代表任期制，推进党代表工作室建设，开展党代表联络服务工作，收集党代表意见建议。</w:t>
            </w:r>
          </w:p>
        </w:tc>
      </w:tr>
      <w:tr w14:paraId="09A71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8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w:t>
            </w:r>
          </w:p>
        </w:tc>
      </w:tr>
      <w:tr w14:paraId="07408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8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指导村（居）民委员会实行民主管理和民主监督，组织村（居）民委员会换届选举、补选，建立健全村（居）民自治组织。</w:t>
            </w:r>
          </w:p>
        </w:tc>
      </w:tr>
      <w:tr w14:paraId="5A0A5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加强党员队伍建设，负责党员发展、教育、管理、监督和服务，依规稳妥处置不合格党员，落实好“三会一课”、组织生活会、民主评议党员、主题党日等党的组织生活制度，做好党内统计数据汇总、更新。</w:t>
            </w:r>
          </w:p>
        </w:tc>
      </w:tr>
      <w:tr w14:paraId="66C4D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E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按照干部管理权限，加强镇干部和村“两委”成员的教育、培训、考核、管理和监督，做好村后备力量的培养工作。</w:t>
            </w:r>
          </w:p>
        </w:tc>
      </w:tr>
      <w:tr w14:paraId="16AFD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9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负责离退休干部和离任村干部教育管理、服务保障工作，做好在职干部和离退休干部抚恤金、遗属补助的申报。</w:t>
            </w:r>
          </w:p>
        </w:tc>
      </w:tr>
      <w:tr w14:paraId="5F722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C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5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72061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5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39324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1A7F5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E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64023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 “三长制”工作，推动村（居）民代表联系服务群众。</w:t>
            </w:r>
          </w:p>
        </w:tc>
      </w:tr>
      <w:tr w14:paraId="49D15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6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0597F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E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59A82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53FD2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6451F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C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51E18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2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2BC80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3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3E41C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B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6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2D0B39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9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7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79C07C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FF2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42D07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制定和实施镇域经济产业发展规划，推动一、二、三产业融合发展，优化产业结构，打造经济强镇。</w:t>
            </w:r>
          </w:p>
        </w:tc>
      </w:tr>
      <w:tr w14:paraId="006A0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2CEE8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3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制定年度项目计划，做好政府投资类项目的实施与管理工作；负责镇、村级建设项目的申报、立项、招投标、工程监管、竣工验收及决算等工作。</w:t>
            </w:r>
          </w:p>
        </w:tc>
      </w:tr>
      <w:tr w14:paraId="3485E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1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1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3897E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0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F06B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C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优化营商环境，开展助企纾困政策宣传，协调解决企业面临的水、电、路、网、气、地等方面的问题，调处涉企矛盾纠纷，积极开展代办事务，帮助对接市场，服务企业发展和项目建设。</w:t>
            </w:r>
          </w:p>
        </w:tc>
      </w:tr>
      <w:tr w14:paraId="4C6F4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4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5A277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D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29D25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7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3BC43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7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33707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5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54C6E7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A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2FBD3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4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依托一体化政务服务平台，推动基层便民服务“高效办成一件事”，指导村为群众提供“一门式”便民服务。</w:t>
            </w:r>
          </w:p>
        </w:tc>
      </w:tr>
      <w:tr w14:paraId="55FB14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29E00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3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75CAFD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5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C07B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4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4097B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9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59F923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4D908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712B4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5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9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566FE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858A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4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F31CB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F6E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36733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0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落实粮食安全党政同责，加强粮食安全宣传教育，稳定粮油播种面积，做好粮油生产宣传动员、种粮大户培育和目标任务（双季稻、一季稻、油菜、旱粮）落实工作。</w:t>
            </w:r>
          </w:p>
        </w:tc>
      </w:tr>
      <w:tr w14:paraId="057D7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3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落实河长制工作，开展日常巡护、宣传引导，及时上报涉河问题和线索。</w:t>
            </w:r>
          </w:p>
        </w:tc>
      </w:tr>
      <w:tr w14:paraId="11AD5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45FDF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8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74614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C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7D42A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58C65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F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43048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2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3B510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36A77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F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2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6EE99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5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77753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E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3F2FF0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A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7B3B7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0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53CDE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27165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8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12837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5A4F70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做好黄桃、柰李、土豆、富硒大米等特色农业产业发展工作。</w:t>
            </w:r>
          </w:p>
        </w:tc>
      </w:tr>
      <w:tr w14:paraId="7E65D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C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3C7EB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6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36031F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FD2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335A1A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A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1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2B65B8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加强乡风文明建设，指导村规民约（居民公约）的制定和修订，推进农村移风易俗工作。</w:t>
            </w:r>
          </w:p>
        </w:tc>
      </w:tr>
      <w:tr w14:paraId="18796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4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做好农家书屋管理工作，打造水西“护苗”特色农家书屋。</w:t>
            </w:r>
          </w:p>
        </w:tc>
      </w:tr>
      <w:tr w14:paraId="4C50D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D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757D67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74F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1234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E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0855D5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BB6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5EB86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65B0F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0FC8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通过入户走访，建立就业困难人员台账，开展就业创业政策宣传，引导申请创业就业补贴；针对就业困难人员引导申报公益性岗位，如护林员等。</w:t>
            </w:r>
          </w:p>
        </w:tc>
      </w:tr>
      <w:tr w14:paraId="7E177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93B5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31F92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6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4A3271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CCD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九、自然资源（4项）</w:t>
            </w:r>
          </w:p>
        </w:tc>
      </w:tr>
      <w:tr w14:paraId="4D0CD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落实耕地保护责任，开展耕地保护、田长制政策宣传和日常巡查，发现问题及时制止、上报。</w:t>
            </w:r>
          </w:p>
        </w:tc>
      </w:tr>
      <w:tr w14:paraId="5E424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E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9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5A9F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0C087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2430D9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E3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6C988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1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50CA96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5A0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0C59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开展集镇市场管理工作，做好黄桃销售时期、“二五八逢墟”赶集日水口墟场的执勤劝导和卫生监督。</w:t>
            </w:r>
          </w:p>
        </w:tc>
      </w:tr>
      <w:tr w14:paraId="57F79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1AAAF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6B77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9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开展“四类房”（违建房、危旧房、空心房、偏杂房）的摸排、巡查，及时处置安全隐患，实施分类整治。</w:t>
            </w:r>
          </w:p>
        </w:tc>
      </w:tr>
      <w:tr w14:paraId="3405A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49E397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9C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30870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B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63D8BA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F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1DF070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3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1D5691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59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ED64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1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3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负责叶家祠、朱家祠、桥头江家等文保单位日常巡逻和卫生保洁，做好接待讲解工作。</w:t>
            </w:r>
          </w:p>
        </w:tc>
      </w:tr>
      <w:tr w14:paraId="1107B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推进红色文旅融合和产业发展，整合开发镇域红色资源，打造“支部建在连上”红色旅游品牌。</w:t>
            </w:r>
          </w:p>
        </w:tc>
      </w:tr>
      <w:tr w14:paraId="71EBF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1D0FF3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开展炎帝陵风景名胜区规划范围内建设项目、村民建房审批及政策宣传解释工作。</w:t>
            </w:r>
          </w:p>
        </w:tc>
      </w:tr>
      <w:tr w14:paraId="4C4341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AA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BBDC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1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A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00F9F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40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177F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8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59DD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0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3257C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5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79C51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1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按照乡镇综合应急预案，开展消防演练，做好消防安全知识宣传，指导、支持村开展群众性的消防工作。</w:t>
            </w:r>
          </w:p>
        </w:tc>
      </w:tr>
      <w:tr w14:paraId="7DBEF9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963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十六、人民武装（4项）</w:t>
            </w:r>
          </w:p>
        </w:tc>
      </w:tr>
      <w:tr w14:paraId="0CFA9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1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2DF83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8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208EA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35A63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66570F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57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43F7FD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1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1DDEB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D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负责机要保密、档案管理、印章管理、史志编撰等工作。</w:t>
            </w:r>
          </w:p>
        </w:tc>
      </w:tr>
      <w:tr w14:paraId="017F6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4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6AF12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F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5E7E7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E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1ED5E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开展新媒体运营，办好“水口是个好地方”微信公众号、视频号。</w:t>
            </w:r>
          </w:p>
        </w:tc>
      </w:tr>
      <w:tr w14:paraId="3B3F8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D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5D72F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21D90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2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2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负责镇级会计账务处理，收支业务处理，预决算管理，财政档案及票据管理。</w:t>
            </w:r>
          </w:p>
        </w:tc>
      </w:tr>
      <w:tr w14:paraId="4CBF1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5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2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3046C7F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437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304932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BB0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14D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14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37E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FF0">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05CD1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8A3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38E64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6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6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499E6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9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8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32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14836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A29C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493EC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B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6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3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2C29D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E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4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4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负责非县管干部护照、港澳台通行证的管理及因私出国（境）审批工作。</w:t>
            </w:r>
          </w:p>
        </w:tc>
      </w:tr>
      <w:tr w14:paraId="148A6F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8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3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E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71548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0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C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1.按规定发放在职村干部基本报酬、正常离任村干部生活补贴、在任村（社区）主职基本养老保险补贴；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A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2F79F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7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B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w:t>
            </w:r>
            <w:r>
              <w:rPr>
                <w:rFonts w:hint="eastAsia" w:ascii="Times New Roman" w:hAnsi="方正公文仿宋" w:eastAsia="方正公文仿宋"/>
                <w:spacing w:val="-11"/>
                <w:kern w:val="0"/>
                <w:sz w:val="21"/>
                <w:szCs w:val="21"/>
                <w:lang w:bidi="ar"/>
              </w:rPr>
              <w:t>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3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8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7284342C">
        <w:tblPrEx>
          <w:tblCellMar>
            <w:top w:w="0" w:type="dxa"/>
            <w:left w:w="108" w:type="dxa"/>
            <w:bottom w:w="0" w:type="dxa"/>
            <w:right w:w="108" w:type="dxa"/>
          </w:tblCellMar>
        </w:tblPrEx>
        <w:trPr>
          <w:cantSplit/>
          <w:trHeight w:val="34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0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0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C9484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D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378A807F">
        <w:tblPrEx>
          <w:tblCellMar>
            <w:top w:w="0" w:type="dxa"/>
            <w:left w:w="108" w:type="dxa"/>
            <w:bottom w:w="0" w:type="dxa"/>
            <w:right w:w="108" w:type="dxa"/>
          </w:tblCellMar>
        </w:tblPrEx>
        <w:trPr>
          <w:cantSplit/>
          <w:trHeight w:val="25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5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7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0D5A06CE">
        <w:tblPrEx>
          <w:tblCellMar>
            <w:top w:w="0" w:type="dxa"/>
            <w:left w:w="108" w:type="dxa"/>
            <w:bottom w:w="0" w:type="dxa"/>
            <w:right w:w="108" w:type="dxa"/>
          </w:tblCellMar>
        </w:tblPrEx>
        <w:trPr>
          <w:cantSplit/>
          <w:trHeight w:val="20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6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93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
</w:t>
            </w:r>
          </w:p>
          <w:p w14:paraId="22FE3F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
</w:t>
            </w:r>
          </w:p>
          <w:p w14:paraId="23693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C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统筹协调、组织实施对镇党委和村党组织的巡察监督和整改督导</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740013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BE4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F6D88B6">
        <w:tblPrEx>
          <w:tblCellMar>
            <w:top w:w="0" w:type="dxa"/>
            <w:left w:w="108" w:type="dxa"/>
            <w:bottom w:w="0" w:type="dxa"/>
            <w:right w:w="108" w:type="dxa"/>
          </w:tblCellMar>
        </w:tblPrEx>
        <w:trPr>
          <w:cantSplit/>
          <w:trHeight w:val="78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3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3F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5CCE9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53E6AC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90E8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8F12A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485F3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70140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7B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w:t>
            </w:r>
            <w:r>
              <w:rPr>
                <w:rFonts w:hint="eastAsia" w:ascii="Times New Roman" w:hAnsi="方正公文仿宋" w:eastAsia="方正公文仿宋"/>
                <w:spacing w:val="-6"/>
                <w:kern w:val="0"/>
                <w:sz w:val="21"/>
                <w:szCs w:val="21"/>
                <w:lang w:bidi="ar"/>
              </w:rPr>
              <w:t>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60338D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5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1.发放统计执法监督检查通知及其他法律文书；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42EE9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0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D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2.征收管理辖区内各项税收、社会保险费和有关非税收入征收管理。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334EBF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E51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5110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1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4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A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7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2A81F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3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7F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76A24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8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8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0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50215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B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D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436A0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C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5725B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8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1D26A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3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1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117C8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C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0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D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                                                         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45C6AF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3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B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B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2624B4F5">
        <w:tblPrEx>
          <w:tblCellMar>
            <w:top w:w="0" w:type="dxa"/>
            <w:left w:w="108" w:type="dxa"/>
            <w:bottom w:w="0" w:type="dxa"/>
            <w:right w:w="108" w:type="dxa"/>
          </w:tblCellMar>
        </w:tblPrEx>
        <w:trPr>
          <w:cantSplit/>
          <w:trHeight w:val="39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6B5F3C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A18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32B4505">
        <w:tblPrEx>
          <w:tblCellMar>
            <w:top w:w="0" w:type="dxa"/>
            <w:left w:w="108" w:type="dxa"/>
            <w:bottom w:w="0" w:type="dxa"/>
            <w:right w:w="108" w:type="dxa"/>
          </w:tblCellMar>
        </w:tblPrEx>
        <w:trPr>
          <w:cantSplit/>
          <w:trHeight w:val="35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5E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02E6C4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14:paraId="629D61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CF032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75A33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6AB83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386D6198">
        <w:tblPrEx>
          <w:tblCellMar>
            <w:top w:w="0" w:type="dxa"/>
            <w:left w:w="108" w:type="dxa"/>
            <w:bottom w:w="0" w:type="dxa"/>
            <w:right w:w="108" w:type="dxa"/>
          </w:tblCellMar>
        </w:tblPrEx>
        <w:trPr>
          <w:cantSplit/>
          <w:trHeight w:val="54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D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F5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020DF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404D4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
</w:t>
            </w:r>
          </w:p>
          <w:p w14:paraId="627E52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14:paraId="5D551C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A25F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0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4FC7FAC5">
        <w:tblPrEx>
          <w:tblCellMar>
            <w:top w:w="0" w:type="dxa"/>
            <w:left w:w="108" w:type="dxa"/>
            <w:bottom w:w="0" w:type="dxa"/>
            <w:right w:w="108" w:type="dxa"/>
          </w:tblCellMar>
        </w:tblPrEx>
        <w:trPr>
          <w:cantSplit/>
          <w:trHeight w:val="225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1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7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5EF6C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F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4B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   
县委宣传部   
县委政法委 
</w:t>
            </w:r>
          </w:p>
          <w:p w14:paraId="293DA7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43D3B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F3010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19845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14:paraId="343394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1E1E6A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团县委 
</w:t>
            </w:r>
          </w:p>
          <w:p w14:paraId="3FFFC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ACF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36" w:lineRule="exact"/>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2.参加学生溺水事故救援并组织指导现场处理。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553ED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6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9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县政府办公室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1.打击处理种植罂粟、大麻的对象和行为；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2.摸排上报种植罂粟、大麻的信息线索；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29DF7D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CB6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74C14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D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1.做好农民大学生培养计划组织实施和协调工作，及时传达上级最新的政策精神和具体要求；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75AB5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F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6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680E5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1416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47CB5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1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4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F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126FB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B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40644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5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3E809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6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7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5AF77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A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3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F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0B507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
</w:t>
            </w:r>
          </w:p>
          <w:p w14:paraId="3AF4B2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6D19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00616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1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E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D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20BA8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D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6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开展“雨露计划”、金秋助学、脱贫人口和监测对象应急救助等补贴发放工作。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9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36FC5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1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6B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77C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A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3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44FAE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2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190ED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A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E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14BEB0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D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650B8A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B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F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33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22D717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A666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18EB66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2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2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61069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E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2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D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639A9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8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B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7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6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7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配合开展动物疫病的信息采集、监测、检测、诊断、流行病学调查、疫情报告及其他预防、控制、净化、消灭等工作。</w:t>
            </w:r>
          </w:p>
        </w:tc>
      </w:tr>
      <w:tr w14:paraId="703A4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7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D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78BFE3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14:paraId="7D0AB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A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C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1ACDC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6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4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E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1A227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D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E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5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A8F7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A6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0C43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6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6ECF7E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1D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05DC5A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1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1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7FE9B4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EE8C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负责农业农村方面及“非粮化”违法图斑的整改。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583EE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2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12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00C3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56F0C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0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8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9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33AAC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3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1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0C87A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2F9793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0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6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08569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9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7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3B9827C0">
        <w:tblPrEx>
          <w:tblCellMar>
            <w:top w:w="0" w:type="dxa"/>
            <w:left w:w="108" w:type="dxa"/>
            <w:bottom w:w="0" w:type="dxa"/>
            <w:right w:w="108" w:type="dxa"/>
          </w:tblCellMar>
        </w:tblPrEx>
        <w:trPr>
          <w:cantSplit/>
          <w:trHeight w:val="48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C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做好小水电站生态放流管理工作。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1.负责各乡镇小水电站的安全生产检查；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2.负责小水电站生态流量监测监控工作的督导；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3.负责小水电站生态流量泄放设施和监测监控设施正常运行的监管；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4.负责对小水电站生态放流情况的日常远程监控；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5.开展监督执法，对生态放流不合格的水电站进行处罚。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1.配合相关部门加强对小水电站落实生态放流的监管；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2.督促小水电项目依法依规办理环评审批手续。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1.配合开展小水电站生态放流环保督察工作；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2.配合开展小水电站安全生产检查。</w:t>
            </w:r>
          </w:p>
        </w:tc>
      </w:tr>
      <w:tr w14:paraId="1B497658">
        <w:tblPrEx>
          <w:tblCellMar>
            <w:top w:w="0" w:type="dxa"/>
            <w:left w:w="108" w:type="dxa"/>
            <w:bottom w:w="0" w:type="dxa"/>
            <w:right w:w="108" w:type="dxa"/>
          </w:tblCellMar>
        </w:tblPrEx>
        <w:trPr>
          <w:cantSplit/>
          <w:trHeight w:val="33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F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E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8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185544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0D7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59B7FF4A">
        <w:tblPrEx>
          <w:tblCellMar>
            <w:top w:w="0" w:type="dxa"/>
            <w:left w:w="108" w:type="dxa"/>
            <w:bottom w:w="0" w:type="dxa"/>
            <w:right w:w="108" w:type="dxa"/>
          </w:tblCellMar>
        </w:tblPrEx>
        <w:trPr>
          <w:cantSplit/>
          <w:trHeight w:val="78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6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C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C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AB97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3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16609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F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342">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市生态环境局炎陵分局（牵头）</w:t>
            </w:r>
          </w:p>
          <w:p w14:paraId="53E9596F">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县发展和改革局</w:t>
            </w:r>
          </w:p>
          <w:p w14:paraId="204593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7CA21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85D28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34361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6F44A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99D86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C4819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1459D0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E4539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2F91FA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29EE3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5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开展汽修行业挥发性有机化合物的治理。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C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2.开展大气污染防治日常巡查，及时制止、处置巡查中发现的秸秆焚烧、烟花爆竹燃放等污染环境和破坏生态环境的行为，对处置不了的及时上报；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61F5D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F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BB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
县水利局
</w:t>
            </w:r>
          </w:p>
          <w:p w14:paraId="6BFA5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0628783F">
        <w:tblPrEx>
          <w:tblCellMar>
            <w:top w:w="0" w:type="dxa"/>
            <w:left w:w="108" w:type="dxa"/>
            <w:bottom w:w="0" w:type="dxa"/>
            <w:right w:w="108" w:type="dxa"/>
          </w:tblCellMar>
        </w:tblPrEx>
        <w:trPr>
          <w:cantSplit/>
          <w:trHeight w:val="19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0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F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2CC7A2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C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3C051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211058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8BB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22178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C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9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4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4E4230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C070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7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72243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1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7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2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2.加强乡村建设工匠从业行为日常监督管理，对其在农村住房建设中的不良从业行为及时劝阻，并及时上报。</w:t>
            </w:r>
          </w:p>
        </w:tc>
      </w:tr>
      <w:tr w14:paraId="69714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B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1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F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3F5DC2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95CA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751700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F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E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48F63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1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6B963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6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B3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74C13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A63B7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68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w:t>
            </w:r>
            <w:r>
              <w:rPr>
                <w:rFonts w:hint="eastAsia" w:ascii="Times New Roman" w:hAnsi="方正公文仿宋" w:eastAsia="方正公文仿宋"/>
                <w:spacing w:val="-6"/>
                <w:kern w:val="0"/>
                <w:sz w:val="21"/>
                <w:szCs w:val="21"/>
                <w:lang w:bidi="ar"/>
              </w:rPr>
              <w:t>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w:t>
            </w:r>
            <w:r>
              <w:rPr>
                <w:rFonts w:hint="eastAsia" w:ascii="Times New Roman" w:hAnsi="方正公文仿宋" w:eastAsia="方正公文仿宋"/>
                <w:spacing w:val="-6"/>
                <w:kern w:val="0"/>
                <w:sz w:val="21"/>
                <w:szCs w:val="21"/>
                <w:lang w:bidi="ar"/>
              </w:rPr>
              <w:t>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9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3DCBD9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A15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79AF4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C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B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2A51FB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E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4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 xml:space="preserve">                                             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3D346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B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开展交通运输企业安全生产监督检查工作。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1.对交通运输企业进行资质审核；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2.确定交通运输企业的安全生产检查标准；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3.指导乡镇开展交通运输企业安全生产检查；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4.组织交通运输企业开展安全生产培训；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5.做好交通运输重点领域监督检查。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7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1.开展辖区机动车销售、维修企业全面排查，详细登记各企业信息，形成管理台账；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2.督促车辆维修企业落实安全生产制度，签订汽修、机修行业抵制非法改、拼装车辆承诺书；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3.开展邮政快递业安全生产检查，到各物流、快递企业走访、宣传、检查，填报检查情况登记表。</w:t>
            </w:r>
          </w:p>
        </w:tc>
      </w:tr>
      <w:tr w14:paraId="348187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0CF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十、文化和旅游（5项）</w:t>
            </w:r>
          </w:p>
        </w:tc>
      </w:tr>
      <w:tr w14:paraId="7C891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5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3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A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3ADEFB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9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2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7307B3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A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9E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县文化旅游广电体育局（牵头）
</w:t>
            </w:r>
          </w:p>
          <w:p w14:paraId="77C405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FA79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县文化旅游广电体育局、县应急管理局、县融媒体中心：</w:t>
            </w:r>
            <w:r>
              <w:rPr>
                <w:rFonts w:hint="eastAsia" w:ascii="Times New Roman" w:hAnsi="方正公文仿宋" w:eastAsia="方正公文仿宋"/>
                <w:kern w:val="0"/>
                <w:szCs w:val="21"/>
                <w:lang w:bidi="ar"/>
              </w:rPr>
              <w:t>负责全县应急广播的建设、运行和管理，做好广播电视安全播出管理。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负责辖区内农村应急广播设备的日常维护和管理、做好应急广播及广播电视安全播出工作。</w:t>
            </w:r>
          </w:p>
        </w:tc>
      </w:tr>
      <w:tr w14:paraId="0FBE7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F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6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1.整理非物质文化遗产，进行文物登记、传播和保护；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2.做好文旅资源的整合。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2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1.做好文物及非遗资源的摸底上报；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2.推选文旅资源，做好文旅宣传工作。</w:t>
            </w:r>
          </w:p>
        </w:tc>
      </w:tr>
      <w:tr w14:paraId="754EB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3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0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配合做好辖区内文物保护工作。</w:t>
            </w:r>
          </w:p>
        </w:tc>
      </w:tr>
      <w:tr w14:paraId="52D4B4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25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630205DA">
        <w:tblPrEx>
          <w:tblCellMar>
            <w:top w:w="0" w:type="dxa"/>
            <w:left w:w="108" w:type="dxa"/>
            <w:bottom w:w="0" w:type="dxa"/>
            <w:right w:w="108" w:type="dxa"/>
          </w:tblCellMar>
        </w:tblPrEx>
        <w:trPr>
          <w:cantSplit/>
          <w:trHeight w:val="40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B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4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3A26F4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D27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14AB0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3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2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8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6ABE6A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D654F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41D27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3C85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159ED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F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79F5F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8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D9D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0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468FFE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5F53">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val="en-US" w:eastAsia="zh-CN" w:bidi="ar"/>
              </w:rPr>
              <w:t>牵头</w:t>
            </w:r>
            <w:r>
              <w:rPr>
                <w:rFonts w:hint="eastAsia" w:ascii="Times New Roman" w:hAnsi="方正公文仿宋" w:eastAsia="方正公文仿宋"/>
                <w:kern w:val="0"/>
                <w:szCs w:val="21"/>
                <w:lang w:eastAsia="zh-CN" w:bidi="ar"/>
              </w:rPr>
              <w:t>）</w:t>
            </w:r>
          </w:p>
          <w:p w14:paraId="79FBD9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6FB98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6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D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                                                                                                          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94B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0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5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13B75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2C9E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7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4B387C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A05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6DDC8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6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3F654A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7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6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106C27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02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7B47CB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E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2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045656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7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7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63129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9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7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4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9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0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w:t>
            </w:r>
          </w:p>
        </w:tc>
      </w:tr>
      <w:tr w14:paraId="37E69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9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9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5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r w14:paraId="43FB5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5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3C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 
</w:t>
            </w:r>
          </w:p>
          <w:p w14:paraId="1FA14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bl>
    <w:p w14:paraId="29DC1C7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3269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11A780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79A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336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9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E029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3B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44BA28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开展“爱心银行”志愿服务平台活动。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工作方式：取消“爱心银行”志愿服务平台活动任务。</w:t>
            </w:r>
          </w:p>
        </w:tc>
      </w:tr>
      <w:tr w14:paraId="557B7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4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F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52224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0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673C56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F4E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DAE06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A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22261636">
        <w:tblPrEx>
          <w:tblCellMar>
            <w:top w:w="0" w:type="dxa"/>
            <w:left w:w="108" w:type="dxa"/>
            <w:bottom w:w="0" w:type="dxa"/>
            <w:right w:w="108" w:type="dxa"/>
          </w:tblCellMar>
        </w:tblPrEx>
        <w:trPr>
          <w:cantSplit/>
          <w:trHeight w:val="9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9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4DECCE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0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1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B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1C7A1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B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18EC6BB7">
        <w:tblPrEx>
          <w:tblCellMar>
            <w:top w:w="0" w:type="dxa"/>
            <w:left w:w="108" w:type="dxa"/>
            <w:bottom w:w="0" w:type="dxa"/>
            <w:right w:w="108" w:type="dxa"/>
          </w:tblCellMar>
        </w:tblPrEx>
        <w:trPr>
          <w:cantSplit/>
          <w:trHeight w:val="8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9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4EA88D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B3C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08CCF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2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9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E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4AF31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2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03CE4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3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D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0B11F7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工作方式：按照权限进行办理。</w:t>
            </w:r>
          </w:p>
        </w:tc>
      </w:tr>
      <w:tr w14:paraId="17B9D9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工作方式：统筹协调县级职能部门直接上报。</w:t>
            </w:r>
          </w:p>
        </w:tc>
      </w:tr>
      <w:tr w14:paraId="6540B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工作方式：按照权限进行办理。</w:t>
            </w:r>
          </w:p>
        </w:tc>
      </w:tr>
      <w:tr w14:paraId="2FC3D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9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工作方式：取消对完成城镇新增就业人数任务的考核。</w:t>
            </w:r>
          </w:p>
        </w:tc>
      </w:tr>
      <w:tr w14:paraId="382E1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E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63273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384F2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w:t>
            </w:r>
          </w:p>
        </w:tc>
      </w:tr>
      <w:tr w14:paraId="60182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2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5B611E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24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2386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01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6C766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A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2493B3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00B33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B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6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5AC2A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B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14216D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1A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五、乡村振兴（23项）</w:t>
            </w:r>
          </w:p>
        </w:tc>
      </w:tr>
      <w:tr w14:paraId="11CD8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F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7D5F4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7445A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0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28CAE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4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2C08A6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195F2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C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F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48E9F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0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1B308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9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4CAB0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2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5CF98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4DA67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5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C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1A9C2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74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1D332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280E3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4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打击偷猎野生动物、盗伐林木等违法行为。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E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工作方式：打击对野生动植物、林业资源相关违法行为。</w:t>
            </w:r>
          </w:p>
        </w:tc>
      </w:tr>
      <w:tr w14:paraId="5B585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1EA5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4CD0D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2EC0F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6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4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1B8F0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7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53482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A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7EAD4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D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8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23200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F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74E75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C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4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6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57FA20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BE9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63257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B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3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3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6626CC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E2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967A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0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2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3B446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B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50B05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6C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6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及其他相关权利人签订征地补偿安置协议。</w:t>
            </w:r>
          </w:p>
        </w:tc>
      </w:tr>
      <w:tr w14:paraId="0882B4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498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1CC08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F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2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CE1C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112CD4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9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3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0F1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工作方式：县住房和城乡建设局办理限额以上自建房建筑工程施工许可证。</w:t>
            </w:r>
          </w:p>
        </w:tc>
      </w:tr>
      <w:tr w14:paraId="18563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F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C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工作方式：负责运营管理。</w:t>
            </w:r>
          </w:p>
        </w:tc>
      </w:tr>
      <w:tr w14:paraId="532C40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1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                        工作方式：由县住房和城乡建设局根据工作权限进行监管。</w:t>
            </w:r>
          </w:p>
        </w:tc>
      </w:tr>
      <w:tr w14:paraId="7B285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2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6AEE73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5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1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工作方式：按上级要求取消该项工作。</w:t>
            </w:r>
          </w:p>
        </w:tc>
      </w:tr>
      <w:tr w14:paraId="5E605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2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C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4C2D5A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8DE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4ECDEA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0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2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1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5FA7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工作方式：取消对道路交通安全事故的考核。</w:t>
            </w:r>
          </w:p>
        </w:tc>
      </w:tr>
      <w:tr w14:paraId="47917C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7BD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04C98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E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6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6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5171CA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10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十一、卫生健康（13项）</w:t>
            </w:r>
          </w:p>
        </w:tc>
      </w:tr>
      <w:tr w14:paraId="26A3D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4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65FB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C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E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00F9B3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A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32159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5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工作方式：根据优化生育政策要求，不再开展此项工作。</w:t>
            </w:r>
          </w:p>
        </w:tc>
      </w:tr>
      <w:tr w14:paraId="358FD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A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3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B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工作方式：该证明已取消，不再开展此项工作。</w:t>
            </w:r>
          </w:p>
        </w:tc>
      </w:tr>
      <w:tr w14:paraId="1FDB7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3147D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A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05D1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A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1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566B4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4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1BB9D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8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F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5B29C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5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6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E84D5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8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1E113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6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8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F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747454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132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十二、应急管理及消防（6项）</w:t>
            </w:r>
          </w:p>
        </w:tc>
      </w:tr>
      <w:tr w14:paraId="2C6D0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F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838F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A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A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56927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4B48A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C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3709F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3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F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6F1C3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A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342CBA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00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十三、市场监管（4项）</w:t>
            </w:r>
          </w:p>
        </w:tc>
      </w:tr>
      <w:tr w14:paraId="6F035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666FD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8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6D7A3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2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5184CC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0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D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77CAB3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9B0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07ED0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78780D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ED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十五、综合政务（2项）</w:t>
            </w:r>
          </w:p>
        </w:tc>
      </w:tr>
      <w:tr w14:paraId="57193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6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30454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B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F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5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20BB431A">
      <w:pPr>
        <w:pStyle w:val="3"/>
        <w:spacing w:before="0" w:after="0" w:line="240" w:lineRule="auto"/>
        <w:jc w:val="center"/>
        <w:rPr>
          <w:rFonts w:ascii="Times New Roman" w:hAnsi="Times New Roman" w:eastAsia="方正小标宋_GBK" w:cs="Times New Roman"/>
          <w:color w:val="auto"/>
          <w:spacing w:val="7"/>
          <w:lang w:eastAsia="zh-CN"/>
        </w:rPr>
      </w:pPr>
    </w:p>
    <w:p w14:paraId="251A224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6B0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B46DA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B46DA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63C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C06AFB"/>
    <w:rsid w:val="0B995F4E"/>
    <w:rsid w:val="0C2C7FD0"/>
    <w:rsid w:val="133C3F0B"/>
    <w:rsid w:val="1B2E2966"/>
    <w:rsid w:val="1F842892"/>
    <w:rsid w:val="3DDD2538"/>
    <w:rsid w:val="45AD4CB1"/>
    <w:rsid w:val="4647192F"/>
    <w:rsid w:val="480706A9"/>
    <w:rsid w:val="633E43E9"/>
    <w:rsid w:val="7F0D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2025-10-13T02:38:40Z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96129A2E1D66447EAF5D860ED4AA7AE8_13</vt:lpwstr>
  </property>
</Properties>
</file>