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2827B">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both"/>
        <w:textAlignment w:val="auto"/>
        <w:rPr>
          <w:rFonts w:hint="default" w:ascii="Times New Roman" w:hAnsi="Times New Roman" w:eastAsia="黑体" w:cs="Times New Roman"/>
          <w:sz w:val="32"/>
          <w:szCs w:val="20"/>
          <w:lang w:val="en-US" w:eastAsia="zh-CN"/>
        </w:rPr>
      </w:pPr>
      <w:r>
        <w:rPr>
          <w:rFonts w:hint="default" w:ascii="Times New Roman" w:hAnsi="Times New Roman" w:eastAsia="黑体" w:cs="Times New Roman"/>
          <w:sz w:val="32"/>
          <w:szCs w:val="20"/>
          <w:lang w:val="en-US" w:eastAsia="zh-CN"/>
        </w:rPr>
        <w:t>ZZ</w:t>
      </w:r>
      <w:r>
        <w:rPr>
          <w:rFonts w:hint="default" w:ascii="Times New Roman" w:hAnsi="Times New Roman" w:eastAsia="黑体" w:cs="Times New Roman"/>
          <w:sz w:val="32"/>
          <w:szCs w:val="20"/>
        </w:rPr>
        <w:t>CLDR—20</w:t>
      </w:r>
      <w:r>
        <w:rPr>
          <w:rFonts w:hint="default" w:ascii="Times New Roman" w:hAnsi="Times New Roman" w:eastAsia="黑体" w:cs="Times New Roman"/>
          <w:sz w:val="32"/>
          <w:szCs w:val="20"/>
          <w:lang w:val="en-US" w:eastAsia="zh-CN"/>
        </w:rPr>
        <w:t>2</w:t>
      </w:r>
      <w:r>
        <w:rPr>
          <w:rFonts w:hint="eastAsia" w:ascii="Times New Roman" w:hAnsi="Times New Roman" w:eastAsia="黑体" w:cs="Times New Roman"/>
          <w:sz w:val="32"/>
          <w:szCs w:val="20"/>
          <w:lang w:val="en-US" w:eastAsia="zh-CN"/>
        </w:rPr>
        <w:t>5</w:t>
      </w:r>
      <w:r>
        <w:rPr>
          <w:rFonts w:hint="default" w:ascii="Times New Roman" w:hAnsi="Times New Roman" w:eastAsia="黑体" w:cs="Times New Roman"/>
          <w:sz w:val="32"/>
          <w:szCs w:val="20"/>
        </w:rPr>
        <w:t>—010</w:t>
      </w:r>
      <w:r>
        <w:rPr>
          <w:rFonts w:hint="eastAsia" w:ascii="Times New Roman" w:hAnsi="Times New Roman" w:eastAsia="黑体" w:cs="Times New Roman"/>
          <w:sz w:val="32"/>
          <w:szCs w:val="20"/>
          <w:lang w:val="en-US" w:eastAsia="zh-CN"/>
        </w:rPr>
        <w:t>0</w:t>
      </w:r>
      <w:r>
        <w:rPr>
          <w:rFonts w:hint="eastAsia" w:eastAsia="黑体" w:cs="Times New Roman"/>
          <w:sz w:val="32"/>
          <w:szCs w:val="20"/>
          <w:lang w:val="en-US" w:eastAsia="zh-CN"/>
        </w:rPr>
        <w:t>3</w:t>
      </w:r>
    </w:p>
    <w:p w14:paraId="57655B27">
      <w:pPr>
        <w:keepNext w:val="0"/>
        <w:keepLines w:val="0"/>
        <w:pageBreakBefore w:val="0"/>
        <w:widowControl w:val="0"/>
        <w:kinsoku/>
        <w:wordWrap/>
        <w:overflowPunct/>
        <w:topLinePunct w:val="0"/>
        <w:autoSpaceDE/>
        <w:autoSpaceDN/>
        <w:bidi w:val="0"/>
        <w:adjustRightInd/>
        <w:snapToGrid w:val="0"/>
        <w:spacing w:line="200" w:lineRule="exact"/>
        <w:ind w:firstLine="0" w:firstLineChars="0"/>
        <w:jc w:val="left"/>
        <w:textAlignment w:val="auto"/>
        <w:rPr>
          <w:rFonts w:hint="default" w:ascii="Times New Roman" w:hAnsi="Times New Roman" w:eastAsia="黑体" w:cs="Times New Roman"/>
          <w:kern w:val="2"/>
          <w:sz w:val="32"/>
          <w:szCs w:val="20"/>
          <w:lang w:val="en-US" w:eastAsia="zh-CN" w:bidi="ar-SA"/>
        </w:rPr>
      </w:pPr>
    </w:p>
    <w:p w14:paraId="0EFDABB0">
      <w:pPr>
        <w:keepNext w:val="0"/>
        <w:keepLines w:val="0"/>
        <w:pageBreakBefore w:val="0"/>
        <w:widowControl w:val="0"/>
        <w:kinsoku/>
        <w:wordWrap/>
        <w:overflowPunct/>
        <w:topLinePunct w:val="0"/>
        <w:autoSpaceDE/>
        <w:autoSpaceDN/>
        <w:bidi w:val="0"/>
        <w:adjustRightInd/>
        <w:snapToGrid w:val="0"/>
        <w:spacing w:line="200" w:lineRule="exact"/>
        <w:ind w:firstLine="0" w:firstLineChars="0"/>
        <w:jc w:val="left"/>
        <w:textAlignment w:val="auto"/>
        <w:rPr>
          <w:rFonts w:hint="default" w:ascii="Times New Roman" w:hAnsi="Times New Roman" w:eastAsia="黑体" w:cs="Times New Roman"/>
          <w:kern w:val="2"/>
          <w:sz w:val="32"/>
          <w:szCs w:val="20"/>
          <w:lang w:val="en-US" w:eastAsia="zh-CN" w:bidi="ar-SA"/>
        </w:rPr>
      </w:pPr>
    </w:p>
    <w:p w14:paraId="185B0D32">
      <w:pPr>
        <w:keepNext w:val="0"/>
        <w:keepLines w:val="0"/>
        <w:pageBreakBefore w:val="0"/>
        <w:widowControl w:val="0"/>
        <w:kinsoku w:val="0"/>
        <w:wordWrap/>
        <w:overflowPunct/>
        <w:topLinePunct w:val="0"/>
        <w:autoSpaceDE w:val="0"/>
        <w:autoSpaceDN w:val="0"/>
        <w:bidi w:val="0"/>
        <w:adjustRightInd/>
        <w:snapToGrid/>
        <w:spacing w:after="0" w:line="800" w:lineRule="exact"/>
        <w:ind w:firstLine="879" w:firstLineChars="0"/>
        <w:jc w:val="center"/>
        <w:textAlignment w:val="baseline"/>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14:paraId="73998170">
      <w:pPr>
        <w:keepNext w:val="0"/>
        <w:keepLines w:val="0"/>
        <w:pageBreakBefore w:val="0"/>
        <w:widowControl w:val="0"/>
        <w:kinsoku/>
        <w:wordWrap/>
        <w:overflowPunct/>
        <w:topLinePunct w:val="0"/>
        <w:autoSpaceDE/>
        <w:autoSpaceDN/>
        <w:bidi w:val="0"/>
        <w:adjustRightInd/>
        <w:snapToGrid/>
        <w:spacing w:after="0" w:line="1220" w:lineRule="exact"/>
        <w:ind w:firstLine="879" w:firstLineChars="0"/>
        <w:jc w:val="center"/>
        <w:textAlignment w:val="auto"/>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14:paraId="6AA4676E">
      <w:pPr>
        <w:keepNext w:val="0"/>
        <w:keepLines w:val="0"/>
        <w:pageBreakBefore w:val="0"/>
        <w:widowControl w:val="0"/>
        <w:kinsoku/>
        <w:wordWrap/>
        <w:overflowPunct/>
        <w:topLinePunct w:val="0"/>
        <w:autoSpaceDE/>
        <w:autoSpaceDN/>
        <w:bidi w:val="0"/>
        <w:adjustRightInd/>
        <w:snapToGrid/>
        <w:spacing w:after="0" w:line="900" w:lineRule="exact"/>
        <w:ind w:firstLine="879" w:firstLineChars="0"/>
        <w:jc w:val="center"/>
        <w:textAlignment w:val="auto"/>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14:paraId="582398DD">
      <w:pPr>
        <w:widowControl w:val="0"/>
        <w:adjustRightInd/>
        <w:snapToGrid/>
        <w:spacing w:after="0" w:line="600" w:lineRule="exact"/>
        <w:ind w:left="0" w:leftChars="0" w:right="0" w:rightChars="0" w:firstLine="0" w:firstLineChars="0"/>
        <w:jc w:val="center"/>
        <w:textAlignment w:val="baseline"/>
        <w:rPr>
          <w:rFonts w:hint="default" w:ascii="Times New Roman" w:hAnsi="Times New Roman" w:eastAsia="仿宋_GB2312" w:cs="Times New Roman"/>
          <w:b w:val="0"/>
          <w:bCs/>
          <w:color w:val="000000"/>
          <w:kern w:val="2"/>
          <w:sz w:val="32"/>
          <w:szCs w:val="32"/>
        </w:rPr>
      </w:pPr>
      <w:r>
        <w:rPr>
          <w:rFonts w:hint="default" w:ascii="Times New Roman" w:hAnsi="Times New Roman" w:eastAsia="仿宋_GB2312" w:cs="Times New Roman"/>
          <w:b w:val="0"/>
          <w:bCs/>
          <w:color w:val="000000"/>
          <w:kern w:val="2"/>
          <w:sz w:val="32"/>
          <w:szCs w:val="32"/>
        </w:rPr>
        <w:t>茶政办发〔20</w:t>
      </w:r>
      <w:r>
        <w:rPr>
          <w:rFonts w:hint="default" w:ascii="Times New Roman" w:hAnsi="Times New Roman" w:eastAsia="仿宋_GB2312" w:cs="Times New Roman"/>
          <w:b w:val="0"/>
          <w:bCs/>
          <w:color w:val="000000"/>
          <w:kern w:val="2"/>
          <w:sz w:val="32"/>
          <w:szCs w:val="32"/>
          <w:lang w:val="en-US" w:eastAsia="zh-CN"/>
        </w:rPr>
        <w:t>2</w:t>
      </w:r>
      <w:r>
        <w:rPr>
          <w:rFonts w:hint="eastAsia" w:eastAsia="宋体" w:cs="Times New Roman"/>
          <w:b w:val="0"/>
          <w:bCs/>
          <w:color w:val="000000"/>
          <w:kern w:val="2"/>
          <w:sz w:val="32"/>
          <w:szCs w:val="32"/>
          <w:lang w:val="en-US" w:eastAsia="zh-CN"/>
        </w:rPr>
        <w:t>5</w:t>
      </w:r>
      <w:r>
        <w:rPr>
          <w:rFonts w:hint="default" w:ascii="Times New Roman" w:hAnsi="Times New Roman" w:eastAsia="仿宋_GB2312" w:cs="Times New Roman"/>
          <w:b w:val="0"/>
          <w:bCs/>
          <w:color w:val="000000"/>
          <w:kern w:val="2"/>
          <w:sz w:val="32"/>
          <w:szCs w:val="32"/>
        </w:rPr>
        <w:t>〕</w:t>
      </w:r>
      <w:r>
        <w:rPr>
          <w:rFonts w:hint="eastAsia" w:eastAsia="宋体" w:cs="Times New Roman"/>
          <w:b w:val="0"/>
          <w:bCs/>
          <w:color w:val="000000"/>
          <w:kern w:val="2"/>
          <w:sz w:val="32"/>
          <w:szCs w:val="32"/>
          <w:lang w:val="en-US" w:eastAsia="zh-CN"/>
        </w:rPr>
        <w:t>23</w:t>
      </w:r>
      <w:r>
        <w:rPr>
          <w:rFonts w:hint="default" w:ascii="Times New Roman" w:hAnsi="Times New Roman" w:eastAsia="仿宋_GB2312" w:cs="Times New Roman"/>
          <w:b w:val="0"/>
          <w:bCs/>
          <w:color w:val="000000"/>
          <w:kern w:val="2"/>
          <w:sz w:val="32"/>
          <w:szCs w:val="32"/>
        </w:rPr>
        <w:t>号</w:t>
      </w:r>
    </w:p>
    <w:p w14:paraId="35C50BD5">
      <w:pPr>
        <w:keepNext w:val="0"/>
        <w:keepLines w:val="0"/>
        <w:pageBreakBefore w:val="0"/>
        <w:widowControl w:val="0"/>
        <w:kinsoku/>
        <w:wordWrap/>
        <w:overflowPunct/>
        <w:topLinePunct w:val="0"/>
        <w:autoSpaceDE/>
        <w:autoSpaceDN/>
        <w:bidi w:val="0"/>
        <w:adjustRightInd/>
        <w:snapToGrid/>
        <w:spacing w:after="0" w:line="550" w:lineRule="exact"/>
        <w:ind w:firstLine="879" w:firstLineChars="0"/>
        <w:jc w:val="center"/>
        <w:textAlignment w:val="auto"/>
        <w:outlineLvl w:val="9"/>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14:paraId="2CB3F6E8">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kern w:val="2"/>
          <w:sz w:val="44"/>
          <w:szCs w:val="44"/>
        </w:rPr>
      </w:pPr>
      <w:bookmarkStart w:id="0" w:name="_GoBack"/>
      <w:bookmarkEnd w:id="0"/>
    </w:p>
    <w:p w14:paraId="0918006D">
      <w:pPr>
        <w:spacing w:line="550" w:lineRule="exact"/>
        <w:ind w:firstLine="0" w:firstLineChars="0"/>
        <w:jc w:val="center"/>
        <w:rPr>
          <w:rFonts w:hint="default" w:ascii="Times New Roman" w:hAnsi="Times New Roman" w:eastAsia="方正小标宋简体" w:cs="Times New Roman"/>
          <w:b w:val="0"/>
          <w:bCs w:val="0"/>
          <w:spacing w:val="0"/>
          <w:position w:val="0"/>
          <w:sz w:val="44"/>
          <w:szCs w:val="44"/>
        </w:rPr>
      </w:pPr>
      <w:r>
        <w:rPr>
          <w:rFonts w:hint="default" w:ascii="Times New Roman" w:hAnsi="Times New Roman" w:eastAsia="方正小标宋简体" w:cs="Times New Roman"/>
          <w:b w:val="0"/>
          <w:bCs w:val="0"/>
          <w:spacing w:val="0"/>
          <w:position w:val="0"/>
          <w:sz w:val="44"/>
          <w:szCs w:val="44"/>
        </w:rPr>
        <w:t>茶陵县人民政府办公室</w:t>
      </w:r>
    </w:p>
    <w:p w14:paraId="595065A7">
      <w:pPr>
        <w:spacing w:line="550" w:lineRule="exact"/>
        <w:ind w:firstLine="0" w:firstLineChars="0"/>
        <w:jc w:val="center"/>
        <w:rPr>
          <w:rFonts w:hint="default" w:ascii="Times New Roman" w:hAnsi="Times New Roman" w:eastAsia="方正小标宋简体" w:cs="Times New Roman"/>
          <w:b w:val="0"/>
          <w:bCs w:val="0"/>
          <w:spacing w:val="0"/>
          <w:position w:val="0"/>
          <w:sz w:val="44"/>
          <w:szCs w:val="44"/>
        </w:rPr>
      </w:pPr>
      <w:r>
        <w:rPr>
          <w:rFonts w:hint="eastAsia" w:eastAsia="方正小标宋简体" w:cs="Times New Roman"/>
          <w:b w:val="0"/>
          <w:bCs w:val="0"/>
          <w:spacing w:val="0"/>
          <w:position w:val="0"/>
          <w:sz w:val="44"/>
          <w:szCs w:val="44"/>
          <w:lang w:eastAsia="zh-CN"/>
        </w:rPr>
        <w:t>关于</w:t>
      </w:r>
      <w:r>
        <w:rPr>
          <w:rFonts w:hint="default" w:ascii="Times New Roman" w:hAnsi="Times New Roman" w:eastAsia="方正小标宋简体" w:cs="Times New Roman"/>
          <w:b w:val="0"/>
          <w:bCs w:val="0"/>
          <w:spacing w:val="0"/>
          <w:position w:val="0"/>
          <w:sz w:val="44"/>
          <w:szCs w:val="44"/>
        </w:rPr>
        <w:t>印发《关于进一步促进茶陵县房地产市场回稳向好的若干措施》的通知</w:t>
      </w:r>
    </w:p>
    <w:p w14:paraId="43BD26C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仿宋_GB2312" w:cs="Times New Roman"/>
          <w:b w:val="0"/>
          <w:bCs w:val="0"/>
          <w:color w:val="000000"/>
          <w:spacing w:val="0"/>
          <w:position w:val="0"/>
          <w:sz w:val="32"/>
          <w:szCs w:val="32"/>
          <w:lang w:val="en-US" w:eastAsia="zh-CN"/>
        </w:rPr>
      </w:pPr>
    </w:p>
    <w:p w14:paraId="18AD6ADE">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eastAsia="仿宋_GB2312" w:cs="Times New Roman"/>
          <w:b w:val="0"/>
          <w:bCs w:val="0"/>
          <w:color w:val="000000"/>
          <w:spacing w:val="0"/>
          <w:position w:val="0"/>
          <w:sz w:val="32"/>
          <w:szCs w:val="32"/>
          <w:lang w:val="en-US" w:eastAsia="zh-CN"/>
        </w:rPr>
      </w:pPr>
      <w:r>
        <w:rPr>
          <w:rFonts w:hint="default" w:ascii="Times New Roman" w:hAnsi="Times New Roman" w:eastAsia="仿宋_GB2312" w:cs="Times New Roman"/>
          <w:b w:val="0"/>
          <w:bCs w:val="0"/>
          <w:color w:val="000000"/>
          <w:spacing w:val="0"/>
          <w:position w:val="0"/>
          <w:sz w:val="32"/>
          <w:szCs w:val="32"/>
          <w:lang w:val="en-US" w:eastAsia="zh-CN"/>
        </w:rPr>
        <w:t>各县直有关单位：</w:t>
      </w:r>
    </w:p>
    <w:p w14:paraId="339CA1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pacing w:val="0"/>
          <w:position w:val="0"/>
          <w:sz w:val="32"/>
          <w:szCs w:val="32"/>
        </w:rPr>
      </w:pPr>
      <w:r>
        <w:rPr>
          <w:rFonts w:hint="default" w:ascii="Times New Roman" w:hAnsi="Times New Roman" w:eastAsia="仿宋_GB2312" w:cs="Times New Roman"/>
          <w:b w:val="0"/>
          <w:bCs w:val="0"/>
          <w:color w:val="000000"/>
          <w:spacing w:val="0"/>
          <w:position w:val="0"/>
          <w:sz w:val="32"/>
          <w:szCs w:val="32"/>
          <w:lang w:val="en-US" w:eastAsia="zh-CN"/>
        </w:rPr>
        <w:t>《关于进一步促进茶陵县房地产市场回稳向好的若干措施》已经县人民政府同意，现印发给你们，请认真贯彻执行。</w:t>
      </w:r>
    </w:p>
    <w:p w14:paraId="263AB324">
      <w:pPr>
        <w:spacing w:line="550" w:lineRule="exact"/>
        <w:ind w:firstLine="640" w:firstLineChars="0"/>
        <w:jc w:val="left"/>
        <w:rPr>
          <w:rFonts w:hint="default" w:ascii="Times New Roman" w:hAnsi="Times New Roman" w:eastAsia="仿宋_GB2312" w:cs="Times New Roman"/>
          <w:b w:val="0"/>
          <w:bCs w:val="0"/>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rPr>
        <w:t xml:space="preserve">               </w:t>
      </w:r>
      <w:r>
        <w:rPr>
          <w:rFonts w:hint="default" w:ascii="Times New Roman" w:hAnsi="Times New Roman" w:eastAsia="仿宋_GB2312" w:cs="Times New Roman"/>
          <w:b w:val="0"/>
          <w:bCs w:val="0"/>
          <w:spacing w:val="0"/>
          <w:position w:val="0"/>
          <w:sz w:val="32"/>
          <w:szCs w:val="32"/>
          <w:lang w:val="en-US" w:eastAsia="zh-CN"/>
        </w:rPr>
        <w:t xml:space="preserve">  </w:t>
      </w:r>
      <w:r>
        <w:rPr>
          <w:rFonts w:hint="default" w:ascii="Times New Roman" w:hAnsi="Times New Roman" w:eastAsia="仿宋_GB2312" w:cs="Times New Roman"/>
          <w:b w:val="0"/>
          <w:bCs w:val="0"/>
          <w:spacing w:val="0"/>
          <w:position w:val="0"/>
          <w:sz w:val="32"/>
          <w:szCs w:val="32"/>
        </w:rPr>
        <w:t xml:space="preserve">    </w:t>
      </w:r>
      <w:r>
        <w:rPr>
          <w:rFonts w:hint="default" w:ascii="Times New Roman" w:hAnsi="Times New Roman" w:eastAsia="仿宋_GB2312" w:cs="Times New Roman"/>
          <w:b w:val="0"/>
          <w:bCs w:val="0"/>
          <w:spacing w:val="0"/>
          <w:position w:val="0"/>
          <w:sz w:val="32"/>
          <w:szCs w:val="32"/>
          <w:lang w:val="en-US" w:eastAsia="zh-CN"/>
        </w:rPr>
        <w:t xml:space="preserve"> </w:t>
      </w:r>
      <w:r>
        <w:rPr>
          <w:rFonts w:hint="default" w:ascii="Times New Roman" w:hAnsi="Times New Roman" w:eastAsia="仿宋_GB2312" w:cs="Times New Roman"/>
          <w:b w:val="0"/>
          <w:bCs w:val="0"/>
          <w:spacing w:val="0"/>
          <w:position w:val="0"/>
          <w:sz w:val="32"/>
          <w:szCs w:val="32"/>
        </w:rPr>
        <w:t xml:space="preserve"> </w:t>
      </w:r>
      <w:r>
        <w:rPr>
          <w:rFonts w:hint="default" w:ascii="Times New Roman" w:hAnsi="Times New Roman" w:eastAsia="仿宋_GB2312" w:cs="Times New Roman"/>
          <w:b w:val="0"/>
          <w:bCs w:val="0"/>
          <w:spacing w:val="0"/>
          <w:position w:val="0"/>
          <w:sz w:val="32"/>
          <w:szCs w:val="32"/>
          <w:lang w:val="en-US" w:eastAsia="zh-CN"/>
        </w:rPr>
        <w:t xml:space="preserve">  </w:t>
      </w:r>
      <w:r>
        <w:rPr>
          <w:rFonts w:hint="default" w:ascii="Times New Roman" w:hAnsi="Times New Roman" w:eastAsia="仿宋_GB2312" w:cs="Times New Roman"/>
          <w:b w:val="0"/>
          <w:bCs w:val="0"/>
          <w:spacing w:val="0"/>
          <w:position w:val="0"/>
          <w:sz w:val="32"/>
          <w:szCs w:val="32"/>
        </w:rPr>
        <w:t xml:space="preserve"> </w:t>
      </w:r>
      <w:r>
        <w:rPr>
          <w:rFonts w:hint="default" w:ascii="Times New Roman" w:hAnsi="Times New Roman" w:eastAsia="仿宋_GB2312" w:cs="Times New Roman"/>
          <w:b w:val="0"/>
          <w:bCs w:val="0"/>
          <w:spacing w:val="0"/>
          <w:position w:val="0"/>
          <w:sz w:val="32"/>
          <w:szCs w:val="32"/>
          <w:lang w:val="en-US" w:eastAsia="zh-CN"/>
        </w:rPr>
        <w:t xml:space="preserve"> </w:t>
      </w:r>
    </w:p>
    <w:p w14:paraId="0B029C67">
      <w:pPr>
        <w:spacing w:line="550" w:lineRule="exact"/>
        <w:ind w:firstLine="640" w:firstLineChars="0"/>
        <w:jc w:val="left"/>
        <w:rPr>
          <w:rFonts w:hint="default" w:ascii="Times New Roman" w:hAnsi="Times New Roman" w:eastAsia="仿宋_GB2312" w:cs="Times New Roman"/>
          <w:b w:val="0"/>
          <w:bCs w:val="0"/>
          <w:spacing w:val="0"/>
          <w:position w:val="0"/>
          <w:sz w:val="32"/>
          <w:szCs w:val="32"/>
          <w:lang w:val="en-US" w:eastAsia="zh-CN"/>
        </w:rPr>
      </w:pPr>
    </w:p>
    <w:p w14:paraId="3552C051">
      <w:pPr>
        <w:spacing w:line="550" w:lineRule="exact"/>
        <w:ind w:firstLine="640" w:firstLineChars="0"/>
        <w:jc w:val="left"/>
        <w:rPr>
          <w:rFonts w:hint="default" w:ascii="Times New Roman" w:hAnsi="Times New Roman" w:eastAsia="仿宋_GB2312" w:cs="Times New Roman"/>
          <w:b w:val="0"/>
          <w:bCs w:val="0"/>
          <w:color w:val="000000"/>
          <w:spacing w:val="0"/>
          <w:position w:val="0"/>
          <w:sz w:val="32"/>
          <w:szCs w:val="32"/>
          <w:lang w:val="en-US" w:eastAsia="zh-CN"/>
        </w:rPr>
      </w:pPr>
      <w:r>
        <w:rPr>
          <w:rFonts w:hint="default" w:ascii="Times New Roman" w:hAnsi="Times New Roman" w:eastAsia="仿宋_GB2312" w:cs="Times New Roman"/>
          <w:b w:val="0"/>
          <w:bCs w:val="0"/>
          <w:spacing w:val="0"/>
          <w:position w:val="0"/>
          <w:sz w:val="32"/>
          <w:szCs w:val="32"/>
          <w:lang w:val="en-US" w:eastAsia="zh-CN"/>
        </w:rPr>
        <w:t xml:space="preserve">                    </w:t>
      </w:r>
      <w:r>
        <w:rPr>
          <w:rFonts w:hint="eastAsia" w:ascii="Times New Roman" w:hAnsi="Times New Roman" w:eastAsia="仿宋_GB2312" w:cs="Times New Roman"/>
          <w:b w:val="0"/>
          <w:bCs w:val="0"/>
          <w:spacing w:val="0"/>
          <w:position w:val="0"/>
          <w:sz w:val="32"/>
          <w:szCs w:val="32"/>
          <w:lang w:val="en-US" w:eastAsia="zh-CN"/>
        </w:rPr>
        <w:t xml:space="preserve"> </w:t>
      </w:r>
      <w:r>
        <w:rPr>
          <w:rFonts w:hint="default" w:ascii="Times New Roman" w:hAnsi="Times New Roman" w:eastAsia="仿宋_GB2312" w:cs="Times New Roman"/>
          <w:b w:val="0"/>
          <w:bCs w:val="0"/>
          <w:spacing w:val="0"/>
          <w:position w:val="0"/>
          <w:sz w:val="32"/>
          <w:szCs w:val="32"/>
          <w:lang w:val="en-US" w:eastAsia="zh-CN"/>
        </w:rPr>
        <w:t xml:space="preserve">       </w:t>
      </w:r>
      <w:r>
        <w:rPr>
          <w:rFonts w:hint="default" w:ascii="Times New Roman" w:hAnsi="Times New Roman" w:eastAsia="仿宋_GB2312" w:cs="Times New Roman"/>
          <w:b w:val="0"/>
          <w:bCs w:val="0"/>
          <w:color w:val="000000"/>
          <w:spacing w:val="0"/>
          <w:position w:val="0"/>
          <w:sz w:val="32"/>
          <w:szCs w:val="32"/>
          <w:lang w:val="en-US" w:eastAsia="zh-CN"/>
        </w:rPr>
        <w:t>茶陵县人民政府办公室</w:t>
      </w:r>
    </w:p>
    <w:p w14:paraId="6874104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000000"/>
          <w:spacing w:val="0"/>
          <w:position w:val="0"/>
          <w:sz w:val="32"/>
          <w:szCs w:val="32"/>
          <w:lang w:val="en-US" w:eastAsia="zh-CN"/>
        </w:rPr>
      </w:pPr>
      <w:r>
        <w:rPr>
          <w:rFonts w:hint="default" w:ascii="Times New Roman" w:hAnsi="Times New Roman" w:eastAsia="仿宋_GB2312" w:cs="Times New Roman"/>
          <w:b w:val="0"/>
          <w:bCs w:val="0"/>
          <w:color w:val="000000"/>
          <w:spacing w:val="0"/>
          <w:position w:val="0"/>
          <w:sz w:val="32"/>
          <w:szCs w:val="32"/>
          <w:lang w:val="en-US" w:eastAsia="zh-CN"/>
        </w:rPr>
        <w:t xml:space="preserve">                              202</w:t>
      </w:r>
      <w:r>
        <w:rPr>
          <w:rFonts w:hint="eastAsia" w:ascii="Times New Roman" w:hAnsi="Times New Roman" w:cs="Times New Roman"/>
          <w:b w:val="0"/>
          <w:bCs w:val="0"/>
          <w:color w:val="000000"/>
          <w:spacing w:val="0"/>
          <w:position w:val="0"/>
          <w:sz w:val="32"/>
          <w:szCs w:val="32"/>
          <w:lang w:val="en-US" w:eastAsia="zh-CN"/>
        </w:rPr>
        <w:t>5</w:t>
      </w:r>
      <w:r>
        <w:rPr>
          <w:rFonts w:hint="default" w:ascii="Times New Roman" w:hAnsi="Times New Roman" w:eastAsia="仿宋_GB2312" w:cs="Times New Roman"/>
          <w:b w:val="0"/>
          <w:bCs w:val="0"/>
          <w:color w:val="000000"/>
          <w:spacing w:val="0"/>
          <w:position w:val="0"/>
          <w:sz w:val="32"/>
          <w:szCs w:val="32"/>
          <w:lang w:val="en-US" w:eastAsia="zh-CN"/>
        </w:rPr>
        <w:t>年</w:t>
      </w:r>
      <w:r>
        <w:rPr>
          <w:rFonts w:hint="eastAsia" w:ascii="Times New Roman" w:hAnsi="Times New Roman" w:eastAsia="宋体" w:cs="Times New Roman"/>
          <w:b w:val="0"/>
          <w:bCs w:val="0"/>
          <w:color w:val="000000"/>
          <w:spacing w:val="0"/>
          <w:position w:val="0"/>
          <w:sz w:val="32"/>
          <w:szCs w:val="32"/>
          <w:lang w:val="en-US" w:eastAsia="zh-CN"/>
        </w:rPr>
        <w:t>9</w:t>
      </w:r>
      <w:r>
        <w:rPr>
          <w:rFonts w:hint="default" w:ascii="Times New Roman" w:hAnsi="Times New Roman" w:eastAsia="仿宋_GB2312" w:cs="Times New Roman"/>
          <w:b w:val="0"/>
          <w:bCs w:val="0"/>
          <w:color w:val="000000"/>
          <w:spacing w:val="0"/>
          <w:position w:val="0"/>
          <w:sz w:val="32"/>
          <w:szCs w:val="32"/>
          <w:lang w:val="en-US" w:eastAsia="zh-CN"/>
        </w:rPr>
        <w:t>月</w:t>
      </w:r>
      <w:r>
        <w:rPr>
          <w:rFonts w:hint="eastAsia" w:eastAsia="仿宋" w:cs="Times New Roman"/>
          <w:b w:val="0"/>
          <w:bCs w:val="0"/>
          <w:color w:val="000000"/>
          <w:spacing w:val="0"/>
          <w:position w:val="0"/>
          <w:sz w:val="32"/>
          <w:szCs w:val="32"/>
          <w:lang w:val="en-US" w:eastAsia="zh-CN"/>
        </w:rPr>
        <w:t>24</w:t>
      </w:r>
      <w:r>
        <w:rPr>
          <w:rFonts w:hint="default" w:ascii="Times New Roman" w:hAnsi="Times New Roman" w:eastAsia="仿宋_GB2312" w:cs="Times New Roman"/>
          <w:b w:val="0"/>
          <w:bCs w:val="0"/>
          <w:color w:val="000000"/>
          <w:spacing w:val="0"/>
          <w:position w:val="0"/>
          <w:sz w:val="32"/>
          <w:szCs w:val="32"/>
          <w:lang w:val="en-US" w:eastAsia="zh-CN"/>
        </w:rPr>
        <w:t>日</w:t>
      </w:r>
    </w:p>
    <w:p w14:paraId="494322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000000"/>
          <w:spacing w:val="0"/>
          <w:position w:val="0"/>
          <w:sz w:val="32"/>
          <w:szCs w:val="32"/>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4" w:left="1531" w:header="851" w:footer="1587" w:gutter="0"/>
          <w:pgNumType w:fmt="decimal"/>
          <w:cols w:space="720" w:num="1"/>
          <w:rtlGutter w:val="0"/>
          <w:docGrid w:type="lines" w:linePitch="312" w:charSpace="0"/>
        </w:sectPr>
      </w:pPr>
    </w:p>
    <w:p w14:paraId="65C5B652">
      <w:pPr>
        <w:pStyle w:val="4"/>
        <w:bidi w:val="0"/>
        <w:rPr>
          <w:rFonts w:hint="eastAsia"/>
          <w:lang w:eastAsia="zh-CN"/>
        </w:rPr>
      </w:pPr>
      <w:r>
        <w:rPr>
          <w:rFonts w:hint="eastAsia"/>
          <w:lang w:eastAsia="zh-CN"/>
        </w:rPr>
        <w:t>关于进一步促进茶陵县房地产市场回稳向好的若干措施</w:t>
      </w:r>
    </w:p>
    <w:p w14:paraId="52D8941D">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p>
    <w:p w14:paraId="72E3E2E9">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lang w:eastAsia="zh-CN"/>
        </w:rPr>
        <w:t>为深入贯彻党中央、国务院关于房地产工作的决策部署和省委、省人民政府、市委、市人民政府工作要求，进一步落实好消化存量房产和优化增量住房的政策措施，更好满足居民刚性和改善性住房需求，进一步促进房地产市场回稳向好，根据《湖南省住房和城乡建设厅等九部门关于印发&lt;湖南省促进房地产市场平稳健康发展若干措施&gt;的通知》（湘建房〔2025〕57号）、《株洲市人民政府办公室印发&lt;关于进一步促进房地产市场回稳向好的若干措施&gt;的通知》（株政办发〔2025〕5号）文件精神，结合我县实际，制定以下措施。</w:t>
      </w:r>
    </w:p>
    <w:p w14:paraId="573C6751">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一、加大购房补贴。</w:t>
      </w:r>
      <w:r>
        <w:rPr>
          <w:rFonts w:hint="eastAsia"/>
          <w:lang w:eastAsia="zh-CN"/>
        </w:rPr>
        <w:t>在城区从房地产开发商手中购买新建商品房，签订网签合同备案，且三个月内缴纳契税的，由县财政按购房买卖情况予以补贴。购房补贴金额计算方式为：</w:t>
      </w:r>
    </w:p>
    <w:p w14:paraId="48441907">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lang w:eastAsia="zh-CN"/>
        </w:rPr>
        <w:t>1.住宅类：对个人购买家庭唯一住房（家庭成员范围包括购房人、配偶以及未成年子女，下同），面积为140平方米及以下的，按所购房屋不含税价款的0.8%予以补贴；面积为140平方米以上的，则按所购房屋不含税价款的1.2%予以补贴；对个人购买家庭第二套住房，面积为140平方米及以下的，按所购房屋不含税价款的0.8%予以补贴；面积为140平方米以上的，按所购房屋不含税价款的1.6%予以补贴；对个人购买家庭二套以上住房，按所购房屋不含税价款的3.2%予以补贴；</w:t>
      </w:r>
    </w:p>
    <w:p w14:paraId="257516FE">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lang w:eastAsia="zh-CN"/>
        </w:rPr>
        <w:t>2.非住宅类：对个人购买经营性或办公用房等非住宅类按所购房屋不含税价款的4%予以补贴；</w:t>
      </w:r>
    </w:p>
    <w:p w14:paraId="41780421">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lang w:eastAsia="zh-CN"/>
        </w:rPr>
        <w:t>如享受该补贴后退房的，须退还购房补贴。（责任单位：县财政局、住建局、税务局）</w:t>
      </w:r>
    </w:p>
    <w:p w14:paraId="73ECD29B">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二、支持人才安居乐业。</w:t>
      </w:r>
      <w:r>
        <w:rPr>
          <w:rFonts w:hint="eastAsia"/>
          <w:lang w:eastAsia="zh-CN"/>
        </w:rPr>
        <w:t>全日制博士生、全日制硕士研究生或高级技师、全日制本科或职业院校全日制大专学历且获得技师职业资格人才，在房地产开发企业处购买新建商品房，签订网签合同备案并缴纳契税的，不受单位、年龄、毕业时间的限制，除可享受上述购房补贴政策之外，还可一次性分别给予5万元、3万元、2万元的购房补贴，如享受该补贴后退房的，须退还该补贴。获得人才购房补贴的申请人，自申请审核通过之日起5年内将其所购房屋转让或商业抵押的，应退回领取的人才购房补贴款，在财政局向不动产登记中心移送名单的基础上，提供向财政退还补贴的凭证方可在不动产登记中心办理交易或抵押手续。人才购房补贴的申请由用人单位初审后完成申报，县直相关部门按季组织联合审核，县财政预拨资金保障按季发放。（责任单位：县财政局、人社局、组织部、住建局、税务局、自然资源局）</w:t>
      </w:r>
    </w:p>
    <w:p w14:paraId="715C2F8D">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三、推行二孩及以上家庭购房奖励。</w:t>
      </w:r>
      <w:r>
        <w:rPr>
          <w:rFonts w:hint="eastAsia"/>
          <w:lang w:eastAsia="zh-CN"/>
        </w:rPr>
        <w:t>符合生育政策（2016年1月1日国家全面实施两孩政策开始）的二孩及以上家庭，在县城购买新建商品住房，签订新建商品住房买卖网签合同，且缴清契税的，二孩家庭由财政给予5000元的购房奖励，三孩及以上家庭由财政给予10000元的购房奖励。如享受该补贴后退房的，须退还购房补贴。（责任单位：县卫健局、财政局、住建局、税务局、公安局、自然资源局）</w:t>
      </w:r>
    </w:p>
    <w:p w14:paraId="3A91142E">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四、减轻个人住房消费负担。</w:t>
      </w:r>
      <w:r>
        <w:rPr>
          <w:rFonts w:hint="eastAsia"/>
          <w:lang w:eastAsia="zh-CN"/>
        </w:rPr>
        <w:t>对拥有1套住房并已结清购房贷款的家庭，为改善居住条件再次申请贷款购买商品房住房的，金融机构执行首套房贷款政策。（责任单位：县金融监管支局、中国人民银行株洲市分行茶陵营业管理部）</w:t>
      </w:r>
    </w:p>
    <w:p w14:paraId="341A17D2">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五、调整优化住房公积金贷款政策。</w:t>
      </w:r>
      <w:r>
        <w:rPr>
          <w:rFonts w:hint="eastAsia"/>
          <w:lang w:eastAsia="zh-CN"/>
        </w:rPr>
        <w:t>住房公积金缴存人家庭在茶陵购买首套或第2套自住住房的，在提取不超过购房首付款的住房公积金后，仍可申请住房公积金贷款；全日制大专学历以上毕业生，在茶陵连续足额缴存住房公积金6个月（含）以上，毕业5年内首次在茶陵购买自住住房的，贷款额度按可贷额度上浮30%；茶陵县高层次人才申请住房公积金贷款，最高贷款额度为100万元；灵活就业人员可自愿缴存住房公积金，享受低息贷款、依法计息、加息补贴、个税减免、提取自由等优惠政策。（责任单位：县住房公积金中心）</w:t>
      </w:r>
    </w:p>
    <w:p w14:paraId="7DA2B7C7">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六、缓解企业完税压力。</w:t>
      </w:r>
      <w:r>
        <w:rPr>
          <w:rFonts w:hint="eastAsia"/>
          <w:lang w:eastAsia="zh-CN"/>
        </w:rPr>
        <w:t>对有特殊困难而不能按期缴纳税款的房地产企业，可以依法申请办理延期缴纳税款，最长不超过3个月。新购进单位价值不超过500万元的设备、器具，允许一次性计入当期成本费用在计算应纳税所得额时扣除，不再分年度计算折旧。（责任单位：县税务局、财政局）</w:t>
      </w:r>
    </w:p>
    <w:p w14:paraId="085EEC22">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七、优化控制商业地产。</w:t>
      </w:r>
      <w:r>
        <w:rPr>
          <w:rFonts w:hint="eastAsia"/>
          <w:lang w:eastAsia="zh-CN"/>
        </w:rPr>
        <w:t>对已出让但尚未完全开发建设的非纯住宅类商品房用地，在满足公共服务设施和基础配套设施承载力、相关法律法规以及城市风貌管控要求的前提下，由地块权属单位申请，经规划论证可行，报县国土空间规划专题会议审议通过后，可调整为居住、养老、文化、旅游、体育等适应市场需求的用地进行开发建设。促进商业库存去化，鼓励购买、租赁存量商业办公类商品房用于幼儿园、儿童服务中心、便民服务中心、卫生服务中心、文体活动中心、创业中心等项目。各类机关企事业单位经审批后可按规定就近购买库存商业用房或写字楼，用作业务技术用房。（责任单位:县自然资源局、住建局、财政局、发改局、教育局、卫健局、民政局、人社局、文旅广体局）</w:t>
      </w:r>
    </w:p>
    <w:p w14:paraId="50D37C92">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八、优化存量土地和新增商品房用地供应。</w:t>
      </w:r>
      <w:r>
        <w:rPr>
          <w:rFonts w:hint="eastAsia"/>
          <w:lang w:eastAsia="zh-CN"/>
        </w:rPr>
        <w:t>支持利用专项债券等政策盘活存量闲置土地，对已收回的土地，若市场确有需求的，可优化调整规划条件和相关配套设施建设要求，实现精准投放。坚持已批未建项目在不改变用地性质、容积率等规划指标的情况下，结合市场需求优化调整户型结构、房屋套数等相关指标，在建设工程设计方案审批阶段进行修改，原规划条件及国有土地出让合同约定的内容不作调整。合理新增土地供应，坚持“以规定供、以需定供”， 科学编制年度土地储备供应计划，根据市场需求，商品房去化周期等房地产市场影响因素来确定土地投放量。（责任单位：县自然资源局、财政局、住建局）</w:t>
      </w:r>
    </w:p>
    <w:p w14:paraId="1714AA33">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spacing w:val="-6"/>
          <w:sz w:val="32"/>
          <w:lang w:eastAsia="zh-CN"/>
        </w:rPr>
      </w:pPr>
      <w:r>
        <w:rPr>
          <w:rFonts w:hint="eastAsia" w:ascii="黑体" w:hAnsi="黑体" w:eastAsia="黑体" w:cs="黑体"/>
          <w:lang w:eastAsia="zh-CN"/>
        </w:rPr>
        <w:t>九、降低开发企业土地资金使用成本。</w:t>
      </w:r>
      <w:r>
        <w:rPr>
          <w:rFonts w:hint="eastAsia"/>
          <w:lang w:eastAsia="zh-CN"/>
        </w:rPr>
        <w:t>土地受让方无法在约定的期限内缴纳土地出让价款，确需延期缴纳的，经县人民政府批准，可以协商调整约定的分期缴纳时间和比例，最迟应当在出让合同签订之日起两年内缴清。对于分期缴纳土地出让价款的房地产开发项目，受让人已缴纳50%以上出让价款的，可申请办理建设用地规划许可证、建设工程规划许可证、建设工程施工许可证等开发报建手续，付清剩余价款后，办理商品房预售许可证和不动产权证。在严格监管工程建设和资金使用的前提下，对于部分建筑已完工且相应建筑面积比例的土地出让价款已缴清的，经县人民政府批准，可根据建筑面积占比对相应的土地办理不动产登记</w:t>
      </w:r>
      <w:r>
        <w:rPr>
          <w:rFonts w:hint="eastAsia"/>
          <w:spacing w:val="-6"/>
          <w:sz w:val="32"/>
          <w:lang w:eastAsia="zh-CN"/>
        </w:rPr>
        <w:t>等手续。（责任单位：县自然资源局、住建局、数据局、税务局）</w:t>
      </w:r>
    </w:p>
    <w:p w14:paraId="5C2FABC5">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十、推动“白名单”扩围增效。</w:t>
      </w:r>
      <w:r>
        <w:rPr>
          <w:rFonts w:hint="eastAsia"/>
          <w:lang w:eastAsia="zh-CN"/>
        </w:rPr>
        <w:t>按照“应进尽进、应贷尽贷”原则，对符合条件的房地产项目，经企业申请纳入“白名单”，优化贷款审批和发放流程，为满足金融机构融资条件和标准提供保障。鼓励县湘信土地发展合伙企业（简称“土地基金”）对符合展期条件的房地产开发企业经申请可予以展期支持，对单一投资项目特别是暂不能新增开发贷的项目投资期限由原来的不超过2年调整为不超过3年；适当降低土地基金借款利率，原则上不超过LPR（5年期及以上）上浮50%（含税）。对于已设定在建工程抵押的房地产开发项目，根据归还借款本金多少，对应解除所设定担保的抵押物范围。对支持开发贷力度较大的金融机构，政府相应给予政策支持。（责任单位：县金融监管支局、住建局、自然资源局、财政局、中国人民银行株洲市分行茶陵营业管理部、湖南洣水投资开发集团、湖南犀城产业投资集团）</w:t>
      </w:r>
    </w:p>
    <w:p w14:paraId="6461C709">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十一、优化购房落户条件。</w:t>
      </w:r>
      <w:r>
        <w:rPr>
          <w:rFonts w:hint="eastAsia"/>
          <w:lang w:eastAsia="zh-CN"/>
        </w:rPr>
        <w:t>城区购买新建商品住房，在房屋取得商品房预售许可证后，可在其辖区派出所完成楼盘备案，且购房人已完成网签合同并缴纳契税的，可到公安部门申请办理落户手续。完成落户后，户主子女可按照“有房有户”类别就近入学。（责任单位：县教育局、公安局、自然资源局、住建局）</w:t>
      </w:r>
    </w:p>
    <w:p w14:paraId="237860BD">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十二、支持收购存量商品房。</w:t>
      </w:r>
      <w:r>
        <w:rPr>
          <w:rFonts w:hint="eastAsia"/>
          <w:lang w:eastAsia="zh-CN"/>
        </w:rPr>
        <w:t>推进收购存量商品房用作保障性住房工作（含青年人才住房），支持县政府明确的收购运营主体开展收购工作，积极争取预算内、专项债、人民银行在贷款等各类政策性资金支持。（责任单位：县政府、财政局、发改局、住建局、</w:t>
      </w:r>
      <w:r>
        <w:rPr>
          <w:rFonts w:hint="eastAsia"/>
          <w:spacing w:val="-6"/>
          <w:sz w:val="32"/>
          <w:lang w:eastAsia="zh-CN"/>
        </w:rPr>
        <w:t>住保中心、税务局、中国人民银行株洲市分行茶陵营业管理部）</w:t>
      </w:r>
    </w:p>
    <w:p w14:paraId="408A984B">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十三、实施“以旧换新”购房模式。</w:t>
      </w:r>
      <w:r>
        <w:rPr>
          <w:rFonts w:hint="eastAsia"/>
          <w:lang w:eastAsia="zh-CN"/>
        </w:rPr>
        <w:t>支持改善性住房需求，鼓励房地产开发企业、房地产经济机构积极探索租购存量房（二手房）、“以旧换新”购房模式。按照《关于延续实施支持居民换购住房有关个人所得税政策的公告》（财政部 税务总局 住房城乡建设部公告2023年第28号），对出售自有住房并在现住房出售后1年内在市场重新购买住房的纳税人，对其出售现住房已缴纳的个人所得税予以退税优惠。其中，新购住房金额大于或等于现住房转让金额的，全部退还已缴纳的个人所得税；新购住房金额小于现住房转让金额的，按照新购住房金额占现住房转让金额的比例退还出售现有住房已缴纳的个人所得税。（责任单位：县金融监管支局、住建局、财政局、税务局、自然资源局）</w:t>
      </w:r>
    </w:p>
    <w:p w14:paraId="46A3F266">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十四、提升住房品质。</w:t>
      </w:r>
      <w:r>
        <w:rPr>
          <w:rFonts w:hint="eastAsia"/>
          <w:lang w:eastAsia="zh-CN"/>
        </w:rPr>
        <w:t>因地制宜组织开展“好房子”建设试点，落实国家标准《住宅项目规范》（GB55038-2025），因地制宜出台“好房子”建设的公共服务设施配套标准及规划导则等，优化房屋计容建筑面积计算规则增加得房率，架空层、配套公共服务设施、公共适老设施等可不计容积率。（责任单位：县政府办、住建局、自然资源局）</w:t>
      </w:r>
    </w:p>
    <w:p w14:paraId="4EB93503">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ascii="黑体" w:hAnsi="黑体" w:eastAsia="黑体" w:cs="黑体"/>
          <w:lang w:eastAsia="zh-CN"/>
        </w:rPr>
        <w:t>十五、推出“湘赣边中心县”好房子优惠政策。</w:t>
      </w:r>
      <w:r>
        <w:rPr>
          <w:rFonts w:hint="eastAsia"/>
          <w:lang w:eastAsia="zh-CN"/>
        </w:rPr>
        <w:t>凡是周边省、市、县等外籍人员在茶陵县购买新建商品房，在就业、就医、就学领域享受以下优惠政策：</w:t>
      </w:r>
    </w:p>
    <w:p w14:paraId="32A53CBF">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lang w:eastAsia="zh-CN"/>
        </w:rPr>
        <w:t>1.就业：在茶常住人口，可享受求职岗位推荐、政府性补贴和职业培训等公共就业服务；属于城镇就业困难人员或离校两年内高校毕业生，缴纳灵活就业社保后可享受社保补贴；注册个体或公司，符合一定条件可享受一次性创业补贴和政府贴息的创业担保贷款。</w:t>
      </w:r>
    </w:p>
    <w:p w14:paraId="4D47FE4E">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lang w:eastAsia="zh-CN"/>
        </w:rPr>
        <w:t>2.就医：可享受公立医疗机构就诊免挂号费；医保结算、药房取药、缴费等享受优先窗口服务；为符合条件的县外户籍购房者提供湘雅医院驻茶陵专家门诊的优先预约权；通过茶陵县人民医院远程医学中心，便捷享受中南大学湘雅医院专家的线上诊疗、远程会诊及治疗方案指导；由属地乡镇卫生院或社区卫生服务中心，为有需求的购房者及其直系亲属建立电子健康档案，并纳入家庭医生签约服务重点人群，提供针对性健康管理。</w:t>
      </w:r>
    </w:p>
    <w:p w14:paraId="165C7458">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lang w:eastAsia="zh-CN"/>
        </w:rPr>
        <w:t>3.就学：在茶陵县购房人已完成网签合同并缴纳契税的，可到公安部门申请办理落户手续，完成落户后，户主子女可按“有房有户”类别就近入学；有房无户：适龄儿童（少年）本人、父母或其他法定监护人的户籍在茶陵县城区外，但在茶陵县城区内购买住房，以房产（不动产权证、房屋所有权证或购房合同）为依据就近或相对就近入学。有多套住房的，以监护人报名申请时登记的房产为依据安排入学。（责任单位：县人社局、卫健局、教育局、不动产登记中心）</w:t>
      </w:r>
    </w:p>
    <w:p w14:paraId="5235D298">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lang w:eastAsia="zh-CN"/>
        </w:rPr>
      </w:pPr>
      <w:r>
        <w:rPr>
          <w:rFonts w:hint="eastAsia"/>
          <w:lang w:eastAsia="zh-CN"/>
        </w:rPr>
        <w:t>第十三项措施执行至2025年12月31日，除第十三项措施外，其余措施自2025年9月15日起施行，执行期限暂定至2026年3月30日，其中第一、二、三项补贴政策可同时适用。之前的相关政策与本文件不一致的，以本文件为准。若中央、省、市有新的优惠政策，则按上级文件执行。</w:t>
      </w:r>
    </w:p>
    <w:p w14:paraId="3951A7EC">
      <w:pPr>
        <w:keepNext w:val="0"/>
        <w:keepLines w:val="0"/>
        <w:pageBreakBefore w:val="0"/>
        <w:widowControl w:val="0"/>
        <w:kinsoku/>
        <w:wordWrap/>
        <w:overflowPunct w:val="0"/>
        <w:topLinePunct w:val="0"/>
        <w:autoSpaceDE/>
        <w:autoSpaceDN/>
        <w:bidi w:val="0"/>
        <w:adjustRightInd/>
        <w:snapToGrid/>
        <w:textAlignment w:val="auto"/>
        <w:rPr>
          <w:rFonts w:hint="eastAsia"/>
          <w:lang w:eastAsia="zh-CN"/>
        </w:rPr>
      </w:pPr>
    </w:p>
    <w:p w14:paraId="6C65EC8B">
      <w:pPr>
        <w:pStyle w:val="2"/>
        <w:rPr>
          <w:rFonts w:hint="eastAsia"/>
          <w:lang w:eastAsia="zh-CN"/>
        </w:rPr>
      </w:pPr>
    </w:p>
    <w:p w14:paraId="59DA88A3">
      <w:pPr>
        <w:pStyle w:val="3"/>
        <w:rPr>
          <w:rFonts w:hint="eastAsia"/>
          <w:lang w:eastAsia="zh-CN"/>
        </w:rPr>
      </w:pPr>
    </w:p>
    <w:p w14:paraId="556B0CDB">
      <w:pPr>
        <w:rPr>
          <w:rFonts w:hint="eastAsia"/>
          <w:lang w:eastAsia="zh-CN"/>
        </w:rPr>
      </w:pPr>
    </w:p>
    <w:p w14:paraId="7308030E">
      <w:pPr>
        <w:pStyle w:val="2"/>
        <w:rPr>
          <w:rFonts w:hint="eastAsia"/>
          <w:lang w:eastAsia="zh-CN"/>
        </w:rPr>
      </w:pPr>
    </w:p>
    <w:p w14:paraId="6BDD9BB3">
      <w:pPr>
        <w:pStyle w:val="3"/>
        <w:rPr>
          <w:rFonts w:hint="eastAsia"/>
          <w:lang w:eastAsia="zh-CN"/>
        </w:rPr>
      </w:pPr>
    </w:p>
    <w:p w14:paraId="76F614EF">
      <w:pPr>
        <w:rPr>
          <w:rFonts w:hint="eastAsia"/>
          <w:lang w:eastAsia="zh-CN"/>
        </w:rPr>
      </w:pPr>
    </w:p>
    <w:p w14:paraId="551A6973">
      <w:pPr>
        <w:pStyle w:val="2"/>
        <w:rPr>
          <w:rFonts w:hint="eastAsia"/>
          <w:lang w:eastAsia="zh-CN"/>
        </w:rPr>
      </w:pPr>
    </w:p>
    <w:p w14:paraId="67963601">
      <w:pPr>
        <w:pStyle w:val="3"/>
        <w:rPr>
          <w:rFonts w:hint="eastAsia"/>
          <w:lang w:eastAsia="zh-CN"/>
        </w:rPr>
      </w:pPr>
    </w:p>
    <w:p w14:paraId="216AFFF1">
      <w:pPr>
        <w:rPr>
          <w:rFonts w:hint="eastAsia"/>
          <w:lang w:eastAsia="zh-CN"/>
        </w:rPr>
      </w:pPr>
    </w:p>
    <w:p w14:paraId="3D0A4D9E">
      <w:pPr>
        <w:pStyle w:val="2"/>
        <w:rPr>
          <w:rFonts w:hint="eastAsia"/>
          <w:lang w:eastAsia="zh-CN"/>
        </w:rPr>
      </w:pPr>
    </w:p>
    <w:p w14:paraId="1A25F5A6">
      <w:pPr>
        <w:pStyle w:val="3"/>
        <w:rPr>
          <w:rFonts w:hint="eastAsia"/>
          <w:lang w:eastAsia="zh-CN"/>
        </w:rPr>
        <w:sectPr>
          <w:headerReference r:id="rId11" w:type="default"/>
          <w:footerReference r:id="rId12" w:type="default"/>
          <w:footerReference r:id="rId13" w:type="even"/>
          <w:pgSz w:w="11906" w:h="16838"/>
          <w:pgMar w:top="2098" w:right="1531" w:bottom="1984" w:left="1531" w:header="851" w:footer="1587" w:gutter="0"/>
          <w:cols w:space="0" w:num="1"/>
          <w:rtlGutter w:val="0"/>
          <w:docGrid w:type="linesAndChars" w:linePitch="579" w:charSpace="-849"/>
        </w:sectPr>
      </w:pPr>
    </w:p>
    <w:p w14:paraId="2474B57E">
      <w:pPr>
        <w:rPr>
          <w:rFonts w:hint="eastAsia"/>
          <w:lang w:eastAsia="zh-CN"/>
        </w:rPr>
      </w:pPr>
    </w:p>
    <w:p w14:paraId="57B08FB9">
      <w:pPr>
        <w:rPr>
          <w:rFonts w:hint="eastAsia"/>
          <w:lang w:eastAsia="zh-CN"/>
        </w:rPr>
      </w:pPr>
    </w:p>
    <w:p w14:paraId="6065447F">
      <w:pPr>
        <w:pStyle w:val="2"/>
        <w:rPr>
          <w:rFonts w:hint="eastAsia"/>
          <w:lang w:eastAsia="zh-CN"/>
        </w:rPr>
      </w:pPr>
    </w:p>
    <w:p w14:paraId="16E0FFF6">
      <w:pPr>
        <w:pStyle w:val="3"/>
        <w:rPr>
          <w:rFonts w:hint="eastAsia"/>
          <w:lang w:eastAsia="zh-CN"/>
        </w:rPr>
      </w:pPr>
    </w:p>
    <w:p w14:paraId="33DA4243">
      <w:pPr>
        <w:rPr>
          <w:rFonts w:hint="eastAsia"/>
          <w:lang w:eastAsia="zh-CN"/>
        </w:rPr>
      </w:pPr>
    </w:p>
    <w:p w14:paraId="49DFAA69">
      <w:pPr>
        <w:pStyle w:val="2"/>
        <w:rPr>
          <w:rFonts w:hint="eastAsia"/>
          <w:lang w:eastAsia="zh-CN"/>
        </w:rPr>
      </w:pPr>
    </w:p>
    <w:p w14:paraId="7CEECEC1">
      <w:pPr>
        <w:pStyle w:val="3"/>
        <w:rPr>
          <w:rFonts w:hint="eastAsia"/>
          <w:lang w:eastAsia="zh-CN"/>
        </w:rPr>
      </w:pPr>
    </w:p>
    <w:p w14:paraId="64A7ED02">
      <w:pPr>
        <w:rPr>
          <w:rFonts w:hint="eastAsia"/>
          <w:lang w:eastAsia="zh-CN"/>
        </w:rPr>
      </w:pPr>
    </w:p>
    <w:p w14:paraId="3ACADAE4">
      <w:pPr>
        <w:pStyle w:val="2"/>
        <w:rPr>
          <w:rFonts w:hint="eastAsia"/>
          <w:lang w:eastAsia="zh-CN"/>
        </w:rPr>
      </w:pPr>
    </w:p>
    <w:p w14:paraId="4B1A36EF">
      <w:pPr>
        <w:pStyle w:val="3"/>
        <w:rPr>
          <w:rFonts w:hint="eastAsia"/>
          <w:lang w:eastAsia="zh-CN"/>
        </w:rPr>
      </w:pPr>
    </w:p>
    <w:p w14:paraId="1AD446C2">
      <w:pPr>
        <w:rPr>
          <w:rFonts w:hint="eastAsia"/>
          <w:lang w:eastAsia="zh-CN"/>
        </w:rPr>
      </w:pPr>
    </w:p>
    <w:p w14:paraId="66157268">
      <w:pPr>
        <w:pStyle w:val="2"/>
        <w:rPr>
          <w:rFonts w:hint="eastAsia"/>
          <w:lang w:eastAsia="zh-CN"/>
        </w:rPr>
      </w:pPr>
    </w:p>
    <w:p w14:paraId="2E802ACB">
      <w:pPr>
        <w:pStyle w:val="3"/>
        <w:rPr>
          <w:rFonts w:hint="eastAsia"/>
          <w:lang w:eastAsia="zh-CN"/>
        </w:rPr>
      </w:pPr>
    </w:p>
    <w:p w14:paraId="78D4B263">
      <w:pPr>
        <w:rPr>
          <w:rFonts w:hint="eastAsia"/>
          <w:lang w:eastAsia="zh-CN"/>
        </w:rPr>
      </w:pPr>
    </w:p>
    <w:p w14:paraId="45005548">
      <w:pPr>
        <w:pStyle w:val="2"/>
        <w:rPr>
          <w:rFonts w:hint="eastAsia"/>
          <w:lang w:eastAsia="zh-CN"/>
        </w:rPr>
      </w:pPr>
    </w:p>
    <w:p w14:paraId="6143A03F">
      <w:pPr>
        <w:pStyle w:val="3"/>
        <w:rPr>
          <w:rFonts w:hint="eastAsia"/>
          <w:lang w:eastAsia="zh-CN"/>
        </w:rPr>
      </w:pPr>
    </w:p>
    <w:p w14:paraId="1174A2FA">
      <w:pPr>
        <w:rPr>
          <w:rFonts w:hint="eastAsia"/>
          <w:lang w:eastAsia="zh-CN"/>
        </w:rPr>
      </w:pPr>
    </w:p>
    <w:p w14:paraId="2D4A104A">
      <w:pPr>
        <w:pStyle w:val="2"/>
        <w:rPr>
          <w:rFonts w:hint="eastAsia"/>
          <w:lang w:eastAsia="zh-CN"/>
        </w:rPr>
      </w:pPr>
    </w:p>
    <w:p w14:paraId="7FD2727F">
      <w:pPr>
        <w:pStyle w:val="3"/>
        <w:rPr>
          <w:rFonts w:hint="eastAsia"/>
          <w:lang w:eastAsia="zh-CN"/>
        </w:rPr>
      </w:pPr>
    </w:p>
    <w:p w14:paraId="2750DAB0">
      <w:pPr>
        <w:rPr>
          <w:rFonts w:hint="eastAsia"/>
          <w:lang w:eastAsia="zh-CN"/>
        </w:rPr>
      </w:pPr>
    </w:p>
    <w:p w14:paraId="576BA2DD">
      <w:pPr>
        <w:pStyle w:val="2"/>
        <w:rPr>
          <w:rFonts w:hint="eastAsia"/>
          <w:lang w:eastAsia="zh-CN"/>
        </w:rPr>
      </w:pPr>
    </w:p>
    <w:p w14:paraId="2C76B4F4">
      <w:pPr>
        <w:pStyle w:val="3"/>
        <w:rPr>
          <w:rFonts w:hint="eastAsia"/>
          <w:lang w:eastAsia="zh-CN"/>
        </w:rPr>
      </w:pPr>
    </w:p>
    <w:p w14:paraId="60DEA42D">
      <w:pPr>
        <w:pStyle w:val="2"/>
        <w:rPr>
          <w:rFonts w:hint="eastAsia"/>
          <w:lang w:eastAsia="zh-CN"/>
        </w:rPr>
      </w:pPr>
    </w:p>
    <w:p w14:paraId="6B96FDC8">
      <w:pPr>
        <w:pStyle w:val="3"/>
        <w:rPr>
          <w:rFonts w:hint="eastAsia"/>
          <w:lang w:eastAsia="zh-CN"/>
        </w:rPr>
      </w:pPr>
    </w:p>
    <w:p w14:paraId="1EED8B08">
      <w:pPr>
        <w:rPr>
          <w:rFonts w:hint="eastAsia"/>
          <w:lang w:eastAsia="zh-CN"/>
        </w:rPr>
      </w:pPr>
    </w:p>
    <w:p w14:paraId="7ABE327A">
      <w:pPr>
        <w:widowControl w:val="0"/>
        <w:kinsoku/>
        <w:autoSpaceDE/>
        <w:autoSpaceDN/>
        <w:adjustRightInd/>
        <w:snapToGrid/>
        <w:spacing w:after="0" w:line="540" w:lineRule="exact"/>
        <w:ind w:firstLine="316" w:firstLineChars="100"/>
        <w:jc w:val="both"/>
        <w:textAlignment w:val="auto"/>
        <w:rPr>
          <w:rFonts w:hint="default" w:ascii="Times New Roman" w:hAnsi="Times New Roman" w:eastAsia="仿宋_GB2312" w:cs="Times New Roman"/>
          <w:b w:val="0"/>
          <w:bCs w:val="0"/>
          <w:snapToGrid/>
          <w:color w:val="000000"/>
          <w:kern w:val="2"/>
          <w:sz w:val="28"/>
          <w:szCs w:val="28"/>
          <w:lang w:eastAsia="zh-CN"/>
        </w:rPr>
      </w:pPr>
      <w:r>
        <w:rPr>
          <w:rFonts w:hint="default" w:ascii="Times New Roman" w:hAnsi="Times New Roman" w:eastAsia="仿宋_GB2312" w:cs="Times New Roman"/>
          <w:b w:val="0"/>
          <w:bCs w:val="0"/>
          <w:snapToGrid/>
          <w:color w:val="000000"/>
          <w:kern w:val="2"/>
          <w:sz w:val="32"/>
          <w:szCs w:val="24"/>
          <w:lang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9525</wp:posOffset>
                </wp:positionV>
                <wp:extent cx="561594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75pt;height:0pt;width:442.2pt;z-index:251661312;mso-width-relative:page;mso-height-relative:page;" filled="f" stroked="t" coordsize="21600,21600" o:gfxdata="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7Nm+q0gAAAAQBAAAPAAAAAAAAAAEAIAAAACIAAABkcnMvZG93bnJldi54bWxQSwEC&#10;FAAUAAAACACHTuJAZefiPvoBAAD0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snapToGrid/>
          <w:color w:val="000000"/>
          <w:kern w:val="2"/>
          <w:sz w:val="28"/>
          <w:szCs w:val="28"/>
          <w:lang w:eastAsia="zh-CN"/>
        </w:rPr>
        <w:t>抄送：县委办，县人大办，县政协办。</w:t>
      </w:r>
    </w:p>
    <w:p w14:paraId="7ED22511">
      <w:pPr>
        <w:keepNext w:val="0"/>
        <w:keepLines w:val="0"/>
        <w:pageBreakBefore w:val="0"/>
        <w:widowControl w:val="0"/>
        <w:kinsoku/>
        <w:wordWrap/>
        <w:overflowPunct/>
        <w:topLinePunct w:val="0"/>
        <w:autoSpaceDE/>
        <w:autoSpaceDN/>
        <w:bidi w:val="0"/>
        <w:adjustRightInd/>
        <w:snapToGrid/>
        <w:spacing w:after="0" w:line="580" w:lineRule="exact"/>
        <w:ind w:firstLine="316" w:firstLineChars="100"/>
        <w:jc w:val="left"/>
        <w:textAlignment w:val="auto"/>
        <w:rPr>
          <w:rFonts w:hint="eastAsia"/>
          <w:lang w:eastAsia="zh-CN"/>
        </w:rPr>
      </w:pPr>
      <w:r>
        <w:rPr>
          <w:rFonts w:hint="default" w:ascii="Times New Roman" w:hAnsi="Times New Roman" w:eastAsia="仿宋_GB2312" w:cs="Times New Roman"/>
          <w:b w:val="0"/>
          <w:bCs w:val="0"/>
          <w:snapToGrid/>
          <w:color w:val="000000"/>
          <w:kern w:val="2"/>
          <w:sz w:val="32"/>
          <w:szCs w:val="24"/>
          <w:lang w:eastAsia="zh-CN"/>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414020</wp:posOffset>
                </wp:positionV>
                <wp:extent cx="561594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pt;margin-top:32.6pt;height:0pt;width:442.2pt;z-index:251662336;mso-width-relative:page;mso-height-relative:page;" filled="f" stroked="t" coordsize="21600,21600" o:gfxdata="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pY+27UAAAABgEAAA8AAAAAAAAAAQAgAAAAIgAAAGRycy9kb3ducmV2LnhtbFBL&#10;AQIUABQAAAAIAIdO4kARPubw+gEAAPQ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snapToGrid/>
          <w:color w:val="000000"/>
          <w:kern w:val="2"/>
          <w:sz w:val="28"/>
          <w:szCs w:val="28"/>
          <w:lang w:eastAsia="zh-CN"/>
        </w:rPr>
        <w:t xml:space="preserve">茶陵县人民政府办公室  </w:t>
      </w:r>
      <w:r>
        <w:rPr>
          <w:rFonts w:hint="default" w:ascii="Times New Roman" w:hAnsi="Times New Roman" w:eastAsia="仿宋_GB2312" w:cs="Times New Roman"/>
          <w:b w:val="0"/>
          <w:bCs w:val="0"/>
          <w:snapToGrid/>
          <w:color w:val="000000"/>
          <w:kern w:val="2"/>
          <w:sz w:val="28"/>
          <w:szCs w:val="28"/>
          <w:lang w:val="en-US" w:eastAsia="zh-CN"/>
        </w:rPr>
        <w:t xml:space="preserve">   </w:t>
      </w:r>
      <w:r>
        <w:rPr>
          <w:rFonts w:hint="default" w:ascii="Times New Roman" w:hAnsi="Times New Roman" w:eastAsia="宋体" w:cs="Times New Roman"/>
          <w:b w:val="0"/>
          <w:bCs w:val="0"/>
          <w:snapToGrid/>
          <w:color w:val="000000"/>
          <w:kern w:val="2"/>
          <w:sz w:val="28"/>
          <w:szCs w:val="28"/>
          <w:lang w:val="en-US" w:eastAsia="zh-CN"/>
        </w:rPr>
        <w:t xml:space="preserve">          </w:t>
      </w:r>
      <w:r>
        <w:rPr>
          <w:rFonts w:hint="eastAsia" w:ascii="Times New Roman" w:hAnsi="Times New Roman" w:eastAsia="宋体" w:cs="Times New Roman"/>
          <w:b w:val="0"/>
          <w:bCs w:val="0"/>
          <w:snapToGrid/>
          <w:color w:val="000000"/>
          <w:kern w:val="2"/>
          <w:sz w:val="28"/>
          <w:szCs w:val="28"/>
          <w:lang w:val="en-US" w:eastAsia="zh-CN"/>
        </w:rPr>
        <w:t xml:space="preserve"> </w:t>
      </w:r>
      <w:r>
        <w:rPr>
          <w:rFonts w:hint="eastAsia" w:eastAsia="宋体" w:cs="Times New Roman"/>
          <w:b w:val="0"/>
          <w:bCs w:val="0"/>
          <w:snapToGrid/>
          <w:color w:val="000000"/>
          <w:kern w:val="2"/>
          <w:sz w:val="28"/>
          <w:szCs w:val="28"/>
          <w:lang w:val="en-US" w:eastAsia="zh-CN"/>
        </w:rPr>
        <w:t xml:space="preserve"> </w:t>
      </w:r>
      <w:r>
        <w:rPr>
          <w:rFonts w:hint="default" w:ascii="Times New Roman" w:hAnsi="Times New Roman" w:eastAsia="宋体" w:cs="Times New Roman"/>
          <w:b w:val="0"/>
          <w:bCs w:val="0"/>
          <w:snapToGrid/>
          <w:color w:val="000000"/>
          <w:kern w:val="2"/>
          <w:sz w:val="28"/>
          <w:szCs w:val="28"/>
          <w:lang w:val="en-US" w:eastAsia="zh-CN"/>
        </w:rPr>
        <w:t xml:space="preserve">  </w:t>
      </w:r>
      <w:r>
        <w:rPr>
          <w:rFonts w:hint="default" w:ascii="Times New Roman" w:hAnsi="Times New Roman" w:eastAsia="仿宋_GB2312" w:cs="Times New Roman"/>
          <w:b w:val="0"/>
          <w:bCs w:val="0"/>
          <w:snapToGrid/>
          <w:color w:val="000000"/>
          <w:kern w:val="2"/>
          <w:sz w:val="28"/>
          <w:szCs w:val="28"/>
          <w:lang w:val="en-US" w:eastAsia="zh-CN"/>
        </w:rPr>
        <w:t xml:space="preserve">  </w:t>
      </w:r>
      <w:r>
        <w:rPr>
          <w:rFonts w:hint="default" w:ascii="Times New Roman" w:hAnsi="Times New Roman" w:eastAsia="仿宋_GB2312" w:cs="Times New Roman"/>
          <w:b w:val="0"/>
          <w:bCs w:val="0"/>
          <w:snapToGrid/>
          <w:color w:val="000000"/>
          <w:kern w:val="2"/>
          <w:sz w:val="28"/>
          <w:szCs w:val="28"/>
          <w:lang w:eastAsia="zh-CN"/>
        </w:rPr>
        <w:t>20</w:t>
      </w:r>
      <w:r>
        <w:rPr>
          <w:rFonts w:hint="default" w:ascii="Times New Roman" w:hAnsi="Times New Roman" w:eastAsia="仿宋_GB2312" w:cs="Times New Roman"/>
          <w:b w:val="0"/>
          <w:bCs w:val="0"/>
          <w:snapToGrid/>
          <w:color w:val="000000"/>
          <w:kern w:val="2"/>
          <w:sz w:val="28"/>
          <w:szCs w:val="28"/>
          <w:lang w:val="en-US" w:eastAsia="zh-CN"/>
        </w:rPr>
        <w:t>25</w:t>
      </w:r>
      <w:r>
        <w:rPr>
          <w:rFonts w:hint="default" w:ascii="Times New Roman" w:hAnsi="Times New Roman" w:eastAsia="仿宋_GB2312" w:cs="Times New Roman"/>
          <w:b w:val="0"/>
          <w:bCs w:val="0"/>
          <w:snapToGrid/>
          <w:color w:val="000000"/>
          <w:kern w:val="2"/>
          <w:sz w:val="28"/>
          <w:szCs w:val="28"/>
          <w:lang w:eastAsia="zh-CN"/>
        </w:rPr>
        <w:t>年</w:t>
      </w:r>
      <w:r>
        <w:rPr>
          <w:rFonts w:hint="eastAsia" w:cs="Times New Roman"/>
          <w:b w:val="0"/>
          <w:bCs w:val="0"/>
          <w:snapToGrid/>
          <w:color w:val="000000"/>
          <w:kern w:val="2"/>
          <w:sz w:val="28"/>
          <w:szCs w:val="28"/>
          <w:lang w:val="en-US" w:eastAsia="zh-CN"/>
        </w:rPr>
        <w:t>9</w:t>
      </w:r>
      <w:r>
        <w:rPr>
          <w:rFonts w:hint="default" w:ascii="Times New Roman" w:hAnsi="Times New Roman" w:eastAsia="仿宋_GB2312" w:cs="Times New Roman"/>
          <w:b w:val="0"/>
          <w:bCs w:val="0"/>
          <w:snapToGrid/>
          <w:color w:val="000000"/>
          <w:kern w:val="2"/>
          <w:sz w:val="28"/>
          <w:szCs w:val="28"/>
          <w:lang w:eastAsia="zh-CN"/>
        </w:rPr>
        <w:t>月</w:t>
      </w:r>
      <w:r>
        <w:rPr>
          <w:rFonts w:hint="eastAsia" w:cs="Times New Roman"/>
          <w:b w:val="0"/>
          <w:bCs w:val="0"/>
          <w:snapToGrid/>
          <w:color w:val="000000"/>
          <w:kern w:val="2"/>
          <w:sz w:val="28"/>
          <w:szCs w:val="28"/>
          <w:lang w:val="en-US" w:eastAsia="zh-CN"/>
        </w:rPr>
        <w:t>24</w:t>
      </w:r>
      <w:r>
        <w:rPr>
          <w:rFonts w:hint="default" w:ascii="Times New Roman" w:hAnsi="Times New Roman" w:eastAsia="仿宋_GB2312" w:cs="Times New Roman"/>
          <w:b w:val="0"/>
          <w:bCs w:val="0"/>
          <w:snapToGrid/>
          <w:color w:val="000000"/>
          <w:kern w:val="2"/>
          <w:sz w:val="28"/>
          <w:szCs w:val="28"/>
          <w:lang w:eastAsia="zh-CN"/>
        </w:rPr>
        <w:t>日印发</w:t>
      </w:r>
      <w:r>
        <w:rPr>
          <w:rFonts w:hint="default" w:ascii="Times New Roman" w:hAnsi="Times New Roman" w:eastAsia="仿宋_GB2312" w:cs="Times New Roman"/>
          <w:b w:val="0"/>
          <w:bCs w:val="0"/>
          <w:snapToGrid/>
          <w:color w:val="000000"/>
          <w:kern w:val="2"/>
          <w:sz w:val="32"/>
          <w:szCs w:val="24"/>
          <w:lang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47625</wp:posOffset>
                </wp:positionV>
                <wp:extent cx="561594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75pt;height:0pt;width:442.2pt;z-index:251660288;mso-width-relative:page;mso-height-relative:page;" filled="f" stroked="t" coordsize="21600,21600" o:gfxdata="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lyM59MAAAAEAQAADwAAAAAAAAABACAAAAAiAAAAZHJzL2Rvd25yZXYueG1sUEsB&#10;AhQAFAAAAAgAh07iQMxTmnn6AQAA9A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7606030</wp:posOffset>
                </wp:positionV>
                <wp:extent cx="1495425" cy="1266825"/>
                <wp:effectExtent l="0" t="0" r="9525" b="9525"/>
                <wp:wrapNone/>
                <wp:docPr id="1" name="矩形 1"/>
                <wp:cNvGraphicFramePr/>
                <a:graphic xmlns:a="http://schemas.openxmlformats.org/drawingml/2006/main">
                  <a:graphicData uri="http://schemas.microsoft.com/office/word/2010/wordprocessingShape">
                    <wps:wsp>
                      <wps:cNvSpPr/>
                      <wps:spPr>
                        <a:xfrm>
                          <a:off x="603885" y="8776335"/>
                          <a:ext cx="1495425" cy="126682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pt;margin-top:598.9pt;height:99.75pt;width:117.75pt;z-index:251659264;v-text-anchor:middle;mso-width-relative:page;mso-height-relative:page;" fillcolor="#FFFFFF [3212]" filled="t" stroked="f" coordsize="21600,21600" o:gfxdata="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at5kTYAAAADQEAAA8AAAAAAAAAAQAgAAAAIgAAAGRycy9kb3ducmV2Lnht&#10;bFBLAQIUABQAAAAIAIdO4kAcqLH4awIAAMAEAAAOAAAAAAAAAAEAIAAAACcBAABkcnMvZTJvRG9j&#10;LnhtbFBLBQYAAAAABgAGAFkBAAAEBgAAAAA=&#10;">
                <v:fill on="t" focussize="0,0"/>
                <v:stroke on="f" weight="2pt"/>
                <v:imagedata o:title=""/>
                <o:lock v:ext="edit" aspectratio="f"/>
              </v:rect>
            </w:pict>
          </mc:Fallback>
        </mc:AlternateContent>
      </w:r>
    </w:p>
    <w:sectPr>
      <w:footerReference r:id="rId14" w:type="default"/>
      <w:pgSz w:w="11906" w:h="16838"/>
      <w:pgMar w:top="2098" w:right="1531" w:bottom="1984" w:left="1531" w:header="851" w:footer="1587" w:gutter="0"/>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AE254">
    <w:pPr>
      <w:framePr w:wrap="around" w:vAnchor="text" w:hAnchor="margin" w:xAlign="outside" w:y="1"/>
      <w:widowControl w:val="0"/>
      <w:snapToGrid w:val="0"/>
      <w:ind w:left="0" w:leftChars="0" w:firstLine="0" w:firstLineChars="0"/>
      <w:jc w:val="left"/>
      <w:rPr>
        <w:rFonts w:hint="eastAsia" w:ascii="宋体" w:hAnsi="宋体" w:eastAsia="宋体" w:cs="宋体"/>
        <w:kern w:val="2"/>
        <w:sz w:val="28"/>
        <w:szCs w:val="24"/>
        <w:lang w:val="en-US" w:eastAsia="zh-CN" w:bidi="ar-SA"/>
      </w:rPr>
    </w:pPr>
    <w:r>
      <w:rPr>
        <w:rFonts w:hint="eastAsia" w:ascii="宋体" w:hAnsi="宋体" w:eastAsia="宋体" w:cs="宋体"/>
        <w:kern w:val="2"/>
        <w:sz w:val="28"/>
        <w:szCs w:val="24"/>
        <w:lang w:val="en-US" w:eastAsia="zh-CN" w:bidi="ar-SA"/>
      </w:rPr>
      <w:t xml:space="preserve">— </w:t>
    </w:r>
    <w:r>
      <w:rPr>
        <w:rFonts w:ascii="宋体" w:hAnsi="宋体" w:eastAsia="宋体" w:cs="宋体"/>
        <w:kern w:val="2"/>
        <w:sz w:val="28"/>
        <w:szCs w:val="24"/>
        <w:lang w:val="en-US" w:eastAsia="zh-CN" w:bidi="ar-SA"/>
      </w:rPr>
      <w:fldChar w:fldCharType="begin"/>
    </w:r>
    <w:r>
      <w:rPr>
        <w:rFonts w:ascii="宋体" w:hAnsi="宋体" w:eastAsia="宋体" w:cs="宋体"/>
        <w:kern w:val="2"/>
        <w:sz w:val="28"/>
        <w:szCs w:val="24"/>
        <w:lang w:val="en-US" w:eastAsia="zh-CN" w:bidi="ar-SA"/>
      </w:rPr>
      <w:instrText xml:space="preserve">PAGE  </w:instrText>
    </w:r>
    <w:r>
      <w:rPr>
        <w:rFonts w:ascii="宋体" w:hAnsi="宋体" w:eastAsia="宋体" w:cs="宋体"/>
        <w:kern w:val="2"/>
        <w:sz w:val="28"/>
        <w:szCs w:val="24"/>
        <w:lang w:val="en-US" w:eastAsia="zh-CN" w:bidi="ar-SA"/>
      </w:rPr>
      <w:fldChar w:fldCharType="separate"/>
    </w:r>
    <w:r>
      <w:rPr>
        <w:rFonts w:ascii="宋体" w:hAnsi="宋体" w:eastAsia="宋体" w:cs="宋体"/>
        <w:kern w:val="2"/>
        <w:sz w:val="28"/>
        <w:szCs w:val="24"/>
        <w:lang w:val="en-US" w:eastAsia="zh-CN" w:bidi="ar-SA"/>
      </w:rPr>
      <w:t>1</w:t>
    </w:r>
    <w:r>
      <w:rPr>
        <w:rFonts w:ascii="宋体" w:hAnsi="宋体" w:eastAsia="宋体" w:cs="宋体"/>
        <w:kern w:val="2"/>
        <w:sz w:val="28"/>
        <w:szCs w:val="24"/>
        <w:lang w:val="en-US" w:eastAsia="zh-CN" w:bidi="ar-SA"/>
      </w:rPr>
      <w:fldChar w:fldCharType="end"/>
    </w:r>
    <w:r>
      <w:rPr>
        <w:rFonts w:hint="eastAsia" w:ascii="宋体" w:hAnsi="宋体" w:eastAsia="宋体" w:cs="宋体"/>
        <w:kern w:val="2"/>
        <w:sz w:val="28"/>
        <w:szCs w:val="24"/>
        <w:lang w:val="en-US" w:eastAsia="zh-CN" w:bidi="ar-SA"/>
      </w:rPr>
      <w:t xml:space="preserve"> —</w:t>
    </w:r>
  </w:p>
  <w:p w14:paraId="5B2C2AD7">
    <w:pPr>
      <w:keepNext w:val="0"/>
      <w:keepLines w:val="0"/>
      <w:pageBreakBefore w:val="0"/>
      <w:widowControl w:val="0"/>
      <w:kinsoku/>
      <w:wordWrap/>
      <w:overflowPunct/>
      <w:topLinePunct w:val="0"/>
      <w:autoSpaceDE/>
      <w:autoSpaceDN/>
      <w:bidi w:val="0"/>
      <w:adjustRightInd/>
      <w:snapToGrid w:val="0"/>
      <w:jc w:val="left"/>
      <w:textAlignment w:val="auto"/>
      <w:rPr>
        <w:rFonts w:hint="default" w:ascii="Calibri" w:hAnsi="Calibri" w:eastAsia="宋体" w:cs="宋体"/>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1CF50">
    <w:pPr>
      <w:framePr w:wrap="around" w:vAnchor="text" w:hAnchor="margin" w:xAlign="outside" w:y="1"/>
      <w:widowControl w:val="0"/>
      <w:snapToGrid w:val="0"/>
      <w:jc w:val="left"/>
      <w:rPr>
        <w:rFonts w:ascii="Calibri" w:hAnsi="Calibri" w:eastAsia="宋体" w:cs="宋体"/>
        <w:kern w:val="2"/>
        <w:sz w:val="18"/>
        <w:szCs w:val="24"/>
        <w:lang w:val="en-US" w:eastAsia="zh-CN" w:bidi="ar-SA"/>
      </w:rPr>
    </w:pPr>
    <w:r>
      <w:rPr>
        <w:rFonts w:ascii="Calibri" w:hAnsi="Calibri" w:eastAsia="宋体" w:cs="宋体"/>
        <w:kern w:val="2"/>
        <w:sz w:val="18"/>
        <w:szCs w:val="24"/>
        <w:lang w:val="en-US" w:eastAsia="zh-CN" w:bidi="ar-SA"/>
      </w:rPr>
      <w:fldChar w:fldCharType="begin"/>
    </w:r>
    <w:r>
      <w:rPr>
        <w:rFonts w:ascii="Calibri" w:hAnsi="Calibri" w:eastAsia="宋体" w:cs="宋体"/>
        <w:kern w:val="2"/>
        <w:sz w:val="21"/>
        <w:szCs w:val="24"/>
        <w:lang w:val="en-US" w:eastAsia="zh-CN" w:bidi="ar-SA"/>
      </w:rPr>
      <w:instrText xml:space="preserve">PAGE  </w:instrText>
    </w:r>
    <w:r>
      <w:rPr>
        <w:rFonts w:ascii="Calibri" w:hAnsi="Calibri" w:eastAsia="宋体" w:cs="宋体"/>
        <w:kern w:val="2"/>
        <w:sz w:val="18"/>
        <w:szCs w:val="24"/>
        <w:lang w:val="en-US" w:eastAsia="zh-CN" w:bidi="ar-SA"/>
      </w:rPr>
      <w:fldChar w:fldCharType="end"/>
    </w:r>
  </w:p>
  <w:p w14:paraId="7F4A3B60">
    <w:pPr>
      <w:widowControl w:val="0"/>
      <w:snapToGrid w:val="0"/>
      <w:ind w:right="360" w:firstLine="360"/>
      <w:jc w:val="left"/>
      <w:rPr>
        <w:rFonts w:ascii="Calibri" w:hAnsi="Calibri" w:eastAsia="宋体" w:cs="宋体"/>
        <w:kern w:val="2"/>
        <w:sz w:val="18"/>
        <w:szCs w:val="2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47650">
    <w:pPr>
      <w:widowControl w:val="0"/>
      <w:snapToGrid w:val="0"/>
      <w:jc w:val="left"/>
      <w:rPr>
        <w:rFonts w:ascii="Calibri" w:hAnsi="Calibri" w:eastAsia="宋体" w:cs="宋体"/>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81290">
    <w:pPr>
      <w:pStyle w:val="7"/>
      <w:framePr w:wrap="around" w:vAnchor="text" w:hAnchor="margin" w:xAlign="outside" w:y="1"/>
      <w:ind w:left="0" w:leftChars="0" w:firstLine="0" w:firstLineChars="0"/>
      <w:rPr>
        <w:rStyle w:val="11"/>
        <w:rFonts w:hint="eastAsia" w:ascii="宋体" w:hAnsi="宋体" w:eastAsia="宋体"/>
        <w:sz w:val="28"/>
      </w:rPr>
    </w:pPr>
    <w:r>
      <w:rPr>
        <w:rStyle w:val="11"/>
        <w:rFonts w:hint="eastAsia" w:ascii="宋体" w:hAnsi="宋体" w:eastAsia="宋体"/>
        <w:sz w:val="28"/>
      </w:rPr>
      <w:t xml:space="preserve">— </w:t>
    </w:r>
    <w:r>
      <w:rPr>
        <w:rStyle w:val="11"/>
        <w:rFonts w:ascii="宋体" w:hAnsi="宋体" w:eastAsia="宋体"/>
        <w:sz w:val="28"/>
      </w:rPr>
      <w:fldChar w:fldCharType="begin"/>
    </w:r>
    <w:r>
      <w:rPr>
        <w:rStyle w:val="11"/>
        <w:rFonts w:ascii="宋体" w:hAnsi="宋体" w:eastAsia="宋体"/>
        <w:sz w:val="28"/>
      </w:rPr>
      <w:instrText xml:space="preserve">PAGE  </w:instrText>
    </w:r>
    <w:r>
      <w:rPr>
        <w:rStyle w:val="11"/>
        <w:rFonts w:ascii="宋体" w:hAnsi="宋体" w:eastAsia="宋体"/>
        <w:sz w:val="28"/>
      </w:rPr>
      <w:fldChar w:fldCharType="separate"/>
    </w:r>
    <w:r>
      <w:rPr>
        <w:rStyle w:val="11"/>
        <w:rFonts w:ascii="宋体" w:hAnsi="宋体" w:eastAsia="宋体"/>
        <w:sz w:val="28"/>
      </w:rPr>
      <w:t>1</w:t>
    </w:r>
    <w:r>
      <w:rPr>
        <w:rStyle w:val="11"/>
        <w:rFonts w:ascii="宋体" w:hAnsi="宋体" w:eastAsia="宋体"/>
        <w:sz w:val="28"/>
      </w:rPr>
      <w:fldChar w:fldCharType="end"/>
    </w:r>
    <w:r>
      <w:rPr>
        <w:rStyle w:val="11"/>
        <w:rFonts w:hint="eastAsia" w:ascii="宋体" w:hAnsi="宋体" w:eastAsia="宋体"/>
        <w:sz w:val="28"/>
      </w:rPr>
      <w:t xml:space="preserve"> —</w:t>
    </w:r>
  </w:p>
  <w:p w14:paraId="0D64DAA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BBBD">
    <w:pPr>
      <w:pStyle w:val="7"/>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6DC12457">
    <w:pPr>
      <w:pStyle w:val="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D08DA">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D523">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Calibri" w:hAnsi="Calibri" w:eastAsia="宋体" w:cs="宋体"/>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E67D">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宋体"/>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AE937">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宋体"/>
        <w:kern w:val="2"/>
        <w:sz w:val="18"/>
        <w:szCs w:val="24"/>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8B42C">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DIwNTE2Yzk4MGEyYTYyZGJlNTA1MWNkMDhhYWEifQ=="/>
    <w:docVar w:name="KSO_WPS_MARK_KEY" w:val="52a6415d-0085-46d5-aab6-840de7192015"/>
  </w:docVars>
  <w:rsids>
    <w:rsidRoot w:val="613B2207"/>
    <w:rsid w:val="0000033D"/>
    <w:rsid w:val="00002CA1"/>
    <w:rsid w:val="00016D84"/>
    <w:rsid w:val="0003091A"/>
    <w:rsid w:val="00031AD9"/>
    <w:rsid w:val="000350FA"/>
    <w:rsid w:val="0004121D"/>
    <w:rsid w:val="000418A8"/>
    <w:rsid w:val="00050BC6"/>
    <w:rsid w:val="00053D50"/>
    <w:rsid w:val="00055A6B"/>
    <w:rsid w:val="00060761"/>
    <w:rsid w:val="00064105"/>
    <w:rsid w:val="0007225A"/>
    <w:rsid w:val="00074C8E"/>
    <w:rsid w:val="00074DAE"/>
    <w:rsid w:val="000758C9"/>
    <w:rsid w:val="00075CF5"/>
    <w:rsid w:val="000768C4"/>
    <w:rsid w:val="0008535A"/>
    <w:rsid w:val="00095AB0"/>
    <w:rsid w:val="00095D3B"/>
    <w:rsid w:val="00097D1E"/>
    <w:rsid w:val="000A1E6C"/>
    <w:rsid w:val="000B6978"/>
    <w:rsid w:val="000B6C32"/>
    <w:rsid w:val="000B6CA9"/>
    <w:rsid w:val="000C4775"/>
    <w:rsid w:val="000D372C"/>
    <w:rsid w:val="000E6FA1"/>
    <w:rsid w:val="000F28AD"/>
    <w:rsid w:val="000F3DD4"/>
    <w:rsid w:val="000F4C19"/>
    <w:rsid w:val="001009CE"/>
    <w:rsid w:val="001016EE"/>
    <w:rsid w:val="001023F5"/>
    <w:rsid w:val="00114577"/>
    <w:rsid w:val="0012171A"/>
    <w:rsid w:val="001276C6"/>
    <w:rsid w:val="001279AA"/>
    <w:rsid w:val="0013744C"/>
    <w:rsid w:val="001655E7"/>
    <w:rsid w:val="00187D2A"/>
    <w:rsid w:val="001902A1"/>
    <w:rsid w:val="00194CEC"/>
    <w:rsid w:val="001A21D2"/>
    <w:rsid w:val="001C4337"/>
    <w:rsid w:val="001C664B"/>
    <w:rsid w:val="001C66FB"/>
    <w:rsid w:val="001C7332"/>
    <w:rsid w:val="001D0D71"/>
    <w:rsid w:val="001D48BB"/>
    <w:rsid w:val="001D62D4"/>
    <w:rsid w:val="001E368C"/>
    <w:rsid w:val="00210439"/>
    <w:rsid w:val="00210B99"/>
    <w:rsid w:val="00212D9C"/>
    <w:rsid w:val="00213B15"/>
    <w:rsid w:val="00214FCF"/>
    <w:rsid w:val="002177F4"/>
    <w:rsid w:val="00225EF0"/>
    <w:rsid w:val="00232942"/>
    <w:rsid w:val="00234EB5"/>
    <w:rsid w:val="00241465"/>
    <w:rsid w:val="00241ACA"/>
    <w:rsid w:val="00243687"/>
    <w:rsid w:val="00245D30"/>
    <w:rsid w:val="00254B96"/>
    <w:rsid w:val="00257AD0"/>
    <w:rsid w:val="00266FF0"/>
    <w:rsid w:val="002822DD"/>
    <w:rsid w:val="00287AA8"/>
    <w:rsid w:val="002903E8"/>
    <w:rsid w:val="0029629C"/>
    <w:rsid w:val="002B050A"/>
    <w:rsid w:val="002C10B8"/>
    <w:rsid w:val="002C4672"/>
    <w:rsid w:val="002D137F"/>
    <w:rsid w:val="002D2397"/>
    <w:rsid w:val="002D4398"/>
    <w:rsid w:val="002D4AE9"/>
    <w:rsid w:val="002D4C8B"/>
    <w:rsid w:val="002E18A6"/>
    <w:rsid w:val="002F1538"/>
    <w:rsid w:val="002F17F7"/>
    <w:rsid w:val="002F47CF"/>
    <w:rsid w:val="002F76DA"/>
    <w:rsid w:val="00317055"/>
    <w:rsid w:val="00317A4F"/>
    <w:rsid w:val="003209A3"/>
    <w:rsid w:val="00323BC5"/>
    <w:rsid w:val="00325FFA"/>
    <w:rsid w:val="00347971"/>
    <w:rsid w:val="00350450"/>
    <w:rsid w:val="00352AD4"/>
    <w:rsid w:val="00356DD6"/>
    <w:rsid w:val="00361770"/>
    <w:rsid w:val="00367E37"/>
    <w:rsid w:val="00370E46"/>
    <w:rsid w:val="00377C67"/>
    <w:rsid w:val="0038657D"/>
    <w:rsid w:val="00396C95"/>
    <w:rsid w:val="003A0E62"/>
    <w:rsid w:val="003A36FB"/>
    <w:rsid w:val="003B1DF7"/>
    <w:rsid w:val="003B68A1"/>
    <w:rsid w:val="003D2A6F"/>
    <w:rsid w:val="003D3927"/>
    <w:rsid w:val="003D4D2C"/>
    <w:rsid w:val="003E09D6"/>
    <w:rsid w:val="003F3559"/>
    <w:rsid w:val="003F3A44"/>
    <w:rsid w:val="003F59C0"/>
    <w:rsid w:val="00403BD2"/>
    <w:rsid w:val="004041B4"/>
    <w:rsid w:val="00424C45"/>
    <w:rsid w:val="00426235"/>
    <w:rsid w:val="0043011C"/>
    <w:rsid w:val="00432E79"/>
    <w:rsid w:val="00433246"/>
    <w:rsid w:val="00435389"/>
    <w:rsid w:val="00437351"/>
    <w:rsid w:val="00454D22"/>
    <w:rsid w:val="004600E7"/>
    <w:rsid w:val="0048734D"/>
    <w:rsid w:val="004B0D9B"/>
    <w:rsid w:val="004C05C7"/>
    <w:rsid w:val="004C0D64"/>
    <w:rsid w:val="004C5E8A"/>
    <w:rsid w:val="004D0DBE"/>
    <w:rsid w:val="004E3467"/>
    <w:rsid w:val="004F6DA1"/>
    <w:rsid w:val="00510BE2"/>
    <w:rsid w:val="0051344A"/>
    <w:rsid w:val="00513A39"/>
    <w:rsid w:val="00517920"/>
    <w:rsid w:val="005211E9"/>
    <w:rsid w:val="00540EBA"/>
    <w:rsid w:val="00541F43"/>
    <w:rsid w:val="00545AC9"/>
    <w:rsid w:val="005500D4"/>
    <w:rsid w:val="00555AFB"/>
    <w:rsid w:val="00563ABA"/>
    <w:rsid w:val="00571497"/>
    <w:rsid w:val="00571D56"/>
    <w:rsid w:val="0057202C"/>
    <w:rsid w:val="00573834"/>
    <w:rsid w:val="00574B39"/>
    <w:rsid w:val="00577588"/>
    <w:rsid w:val="00593495"/>
    <w:rsid w:val="00595745"/>
    <w:rsid w:val="005B2BF7"/>
    <w:rsid w:val="005B7B87"/>
    <w:rsid w:val="005C4332"/>
    <w:rsid w:val="005C4A4A"/>
    <w:rsid w:val="005D4999"/>
    <w:rsid w:val="005E094F"/>
    <w:rsid w:val="005E17AE"/>
    <w:rsid w:val="005E1C74"/>
    <w:rsid w:val="005E490F"/>
    <w:rsid w:val="005E59E2"/>
    <w:rsid w:val="005F381A"/>
    <w:rsid w:val="005F681E"/>
    <w:rsid w:val="00604CB1"/>
    <w:rsid w:val="00605EF0"/>
    <w:rsid w:val="006069B1"/>
    <w:rsid w:val="006129A1"/>
    <w:rsid w:val="00615573"/>
    <w:rsid w:val="0062632E"/>
    <w:rsid w:val="006411A2"/>
    <w:rsid w:val="00657D25"/>
    <w:rsid w:val="006676AD"/>
    <w:rsid w:val="00670C94"/>
    <w:rsid w:val="00671BDA"/>
    <w:rsid w:val="0068016E"/>
    <w:rsid w:val="006852D9"/>
    <w:rsid w:val="00687DCE"/>
    <w:rsid w:val="00692745"/>
    <w:rsid w:val="006A0A2C"/>
    <w:rsid w:val="006A0FF7"/>
    <w:rsid w:val="006A5154"/>
    <w:rsid w:val="006B0AFB"/>
    <w:rsid w:val="006B191F"/>
    <w:rsid w:val="006B6F2E"/>
    <w:rsid w:val="006C0341"/>
    <w:rsid w:val="006C4907"/>
    <w:rsid w:val="006D406B"/>
    <w:rsid w:val="006D52D7"/>
    <w:rsid w:val="006E1ECD"/>
    <w:rsid w:val="006F44DD"/>
    <w:rsid w:val="00700E71"/>
    <w:rsid w:val="007049A3"/>
    <w:rsid w:val="007139C6"/>
    <w:rsid w:val="00731441"/>
    <w:rsid w:val="00732BC5"/>
    <w:rsid w:val="007335B6"/>
    <w:rsid w:val="007364F4"/>
    <w:rsid w:val="0074302C"/>
    <w:rsid w:val="0074655B"/>
    <w:rsid w:val="00752857"/>
    <w:rsid w:val="00754FE2"/>
    <w:rsid w:val="007558E8"/>
    <w:rsid w:val="007574A1"/>
    <w:rsid w:val="007615D8"/>
    <w:rsid w:val="007715ED"/>
    <w:rsid w:val="00781C61"/>
    <w:rsid w:val="00784CA6"/>
    <w:rsid w:val="00787A0E"/>
    <w:rsid w:val="007A277F"/>
    <w:rsid w:val="007B1573"/>
    <w:rsid w:val="007B34D3"/>
    <w:rsid w:val="007B5DD9"/>
    <w:rsid w:val="007B6398"/>
    <w:rsid w:val="007B6767"/>
    <w:rsid w:val="007C3FAD"/>
    <w:rsid w:val="007C64CF"/>
    <w:rsid w:val="007C7EC1"/>
    <w:rsid w:val="007D4B36"/>
    <w:rsid w:val="007D7471"/>
    <w:rsid w:val="007E4B77"/>
    <w:rsid w:val="007F7310"/>
    <w:rsid w:val="00800C52"/>
    <w:rsid w:val="00807905"/>
    <w:rsid w:val="0080799B"/>
    <w:rsid w:val="008237FF"/>
    <w:rsid w:val="008322C2"/>
    <w:rsid w:val="008368E9"/>
    <w:rsid w:val="0084387E"/>
    <w:rsid w:val="00847B85"/>
    <w:rsid w:val="00854546"/>
    <w:rsid w:val="0086151B"/>
    <w:rsid w:val="00862536"/>
    <w:rsid w:val="00865E06"/>
    <w:rsid w:val="00867304"/>
    <w:rsid w:val="00873103"/>
    <w:rsid w:val="00874022"/>
    <w:rsid w:val="008B20D8"/>
    <w:rsid w:val="008B4C15"/>
    <w:rsid w:val="008B52AB"/>
    <w:rsid w:val="008C278C"/>
    <w:rsid w:val="008C3925"/>
    <w:rsid w:val="008D0BC6"/>
    <w:rsid w:val="008D425D"/>
    <w:rsid w:val="008E75E8"/>
    <w:rsid w:val="009010F5"/>
    <w:rsid w:val="00916852"/>
    <w:rsid w:val="00920755"/>
    <w:rsid w:val="00924AD0"/>
    <w:rsid w:val="009316F6"/>
    <w:rsid w:val="009351FD"/>
    <w:rsid w:val="00956FB2"/>
    <w:rsid w:val="00957DC5"/>
    <w:rsid w:val="0096147A"/>
    <w:rsid w:val="009626FF"/>
    <w:rsid w:val="009676A6"/>
    <w:rsid w:val="0097231B"/>
    <w:rsid w:val="0098017D"/>
    <w:rsid w:val="00981CFC"/>
    <w:rsid w:val="00990B1C"/>
    <w:rsid w:val="00997709"/>
    <w:rsid w:val="009A336D"/>
    <w:rsid w:val="009A60EB"/>
    <w:rsid w:val="009A7BC8"/>
    <w:rsid w:val="009D0B19"/>
    <w:rsid w:val="009E3D4D"/>
    <w:rsid w:val="00A06786"/>
    <w:rsid w:val="00A14F8A"/>
    <w:rsid w:val="00A22860"/>
    <w:rsid w:val="00A326A4"/>
    <w:rsid w:val="00A42AAC"/>
    <w:rsid w:val="00A4690D"/>
    <w:rsid w:val="00A5424F"/>
    <w:rsid w:val="00A5686D"/>
    <w:rsid w:val="00A6222E"/>
    <w:rsid w:val="00A66910"/>
    <w:rsid w:val="00A741E0"/>
    <w:rsid w:val="00A81419"/>
    <w:rsid w:val="00A8668B"/>
    <w:rsid w:val="00A9064C"/>
    <w:rsid w:val="00A97119"/>
    <w:rsid w:val="00AA0695"/>
    <w:rsid w:val="00AA7087"/>
    <w:rsid w:val="00AA7FCD"/>
    <w:rsid w:val="00AB2D98"/>
    <w:rsid w:val="00AB5C82"/>
    <w:rsid w:val="00AB6926"/>
    <w:rsid w:val="00AC1EE3"/>
    <w:rsid w:val="00AC4CA6"/>
    <w:rsid w:val="00AC4FDC"/>
    <w:rsid w:val="00AC7116"/>
    <w:rsid w:val="00AD261A"/>
    <w:rsid w:val="00AE400E"/>
    <w:rsid w:val="00B03A77"/>
    <w:rsid w:val="00B15DB1"/>
    <w:rsid w:val="00B27DD2"/>
    <w:rsid w:val="00B30FA4"/>
    <w:rsid w:val="00B320B9"/>
    <w:rsid w:val="00B3282E"/>
    <w:rsid w:val="00B35C63"/>
    <w:rsid w:val="00B37379"/>
    <w:rsid w:val="00B460C7"/>
    <w:rsid w:val="00B53CE3"/>
    <w:rsid w:val="00B621CC"/>
    <w:rsid w:val="00B65353"/>
    <w:rsid w:val="00B653D1"/>
    <w:rsid w:val="00B7045C"/>
    <w:rsid w:val="00B71C78"/>
    <w:rsid w:val="00B72540"/>
    <w:rsid w:val="00B7413A"/>
    <w:rsid w:val="00B741C4"/>
    <w:rsid w:val="00B77B9B"/>
    <w:rsid w:val="00B802D2"/>
    <w:rsid w:val="00B81295"/>
    <w:rsid w:val="00B81EFA"/>
    <w:rsid w:val="00B85300"/>
    <w:rsid w:val="00B904DD"/>
    <w:rsid w:val="00BA16C9"/>
    <w:rsid w:val="00BB0967"/>
    <w:rsid w:val="00BB3AB6"/>
    <w:rsid w:val="00BC0E8D"/>
    <w:rsid w:val="00BC758E"/>
    <w:rsid w:val="00BD0AFB"/>
    <w:rsid w:val="00BD7706"/>
    <w:rsid w:val="00BE236E"/>
    <w:rsid w:val="00BF67F0"/>
    <w:rsid w:val="00C02B5F"/>
    <w:rsid w:val="00C1092B"/>
    <w:rsid w:val="00C16208"/>
    <w:rsid w:val="00C208A6"/>
    <w:rsid w:val="00C328D6"/>
    <w:rsid w:val="00C33B29"/>
    <w:rsid w:val="00C37654"/>
    <w:rsid w:val="00C41A5E"/>
    <w:rsid w:val="00C50BA6"/>
    <w:rsid w:val="00C531FA"/>
    <w:rsid w:val="00C62A2A"/>
    <w:rsid w:val="00C7146E"/>
    <w:rsid w:val="00C73170"/>
    <w:rsid w:val="00C80F10"/>
    <w:rsid w:val="00C90D93"/>
    <w:rsid w:val="00C9349C"/>
    <w:rsid w:val="00C93BDC"/>
    <w:rsid w:val="00C950E1"/>
    <w:rsid w:val="00C9574E"/>
    <w:rsid w:val="00CA5A70"/>
    <w:rsid w:val="00CB14A1"/>
    <w:rsid w:val="00CB5494"/>
    <w:rsid w:val="00CC1905"/>
    <w:rsid w:val="00CC1AF7"/>
    <w:rsid w:val="00CC1C7A"/>
    <w:rsid w:val="00CC63AE"/>
    <w:rsid w:val="00CC779E"/>
    <w:rsid w:val="00CC79D4"/>
    <w:rsid w:val="00CD4FE3"/>
    <w:rsid w:val="00CD7B39"/>
    <w:rsid w:val="00CE76FF"/>
    <w:rsid w:val="00CF518A"/>
    <w:rsid w:val="00D02150"/>
    <w:rsid w:val="00D1587E"/>
    <w:rsid w:val="00D232CF"/>
    <w:rsid w:val="00D515E1"/>
    <w:rsid w:val="00D663F5"/>
    <w:rsid w:val="00D70262"/>
    <w:rsid w:val="00D75617"/>
    <w:rsid w:val="00D76792"/>
    <w:rsid w:val="00D80AF1"/>
    <w:rsid w:val="00D913D7"/>
    <w:rsid w:val="00D9305E"/>
    <w:rsid w:val="00DA39C3"/>
    <w:rsid w:val="00DA47E3"/>
    <w:rsid w:val="00DA536D"/>
    <w:rsid w:val="00DA7D96"/>
    <w:rsid w:val="00DA7F77"/>
    <w:rsid w:val="00DD2A4F"/>
    <w:rsid w:val="00DF1809"/>
    <w:rsid w:val="00DF2406"/>
    <w:rsid w:val="00E04C4C"/>
    <w:rsid w:val="00E04E85"/>
    <w:rsid w:val="00E14AE1"/>
    <w:rsid w:val="00E43CAE"/>
    <w:rsid w:val="00E45DA1"/>
    <w:rsid w:val="00E53CCC"/>
    <w:rsid w:val="00E540C3"/>
    <w:rsid w:val="00E5459E"/>
    <w:rsid w:val="00E54D6C"/>
    <w:rsid w:val="00E65F06"/>
    <w:rsid w:val="00E67482"/>
    <w:rsid w:val="00E73EC6"/>
    <w:rsid w:val="00E7780F"/>
    <w:rsid w:val="00E96711"/>
    <w:rsid w:val="00E97292"/>
    <w:rsid w:val="00E97401"/>
    <w:rsid w:val="00EB2CF8"/>
    <w:rsid w:val="00EB2EDB"/>
    <w:rsid w:val="00EB409B"/>
    <w:rsid w:val="00EB6DBE"/>
    <w:rsid w:val="00EC7CDB"/>
    <w:rsid w:val="00EE0A0D"/>
    <w:rsid w:val="00EF1CC7"/>
    <w:rsid w:val="00EF1F5E"/>
    <w:rsid w:val="00EF23D6"/>
    <w:rsid w:val="00EF382A"/>
    <w:rsid w:val="00EF626B"/>
    <w:rsid w:val="00F14AB4"/>
    <w:rsid w:val="00F23523"/>
    <w:rsid w:val="00F25572"/>
    <w:rsid w:val="00F30362"/>
    <w:rsid w:val="00F34D66"/>
    <w:rsid w:val="00F373F4"/>
    <w:rsid w:val="00F574A5"/>
    <w:rsid w:val="00F61DF4"/>
    <w:rsid w:val="00F667C5"/>
    <w:rsid w:val="00F7068E"/>
    <w:rsid w:val="00F7582B"/>
    <w:rsid w:val="00F81375"/>
    <w:rsid w:val="00F91334"/>
    <w:rsid w:val="00F9230A"/>
    <w:rsid w:val="00F96CBF"/>
    <w:rsid w:val="00FA42F4"/>
    <w:rsid w:val="00FB4D6C"/>
    <w:rsid w:val="00FB5BF0"/>
    <w:rsid w:val="00FB6F8F"/>
    <w:rsid w:val="00FB7A0C"/>
    <w:rsid w:val="00FC19DF"/>
    <w:rsid w:val="00FE050B"/>
    <w:rsid w:val="00FE1E59"/>
    <w:rsid w:val="00FE3F04"/>
    <w:rsid w:val="00FF4341"/>
    <w:rsid w:val="08CD48D1"/>
    <w:rsid w:val="0D8A39B4"/>
    <w:rsid w:val="0F753EE2"/>
    <w:rsid w:val="14AF6F0F"/>
    <w:rsid w:val="1CDB1396"/>
    <w:rsid w:val="1D917175"/>
    <w:rsid w:val="31500D87"/>
    <w:rsid w:val="33435756"/>
    <w:rsid w:val="38DF3B14"/>
    <w:rsid w:val="39AA5F20"/>
    <w:rsid w:val="4230334A"/>
    <w:rsid w:val="49CF64B8"/>
    <w:rsid w:val="50E313AB"/>
    <w:rsid w:val="515347BA"/>
    <w:rsid w:val="5A7A47FC"/>
    <w:rsid w:val="5BB31D00"/>
    <w:rsid w:val="60955CDE"/>
    <w:rsid w:val="613B2207"/>
    <w:rsid w:val="697949DC"/>
    <w:rsid w:val="6B6822B6"/>
    <w:rsid w:val="6F32014D"/>
    <w:rsid w:val="74592096"/>
    <w:rsid w:val="790645AE"/>
    <w:rsid w:val="7BF70C39"/>
    <w:rsid w:val="7F3E01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adjustRightInd w:val="0"/>
      <w:snapToGrid w:val="0"/>
      <w:spacing w:line="600" w:lineRule="exact"/>
      <w:ind w:firstLine="0" w:firstLineChars="0"/>
      <w:jc w:val="center"/>
      <w:outlineLvl w:val="0"/>
    </w:pPr>
    <w:rPr>
      <w:rFonts w:eastAsia="方正小标宋简体"/>
      <w:bCs/>
      <w:kern w:val="44"/>
      <w:sz w:val="44"/>
      <w:szCs w:val="44"/>
    </w:rPr>
  </w:style>
  <w:style w:type="paragraph" w:styleId="5">
    <w:name w:val="heading 2"/>
    <w:basedOn w:val="1"/>
    <w:next w:val="1"/>
    <w:unhideWhenUsed/>
    <w:qFormat/>
    <w:uiPriority w:val="0"/>
    <w:pPr>
      <w:keepNext w:val="0"/>
      <w:keepLines w:val="0"/>
      <w:adjustRightInd w:val="0"/>
      <w:snapToGrid w:val="0"/>
      <w:spacing w:beforeLines="0" w:beforeAutospacing="0" w:afterLines="0" w:afterAutospacing="0" w:line="570" w:lineRule="exact"/>
      <w:ind w:firstLine="880" w:firstLineChars="200"/>
      <w:outlineLvl w:val="1"/>
    </w:pPr>
    <w:rPr>
      <w:rFonts w:ascii="Times New Roman" w:hAnsi="Times New Roman" w:eastAsia="黑体" w:cs="Times New Roman"/>
      <w:sz w:val="32"/>
      <w:szCs w:val="24"/>
      <w:lang w:bidi="ar-SA"/>
    </w:rPr>
  </w:style>
  <w:style w:type="paragraph" w:styleId="6">
    <w:name w:val="heading 3"/>
    <w:basedOn w:val="1"/>
    <w:next w:val="1"/>
    <w:qFormat/>
    <w:uiPriority w:val="0"/>
    <w:pPr>
      <w:spacing w:line="570" w:lineRule="exact"/>
      <w:jc w:val="center"/>
      <w:outlineLvl w:val="2"/>
    </w:pPr>
    <w:rPr>
      <w:rFonts w:eastAsia="楷体_GB2312"/>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rPr>
      <w:rFonts w:ascii="Times New Roman" w:hAnsi="Times New Roman" w:eastAsia="宋体"/>
      <w:sz w:val="24"/>
    </w:rPr>
  </w:style>
  <w:style w:type="paragraph" w:customStyle="1" w:styleId="12">
    <w:name w:val="方正小标宋简体"/>
    <w:basedOn w:val="1"/>
    <w:qFormat/>
    <w:uiPriority w:val="0"/>
    <w:pPr>
      <w:spacing w:line="570" w:lineRule="exact"/>
      <w:ind w:firstLine="0" w:firstLineChars="0"/>
      <w:jc w:val="center"/>
    </w:pPr>
    <w:rPr>
      <w:rFonts w:eastAsia="方正小标宋简体" w:cs="宋体"/>
      <w:color w:val="000000"/>
      <w:sz w:val="44"/>
      <w:szCs w:val="20"/>
    </w:rPr>
  </w:style>
  <w:style w:type="paragraph" w:customStyle="1" w:styleId="13">
    <w:name w:val="楷体_GB2312 居中"/>
    <w:basedOn w:val="1"/>
    <w:link w:val="14"/>
    <w:qFormat/>
    <w:uiPriority w:val="0"/>
    <w:pPr>
      <w:spacing w:line="570" w:lineRule="exact"/>
      <w:jc w:val="center"/>
    </w:pPr>
    <w:rPr>
      <w:rFonts w:ascii="楷体_GB2312" w:hAnsi="楷体_GB2312" w:eastAsia="楷体_GB2312" w:cs="宋体"/>
      <w:szCs w:val="20"/>
    </w:rPr>
  </w:style>
  <w:style w:type="character" w:customStyle="1" w:styleId="14">
    <w:name w:val="楷体_GB2312 居中 Char"/>
    <w:link w:val="13"/>
    <w:qFormat/>
    <w:uiPriority w:val="0"/>
    <w:rPr>
      <w:rFonts w:ascii="楷体_GB2312" w:hAnsi="楷体_GB2312" w:eastAsia="楷体_GB2312" w:cs="宋体"/>
      <w:szCs w:val="20"/>
    </w:rPr>
  </w:style>
  <w:style w:type="paragraph" w:customStyle="1" w:styleId="15">
    <w:name w:val="黑体"/>
    <w:basedOn w:val="1"/>
    <w:qFormat/>
    <w:uiPriority w:val="0"/>
    <w:pPr>
      <w:tabs>
        <w:tab w:val="left" w:pos="7302"/>
      </w:tabs>
      <w:overflowPunct w:val="0"/>
      <w:ind w:firstLine="480" w:firstLineChars="200"/>
      <w:jc w:val="both"/>
      <w:outlineLvl w:val="1"/>
    </w:pPr>
    <w:rPr>
      <w:rFonts w:hint="eastAsia" w:ascii="Times New Roman" w:hAnsi="Times New Roman" w:eastAsia="黑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4;&#25991;&#26684;&#24335;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公文格式1.dotx</Template>
  <Pages>10</Pages>
  <Words>4440</Words>
  <Characters>4554</Characters>
  <Lines>1</Lines>
  <Paragraphs>1</Paragraphs>
  <TotalTime>13</TotalTime>
  <ScaleCrop>false</ScaleCrop>
  <LinksUpToDate>false</LinksUpToDate>
  <CharactersWithSpaces>4667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2025-09-17T07:24:00Z</dcterms:created>
  <dc:creator>WPS_20074632</dc:creator>
  <cp:lastModifiedBy>WPS_20074632</cp:lastModifiedBy>
  <cp:lastPrinted>2025-09-18T08:39:00Z</cp:lastPrinted>
  <dcterms:modified xsi:type="dcterms:W3CDTF">2025-09-24T08:55:16Z</dcterms:modified>
  <cp:revision>333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CF2017AAE5F2448DB52BA643E5F61006_11</vt:lpwstr>
  </property>
  <property fmtid="{D5CDD505-2E9C-101B-9397-08002B2CF9AE}" pid="4" name="KSOTemplateDocerSaveRecord">
    <vt:lpwstr>eyJoZGlkIjoiNjY1YmQwNjVhNWRlNjA2MzU5ZjJkOGYwMTAzMDEwMDkiLCJ1c2VySWQiOiIyMDA3NDYzMiJ9</vt:lpwstr>
  </property>
</Properties>
</file>