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hint="eastAsia" w:ascii="Times New Roman" w:hAnsi="Times New Roman" w:eastAsia="方正小标宋简体"/>
          <w:color w:val="000000"/>
          <w:sz w:val="32"/>
          <w:szCs w:val="32"/>
        </w:rPr>
      </w:pPr>
      <w:bookmarkStart w:id="0" w:name="_GoBack"/>
      <w:bookmarkEnd w:id="0"/>
      <w:r>
        <w:rPr>
          <w:rFonts w:hint="eastAsia" w:ascii="Times New Roman" w:hAnsi="Times New Roman" w:eastAsia="方正小标宋简体"/>
          <w:color w:val="000000"/>
          <w:sz w:val="32"/>
          <w:szCs w:val="32"/>
        </w:rPr>
        <w:t>202</w:t>
      </w:r>
      <w:r>
        <w:rPr>
          <w:rFonts w:hint="default" w:ascii="Times New Roman" w:hAnsi="Times New Roman" w:eastAsia="方正小标宋简体"/>
          <w:color w:val="000000"/>
          <w:sz w:val="32"/>
          <w:szCs w:val="32"/>
          <w:lang w:val="en" w:eastAsia="zh-CN"/>
        </w:rPr>
        <w:t>5</w:t>
      </w:r>
      <w:r>
        <w:rPr>
          <w:rFonts w:hint="eastAsia" w:ascii="Times New Roman" w:hAnsi="Times New Roman" w:eastAsia="方正小标宋简体"/>
          <w:color w:val="000000"/>
          <w:sz w:val="32"/>
          <w:szCs w:val="32"/>
        </w:rPr>
        <w:t>年</w:t>
      </w:r>
      <w:r>
        <w:rPr>
          <w:rFonts w:hint="eastAsia" w:ascii="Times New Roman" w:hAnsi="Times New Roman" w:eastAsia="方正小标宋简体"/>
          <w:color w:val="000000"/>
          <w:sz w:val="32"/>
          <w:szCs w:val="32"/>
          <w:lang w:eastAsia="zh-CN"/>
        </w:rPr>
        <w:t>株洲市</w:t>
      </w:r>
      <w:r>
        <w:rPr>
          <w:rFonts w:hint="eastAsia" w:ascii="Times New Roman" w:hAnsi="Times New Roman" w:eastAsia="方正小标宋简体"/>
          <w:color w:val="000000"/>
          <w:sz w:val="32"/>
          <w:szCs w:val="32"/>
        </w:rPr>
        <w:t>冷轧带肋钢筋产品质量监督抽查实施细则</w:t>
      </w:r>
    </w:p>
    <w:p>
      <w:pPr>
        <w:snapToGrid w:val="0"/>
        <w:spacing w:line="440" w:lineRule="exact"/>
        <w:rPr>
          <w:rFonts w:hint="eastAsia" w:ascii="Times New Roman" w:hAnsi="Times New Roman" w:eastAsia="黑体"/>
          <w:color w:val="000000"/>
          <w:szCs w:val="21"/>
        </w:rPr>
      </w:pPr>
    </w:p>
    <w:p>
      <w:pPr>
        <w:snapToGrid w:val="0"/>
        <w:spacing w:line="440" w:lineRule="exact"/>
        <w:rPr>
          <w:rFonts w:hint="eastAsia" w:ascii="Times New Roman" w:hAnsi="Times New Roman" w:eastAsia="黑体"/>
          <w:color w:val="000000"/>
          <w:szCs w:val="21"/>
        </w:rPr>
      </w:pPr>
      <w:r>
        <w:rPr>
          <w:rFonts w:hint="eastAsia" w:ascii="Times New Roman" w:hAnsi="Times New Roman" w:eastAsia="黑体"/>
          <w:color w:val="000000"/>
          <w:szCs w:val="21"/>
        </w:rPr>
        <w:t>1 抽样方法</w:t>
      </w:r>
    </w:p>
    <w:p>
      <w:pPr>
        <w:snapToGrid w:val="0"/>
        <w:spacing w:line="440" w:lineRule="exact"/>
        <w:ind w:firstLine="420" w:firstLineChars="200"/>
        <w:rPr>
          <w:rFonts w:hint="eastAsia" w:ascii="Times New Roman" w:hAnsi="Times New Roman"/>
          <w:color w:val="000000"/>
          <w:szCs w:val="21"/>
        </w:rPr>
      </w:pPr>
      <w:r>
        <w:rPr>
          <w:rFonts w:hint="eastAsia" w:ascii="Times New Roman" w:hAnsi="Times New Roman"/>
          <w:color w:val="000000"/>
          <w:szCs w:val="21"/>
        </w:rPr>
        <w:t>以随机抽样的方式在被抽样生产者、销售者的待销产品中抽取。</w:t>
      </w:r>
    </w:p>
    <w:p>
      <w:pPr>
        <w:snapToGrid w:val="0"/>
        <w:spacing w:line="440" w:lineRule="exact"/>
        <w:ind w:firstLine="420" w:firstLineChars="200"/>
        <w:rPr>
          <w:rFonts w:hint="eastAsia" w:ascii="Times New Roman" w:hAnsi="Times New Roman"/>
          <w:color w:val="000000"/>
          <w:szCs w:val="21"/>
        </w:rPr>
      </w:pPr>
      <w:r>
        <w:rPr>
          <w:rFonts w:hint="eastAsia" w:ascii="Times New Roman" w:hAnsi="Times New Roman"/>
          <w:color w:val="000000"/>
          <w:szCs w:val="21"/>
        </w:rPr>
        <w:t>随机数一般可使用随机数表等方法产生。</w:t>
      </w:r>
    </w:p>
    <w:p>
      <w:pPr>
        <w:snapToGrid w:val="0"/>
        <w:spacing w:line="440" w:lineRule="exact"/>
        <w:ind w:firstLine="420" w:firstLineChars="200"/>
        <w:rPr>
          <w:rFonts w:hint="eastAsia" w:ascii="Times New Roman" w:hAnsi="Times New Roman"/>
          <w:color w:val="000000"/>
          <w:szCs w:val="21"/>
        </w:rPr>
      </w:pPr>
      <w:r>
        <w:rPr>
          <w:rFonts w:hint="eastAsia" w:ascii="Times New Roman" w:hAnsi="Times New Roman"/>
          <w:color w:val="000000"/>
          <w:szCs w:val="21"/>
        </w:rPr>
        <w:t>对直条钢筋取样时，在1捆中随机抽取5根钢筋，每根钢筋截取的长度为2400mm，再把每根钢筋分成2支长度为1200mm的样品，每支样品要保证有完整的表面标志，5支作为检验样品，5支作为备用样品。</w:t>
      </w:r>
    </w:p>
    <w:p>
      <w:pPr>
        <w:snapToGrid w:val="0"/>
        <w:spacing w:line="440" w:lineRule="exact"/>
        <w:ind w:firstLine="420" w:firstLineChars="200"/>
        <w:rPr>
          <w:rFonts w:hint="eastAsia" w:ascii="Times New Roman" w:hAnsi="Times New Roman"/>
          <w:color w:val="000000"/>
          <w:szCs w:val="21"/>
        </w:rPr>
      </w:pPr>
      <w:r>
        <w:rPr>
          <w:rFonts w:hint="eastAsia" w:ascii="Times New Roman" w:hAnsi="Times New Roman"/>
          <w:color w:val="000000"/>
          <w:szCs w:val="21"/>
        </w:rPr>
        <w:t>对盘卷钢筋取样时，随机抽取5盘产品，在每盘钢筋上距头或尾至少2000mm处，随机截取1根长度为2400mm的钢筋，再把每根钢筋分成2支长度为1200mm的样品，每支样品要保证有完整的表面标志，5支作为检验样品，5支作为备用样品。</w:t>
      </w:r>
    </w:p>
    <w:p>
      <w:pPr>
        <w:snapToGrid w:val="0"/>
        <w:spacing w:line="440" w:lineRule="exact"/>
        <w:ind w:firstLine="420" w:firstLineChars="200"/>
        <w:rPr>
          <w:rFonts w:hint="eastAsia" w:ascii="Times New Roman" w:hAnsi="Times New Roman" w:eastAsia="黑体"/>
          <w:color w:val="000000"/>
          <w:szCs w:val="21"/>
        </w:rPr>
      </w:pPr>
      <w:r>
        <w:rPr>
          <w:rFonts w:hint="eastAsia" w:ascii="Times New Roman" w:hAnsi="Times New Roman"/>
          <w:color w:val="000000"/>
          <w:szCs w:val="21"/>
        </w:rPr>
        <w:t>钢筋强度等级为650MPa及其以上则应加抽取2支长度为2600mm的样品，其中1支作为检验样品，1支作为备用样品。</w:t>
      </w:r>
    </w:p>
    <w:p>
      <w:pPr>
        <w:snapToGrid w:val="0"/>
        <w:spacing w:line="440" w:lineRule="exact"/>
        <w:rPr>
          <w:rFonts w:hint="eastAsia" w:ascii="Times New Roman" w:hAnsi="Times New Roman" w:eastAsia="黑体"/>
          <w:color w:val="000000"/>
          <w:szCs w:val="21"/>
        </w:rPr>
      </w:pPr>
      <w:r>
        <w:rPr>
          <w:rFonts w:hint="eastAsia" w:ascii="Times New Roman" w:hAnsi="Times New Roman" w:eastAsia="黑体"/>
          <w:color w:val="000000"/>
          <w:szCs w:val="21"/>
          <w:lang w:val="en-US" w:eastAsia="zh-CN"/>
        </w:rPr>
        <w:t>2</w:t>
      </w:r>
      <w:r>
        <w:rPr>
          <w:rFonts w:hint="eastAsia" w:ascii="Times New Roman" w:hAnsi="Times New Roman" w:eastAsia="黑体"/>
          <w:color w:val="000000"/>
          <w:szCs w:val="21"/>
        </w:rPr>
        <w:t xml:space="preserve"> 检验依据</w:t>
      </w:r>
    </w:p>
    <w:p>
      <w:pPr>
        <w:snapToGrid w:val="0"/>
        <w:spacing w:line="440" w:lineRule="exact"/>
        <w:ind w:firstLine="417" w:firstLineChars="199"/>
        <w:jc w:val="center"/>
        <w:rPr>
          <w:rFonts w:ascii="宋体" w:hAnsi="宋体" w:cs="宋体"/>
          <w:szCs w:val="21"/>
        </w:rPr>
      </w:pPr>
      <w:r>
        <w:rPr>
          <w:rFonts w:hint="eastAsia" w:ascii="宋体" w:hAnsi="宋体" w:cs="宋体"/>
          <w:szCs w:val="21"/>
        </w:rPr>
        <w:t>表</w:t>
      </w:r>
      <w:r>
        <w:rPr>
          <w:rFonts w:hint="eastAsia" w:ascii="宋体" w:hAnsi="宋体" w:cs="宋体"/>
          <w:szCs w:val="21"/>
          <w:lang w:val="en-US" w:eastAsia="zh-CN"/>
        </w:rPr>
        <w:t>1</w:t>
      </w:r>
      <w:r>
        <w:rPr>
          <w:rFonts w:hint="eastAsia" w:ascii="宋体" w:hAnsi="宋体" w:cs="宋体"/>
          <w:szCs w:val="21"/>
        </w:rPr>
        <w:t xml:space="preserve"> 检验项目</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
        <w:gridCol w:w="2141"/>
        <w:gridCol w:w="3258"/>
        <w:gridCol w:w="2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522" w:type="pct"/>
            <w:shd w:val="clear" w:color="auto" w:fill="FFFFFF"/>
            <w:noWrap w:val="0"/>
            <w:vAlign w:val="center"/>
          </w:tcPr>
          <w:p>
            <w:pPr>
              <w:snapToGrid w:val="0"/>
              <w:jc w:val="center"/>
              <w:rPr>
                <w:rFonts w:hint="eastAsia" w:ascii="Times New Roman" w:hAnsi="Times New Roman"/>
                <w:color w:val="000000"/>
                <w:szCs w:val="21"/>
              </w:rPr>
            </w:pPr>
            <w:r>
              <w:rPr>
                <w:rFonts w:hint="eastAsia" w:ascii="Times New Roman" w:hAnsi="Times New Roman"/>
                <w:color w:val="000000"/>
                <w:szCs w:val="21"/>
              </w:rPr>
              <w:t>序号</w:t>
            </w:r>
          </w:p>
        </w:tc>
        <w:tc>
          <w:tcPr>
            <w:tcW w:w="3167" w:type="pct"/>
            <w:gridSpan w:val="2"/>
            <w:shd w:val="clear" w:color="auto" w:fill="FFFFFF"/>
            <w:noWrap w:val="0"/>
            <w:vAlign w:val="center"/>
          </w:tcPr>
          <w:p>
            <w:pPr>
              <w:snapToGrid w:val="0"/>
              <w:jc w:val="center"/>
              <w:rPr>
                <w:rFonts w:hint="eastAsia" w:ascii="Times New Roman" w:hAnsi="Times New Roman"/>
                <w:color w:val="000000"/>
                <w:szCs w:val="21"/>
              </w:rPr>
            </w:pPr>
            <w:r>
              <w:rPr>
                <w:rFonts w:hint="eastAsia" w:ascii="Times New Roman" w:hAnsi="Times New Roman"/>
                <w:color w:val="000000"/>
                <w:szCs w:val="21"/>
              </w:rPr>
              <w:t>检验项目</w:t>
            </w:r>
          </w:p>
        </w:tc>
        <w:tc>
          <w:tcPr>
            <w:tcW w:w="1310" w:type="pct"/>
            <w:shd w:val="clear" w:color="auto" w:fill="FFFFFF"/>
            <w:noWrap w:val="0"/>
            <w:vAlign w:val="center"/>
          </w:tcPr>
          <w:p>
            <w:pPr>
              <w:snapToGrid w:val="0"/>
              <w:jc w:val="center"/>
              <w:rPr>
                <w:rFonts w:hint="eastAsia" w:ascii="Times New Roman" w:hAnsi="Times New Roman"/>
                <w:color w:val="000000"/>
                <w:szCs w:val="21"/>
              </w:rPr>
            </w:pPr>
            <w:r>
              <w:rPr>
                <w:rFonts w:hint="eastAsia" w:ascii="Times New Roman" w:hAnsi="Times New Roman"/>
                <w:color w:val="00000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522" w:type="pct"/>
            <w:vMerge w:val="restart"/>
            <w:noWrap w:val="0"/>
            <w:vAlign w:val="center"/>
          </w:tcPr>
          <w:p>
            <w:pPr>
              <w:snapToGrid w:val="0"/>
              <w:jc w:val="center"/>
              <w:rPr>
                <w:rFonts w:hint="eastAsia" w:ascii="Times New Roman" w:hAnsi="Times New Roman"/>
                <w:color w:val="000000"/>
                <w:szCs w:val="21"/>
              </w:rPr>
            </w:pPr>
            <w:r>
              <w:rPr>
                <w:rFonts w:hint="eastAsia" w:ascii="Times New Roman" w:hAnsi="Times New Roman"/>
                <w:color w:val="000000"/>
                <w:szCs w:val="21"/>
              </w:rPr>
              <w:t>1</w:t>
            </w:r>
          </w:p>
        </w:tc>
        <w:tc>
          <w:tcPr>
            <w:tcW w:w="1256" w:type="pct"/>
            <w:vMerge w:val="restart"/>
            <w:noWrap w:val="0"/>
            <w:vAlign w:val="center"/>
          </w:tcPr>
          <w:p>
            <w:pPr>
              <w:snapToGrid w:val="0"/>
              <w:jc w:val="center"/>
              <w:rPr>
                <w:rFonts w:hint="eastAsia" w:ascii="Times New Roman" w:hAnsi="Times New Roman"/>
                <w:color w:val="000000"/>
                <w:szCs w:val="21"/>
              </w:rPr>
            </w:pPr>
            <w:r>
              <w:rPr>
                <w:rFonts w:hint="eastAsia" w:ascii="Times New Roman" w:hAnsi="Times New Roman"/>
                <w:color w:val="000000"/>
                <w:szCs w:val="21"/>
              </w:rPr>
              <w:t>力学性能</w:t>
            </w:r>
          </w:p>
        </w:tc>
        <w:tc>
          <w:tcPr>
            <w:tcW w:w="1911" w:type="pct"/>
            <w:noWrap w:val="0"/>
            <w:vAlign w:val="center"/>
          </w:tcPr>
          <w:p>
            <w:pPr>
              <w:snapToGrid w:val="0"/>
              <w:jc w:val="center"/>
              <w:rPr>
                <w:rFonts w:hint="eastAsia" w:ascii="Times New Roman" w:hAnsi="Times New Roman"/>
                <w:color w:val="000000"/>
                <w:szCs w:val="21"/>
              </w:rPr>
            </w:pPr>
            <w:r>
              <w:rPr>
                <w:rFonts w:hint="eastAsia" w:ascii="Times New Roman" w:hAnsi="Times New Roman"/>
                <w:color w:val="000000"/>
                <w:szCs w:val="21"/>
              </w:rPr>
              <w:t>规定塑性延伸强度</w:t>
            </w:r>
          </w:p>
        </w:tc>
        <w:tc>
          <w:tcPr>
            <w:tcW w:w="1310" w:type="pct"/>
            <w:vMerge w:val="restart"/>
            <w:noWrap w:val="0"/>
            <w:vAlign w:val="center"/>
          </w:tcPr>
          <w:p>
            <w:pPr>
              <w:snapToGrid w:val="0"/>
              <w:jc w:val="center"/>
              <w:rPr>
                <w:rFonts w:hint="default" w:ascii="Times New Roman" w:hAnsi="Times New Roman"/>
                <w:color w:val="000000"/>
                <w:szCs w:val="21"/>
                <w:lang w:val="en"/>
              </w:rPr>
            </w:pPr>
            <w:r>
              <w:rPr>
                <w:rFonts w:hint="eastAsia" w:ascii="Times New Roman" w:hAnsi="Times New Roman"/>
                <w:color w:val="000000"/>
                <w:szCs w:val="21"/>
              </w:rPr>
              <w:t>GB 13788</w:t>
            </w:r>
            <w:r>
              <w:rPr>
                <w:rFonts w:hint="default" w:ascii="Times New Roman" w:hAnsi="Times New Roman"/>
                <w:color w:val="000000"/>
                <w:szCs w:val="21"/>
                <w:lang w:val="en"/>
              </w:rPr>
              <w:t>—2024</w:t>
            </w:r>
          </w:p>
          <w:p>
            <w:pPr>
              <w:snapToGrid w:val="0"/>
              <w:jc w:val="center"/>
              <w:rPr>
                <w:rFonts w:hint="eastAsia" w:ascii="Times New Roman" w:hAnsi="Times New Roman"/>
                <w:color w:val="000000"/>
                <w:szCs w:val="21"/>
              </w:rPr>
            </w:pPr>
            <w:r>
              <w:rPr>
                <w:rFonts w:hint="eastAsia" w:ascii="Times New Roman" w:hAnsi="Times New Roman"/>
                <w:color w:val="000000"/>
                <w:szCs w:val="21"/>
              </w:rPr>
              <w:t>GB/T 28900</w:t>
            </w:r>
            <w:r>
              <w:rPr>
                <w:rFonts w:hint="default" w:ascii="Times New Roman" w:hAnsi="Times New Roman"/>
                <w:color w:val="000000"/>
                <w:szCs w:val="21"/>
                <w:lang w:val="en"/>
              </w:rPr>
              <w:t>—</w:t>
            </w:r>
            <w:r>
              <w:rPr>
                <w:rFonts w:hint="eastAsia" w:ascii="Times New Roman" w:hAnsi="Times New Roman"/>
                <w:color w:val="000000"/>
                <w:szCs w:val="21"/>
              </w:rPr>
              <w:t>2022</w:t>
            </w:r>
          </w:p>
          <w:p>
            <w:pPr>
              <w:snapToGrid w:val="0"/>
              <w:jc w:val="center"/>
              <w:rPr>
                <w:rFonts w:hint="default" w:ascii="Times New Roman" w:hAnsi="Times New Roman"/>
                <w:color w:val="000000"/>
                <w:szCs w:val="21"/>
                <w:lang w:val="en"/>
              </w:rPr>
            </w:pPr>
            <w:r>
              <w:rPr>
                <w:rFonts w:hint="eastAsia" w:ascii="Times New Roman" w:hAnsi="Times New Roman"/>
                <w:color w:val="000000"/>
                <w:szCs w:val="21"/>
              </w:rPr>
              <w:t xml:space="preserve">GB/T </w:t>
            </w:r>
            <w:r>
              <w:rPr>
                <w:rFonts w:hint="default" w:ascii="Times New Roman" w:hAnsi="Times New Roman"/>
                <w:color w:val="000000"/>
                <w:szCs w:val="21"/>
                <w:lang w:val="en"/>
              </w:rPr>
              <w:t>21839—</w:t>
            </w:r>
            <w:r>
              <w:rPr>
                <w:rFonts w:hint="eastAsia" w:ascii="Times New Roman" w:hAnsi="Times New Roman"/>
                <w:color w:val="000000"/>
                <w:szCs w:val="21"/>
              </w:rPr>
              <w:t>20</w:t>
            </w:r>
            <w:r>
              <w:rPr>
                <w:rFonts w:hint="default" w:ascii="Times New Roman" w:hAnsi="Times New Roman"/>
                <w:color w:val="000000"/>
                <w:szCs w:val="21"/>
                <w:lang w:val="en"/>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522" w:type="pct"/>
            <w:vMerge w:val="continue"/>
            <w:noWrap w:val="0"/>
            <w:vAlign w:val="center"/>
          </w:tcPr>
          <w:p>
            <w:pPr>
              <w:snapToGrid w:val="0"/>
              <w:jc w:val="center"/>
              <w:rPr>
                <w:rFonts w:hint="eastAsia" w:ascii="Times New Roman" w:hAnsi="Times New Roman"/>
                <w:color w:val="000000"/>
                <w:szCs w:val="21"/>
              </w:rPr>
            </w:pPr>
          </w:p>
        </w:tc>
        <w:tc>
          <w:tcPr>
            <w:tcW w:w="1256" w:type="pct"/>
            <w:vMerge w:val="continue"/>
            <w:noWrap w:val="0"/>
            <w:vAlign w:val="center"/>
          </w:tcPr>
          <w:p>
            <w:pPr>
              <w:snapToGrid w:val="0"/>
              <w:jc w:val="center"/>
              <w:rPr>
                <w:rFonts w:hint="eastAsia" w:ascii="Times New Roman" w:hAnsi="Times New Roman"/>
                <w:color w:val="000000"/>
                <w:szCs w:val="21"/>
              </w:rPr>
            </w:pPr>
          </w:p>
        </w:tc>
        <w:tc>
          <w:tcPr>
            <w:tcW w:w="1911" w:type="pct"/>
            <w:noWrap w:val="0"/>
            <w:vAlign w:val="center"/>
          </w:tcPr>
          <w:p>
            <w:pPr>
              <w:snapToGrid w:val="0"/>
              <w:jc w:val="center"/>
              <w:rPr>
                <w:rFonts w:hint="eastAsia" w:ascii="Times New Roman" w:hAnsi="Times New Roman"/>
                <w:color w:val="000000"/>
                <w:szCs w:val="21"/>
              </w:rPr>
            </w:pPr>
            <w:r>
              <w:rPr>
                <w:rFonts w:hint="eastAsia" w:ascii="Times New Roman" w:hAnsi="Times New Roman"/>
                <w:color w:val="000000"/>
                <w:szCs w:val="21"/>
              </w:rPr>
              <w:t>抗拉强度</w:t>
            </w:r>
          </w:p>
        </w:tc>
        <w:tc>
          <w:tcPr>
            <w:tcW w:w="1310" w:type="pct"/>
            <w:vMerge w:val="continue"/>
            <w:noWrap w:val="0"/>
            <w:vAlign w:val="center"/>
          </w:tcPr>
          <w:p>
            <w:pPr>
              <w:snapToGrid w:val="0"/>
              <w:jc w:val="center"/>
              <w:rPr>
                <w:rFonts w:hint="eastAsia" w:ascii="Times New Roman" w:hAnsi="Times New Roman"/>
                <w:color w:val="000000"/>
                <w:szCs w:val="21"/>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22" w:type="pct"/>
            <w:vMerge w:val="continue"/>
            <w:noWrap w:val="0"/>
            <w:vAlign w:val="center"/>
          </w:tcPr>
          <w:p>
            <w:pPr>
              <w:snapToGrid w:val="0"/>
              <w:jc w:val="center"/>
              <w:rPr>
                <w:rFonts w:hint="eastAsia" w:ascii="Times New Roman" w:hAnsi="Times New Roman"/>
                <w:color w:val="000000"/>
                <w:szCs w:val="21"/>
              </w:rPr>
            </w:pPr>
          </w:p>
        </w:tc>
        <w:tc>
          <w:tcPr>
            <w:tcW w:w="1256" w:type="pct"/>
            <w:vMerge w:val="continue"/>
            <w:noWrap w:val="0"/>
            <w:vAlign w:val="center"/>
          </w:tcPr>
          <w:p>
            <w:pPr>
              <w:snapToGrid w:val="0"/>
              <w:jc w:val="center"/>
              <w:rPr>
                <w:rFonts w:hint="eastAsia" w:ascii="Times New Roman" w:hAnsi="Times New Roman"/>
                <w:color w:val="000000"/>
                <w:szCs w:val="21"/>
              </w:rPr>
            </w:pPr>
          </w:p>
        </w:tc>
        <w:tc>
          <w:tcPr>
            <w:tcW w:w="1911" w:type="pct"/>
            <w:noWrap w:val="0"/>
            <w:vAlign w:val="center"/>
          </w:tcPr>
          <w:p>
            <w:pPr>
              <w:pStyle w:val="3"/>
              <w:keepNext w:val="0"/>
              <w:keepLines w:val="0"/>
              <w:widowControl/>
              <w:suppressLineNumbers w:val="0"/>
              <w:spacing w:line="368" w:lineRule="atLeast"/>
              <w:jc w:val="center"/>
              <w:rPr>
                <w:rFonts w:hint="eastAsia" w:ascii="Times New Roman" w:hAnsi="Times New Roman"/>
                <w:color w:val="000000"/>
                <w:szCs w:val="21"/>
              </w:rPr>
            </w:pPr>
            <w:r>
              <w:rPr>
                <w:rStyle w:val="8"/>
                <w:rFonts w:hint="eastAsia" w:ascii="宋体" w:hAnsi="宋体" w:eastAsia="宋体" w:cs="宋体"/>
                <w:color w:val="000000"/>
                <w:sz w:val="24"/>
                <w:szCs w:val="24"/>
              </w:rPr>
              <w:t>R</w:t>
            </w:r>
            <w:r>
              <w:rPr>
                <w:rFonts w:hint="eastAsia" w:ascii="宋体" w:hAnsi="宋体" w:eastAsia="宋体" w:cs="宋体"/>
                <w:color w:val="000000"/>
                <w:sz w:val="24"/>
                <w:szCs w:val="24"/>
                <w:vertAlign w:val="subscript"/>
              </w:rPr>
              <w:t>m</w:t>
            </w:r>
            <w:r>
              <w:rPr>
                <w:rFonts w:hint="eastAsia" w:ascii="宋体" w:hAnsi="宋体" w:eastAsia="宋体" w:cs="宋体"/>
                <w:color w:val="000000"/>
                <w:sz w:val="24"/>
                <w:szCs w:val="24"/>
              </w:rPr>
              <w:t>/</w:t>
            </w:r>
            <w:r>
              <w:rPr>
                <w:rStyle w:val="8"/>
                <w:rFonts w:hint="eastAsia" w:ascii="宋体" w:hAnsi="宋体" w:eastAsia="宋体" w:cs="宋体"/>
                <w:color w:val="000000"/>
                <w:sz w:val="24"/>
                <w:szCs w:val="24"/>
              </w:rPr>
              <w:t>R</w:t>
            </w:r>
            <w:r>
              <w:rPr>
                <w:rFonts w:hint="eastAsia" w:ascii="宋体" w:hAnsi="宋体" w:eastAsia="宋体" w:cs="宋体"/>
                <w:color w:val="000000"/>
                <w:sz w:val="24"/>
                <w:szCs w:val="24"/>
                <w:vertAlign w:val="subscript"/>
              </w:rPr>
              <w:t>p0.2</w:t>
            </w:r>
          </w:p>
        </w:tc>
        <w:tc>
          <w:tcPr>
            <w:tcW w:w="1310" w:type="pct"/>
            <w:vMerge w:val="continue"/>
            <w:noWrap w:val="0"/>
            <w:vAlign w:val="center"/>
          </w:tcPr>
          <w:p>
            <w:pPr>
              <w:snapToGrid w:val="0"/>
              <w:jc w:val="center"/>
              <w:rPr>
                <w:rFonts w:hint="eastAsia" w:ascii="Times New Roman" w:hAnsi="Times New Roman"/>
                <w:color w:val="000000"/>
                <w:szCs w:val="21"/>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522" w:type="pct"/>
            <w:vMerge w:val="continue"/>
            <w:noWrap w:val="0"/>
            <w:vAlign w:val="center"/>
          </w:tcPr>
          <w:p>
            <w:pPr>
              <w:snapToGrid w:val="0"/>
              <w:jc w:val="center"/>
              <w:rPr>
                <w:rFonts w:hint="eastAsia" w:ascii="Times New Roman" w:hAnsi="Times New Roman"/>
                <w:color w:val="000000"/>
                <w:szCs w:val="21"/>
              </w:rPr>
            </w:pPr>
          </w:p>
        </w:tc>
        <w:tc>
          <w:tcPr>
            <w:tcW w:w="1256" w:type="pct"/>
            <w:vMerge w:val="continue"/>
            <w:noWrap w:val="0"/>
            <w:vAlign w:val="center"/>
          </w:tcPr>
          <w:p>
            <w:pPr>
              <w:snapToGrid w:val="0"/>
              <w:jc w:val="center"/>
              <w:rPr>
                <w:rFonts w:hint="eastAsia" w:ascii="Times New Roman" w:hAnsi="Times New Roman"/>
                <w:color w:val="000000"/>
                <w:szCs w:val="21"/>
              </w:rPr>
            </w:pPr>
          </w:p>
        </w:tc>
        <w:tc>
          <w:tcPr>
            <w:tcW w:w="1911" w:type="pct"/>
            <w:noWrap w:val="0"/>
            <w:vAlign w:val="center"/>
          </w:tcPr>
          <w:p>
            <w:pPr>
              <w:snapToGrid w:val="0"/>
              <w:jc w:val="center"/>
              <w:rPr>
                <w:rFonts w:hint="eastAsia" w:ascii="Times New Roman" w:hAnsi="Times New Roman"/>
                <w:color w:val="000000"/>
                <w:szCs w:val="21"/>
              </w:rPr>
            </w:pPr>
            <w:r>
              <w:rPr>
                <w:rFonts w:hint="eastAsia" w:ascii="Times New Roman" w:hAnsi="Times New Roman"/>
                <w:color w:val="000000"/>
                <w:szCs w:val="21"/>
              </w:rPr>
              <w:t>断后伸长率</w:t>
            </w:r>
          </w:p>
        </w:tc>
        <w:tc>
          <w:tcPr>
            <w:tcW w:w="1310" w:type="pct"/>
            <w:vMerge w:val="continue"/>
            <w:noWrap w:val="0"/>
            <w:vAlign w:val="center"/>
          </w:tcPr>
          <w:p>
            <w:pPr>
              <w:snapToGrid w:val="0"/>
              <w:jc w:val="center"/>
              <w:rPr>
                <w:rFonts w:hint="eastAsia"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522" w:type="pct"/>
            <w:vMerge w:val="continue"/>
            <w:noWrap w:val="0"/>
            <w:vAlign w:val="center"/>
          </w:tcPr>
          <w:p>
            <w:pPr>
              <w:snapToGrid w:val="0"/>
              <w:jc w:val="center"/>
              <w:rPr>
                <w:rFonts w:hint="eastAsia" w:ascii="Times New Roman" w:hAnsi="Times New Roman"/>
                <w:color w:val="000000"/>
                <w:szCs w:val="21"/>
              </w:rPr>
            </w:pPr>
          </w:p>
        </w:tc>
        <w:tc>
          <w:tcPr>
            <w:tcW w:w="1256" w:type="pct"/>
            <w:vMerge w:val="continue"/>
            <w:noWrap w:val="0"/>
            <w:vAlign w:val="center"/>
          </w:tcPr>
          <w:p>
            <w:pPr>
              <w:snapToGrid w:val="0"/>
              <w:jc w:val="center"/>
              <w:rPr>
                <w:rFonts w:hint="eastAsia" w:ascii="Times New Roman" w:hAnsi="Times New Roman"/>
                <w:color w:val="000000"/>
                <w:szCs w:val="21"/>
              </w:rPr>
            </w:pPr>
          </w:p>
        </w:tc>
        <w:tc>
          <w:tcPr>
            <w:tcW w:w="1911" w:type="pct"/>
            <w:noWrap w:val="0"/>
            <w:vAlign w:val="center"/>
          </w:tcPr>
          <w:p>
            <w:pPr>
              <w:snapToGrid w:val="0"/>
              <w:jc w:val="center"/>
              <w:rPr>
                <w:rFonts w:hint="eastAsia" w:ascii="Times New Roman" w:hAnsi="Times New Roman"/>
                <w:color w:val="000000"/>
                <w:szCs w:val="21"/>
              </w:rPr>
            </w:pPr>
            <w:r>
              <w:rPr>
                <w:rFonts w:hint="eastAsia" w:ascii="Times New Roman" w:hAnsi="Times New Roman"/>
                <w:color w:val="000000"/>
                <w:szCs w:val="21"/>
              </w:rPr>
              <w:t>最大力总延伸率</w:t>
            </w:r>
          </w:p>
        </w:tc>
        <w:tc>
          <w:tcPr>
            <w:tcW w:w="1310" w:type="pct"/>
            <w:vMerge w:val="continue"/>
            <w:noWrap w:val="0"/>
            <w:vAlign w:val="center"/>
          </w:tcPr>
          <w:p>
            <w:pPr>
              <w:snapToGrid w:val="0"/>
              <w:jc w:val="center"/>
              <w:rPr>
                <w:rFonts w:hint="eastAsia"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22" w:type="pct"/>
            <w:vMerge w:val="restart"/>
            <w:noWrap w:val="0"/>
            <w:vAlign w:val="center"/>
          </w:tcPr>
          <w:p>
            <w:pPr>
              <w:snapToGrid w:val="0"/>
              <w:jc w:val="center"/>
              <w:rPr>
                <w:rFonts w:hint="default" w:ascii="Times New Roman" w:hAnsi="Times New Roman"/>
                <w:color w:val="000000"/>
                <w:szCs w:val="21"/>
                <w:lang w:val="en"/>
              </w:rPr>
            </w:pPr>
            <w:r>
              <w:rPr>
                <w:rFonts w:hint="default" w:ascii="Times New Roman" w:hAnsi="Times New Roman"/>
                <w:color w:val="000000"/>
                <w:szCs w:val="21"/>
                <w:lang w:val="en"/>
              </w:rPr>
              <w:t>2</w:t>
            </w:r>
          </w:p>
        </w:tc>
        <w:tc>
          <w:tcPr>
            <w:tcW w:w="1256" w:type="pct"/>
            <w:vMerge w:val="restart"/>
            <w:noWrap w:val="0"/>
            <w:vAlign w:val="center"/>
          </w:tcPr>
          <w:p>
            <w:pPr>
              <w:snapToGrid w:val="0"/>
              <w:jc w:val="center"/>
              <w:rPr>
                <w:rFonts w:hint="eastAsia" w:ascii="Times New Roman" w:hAnsi="Times New Roman"/>
                <w:color w:val="000000"/>
                <w:szCs w:val="21"/>
              </w:rPr>
            </w:pPr>
            <w:r>
              <w:rPr>
                <w:rFonts w:hint="eastAsia" w:ascii="Times New Roman" w:hAnsi="Times New Roman"/>
                <w:color w:val="000000"/>
                <w:szCs w:val="21"/>
              </w:rPr>
              <w:t>尺寸</w:t>
            </w:r>
          </w:p>
        </w:tc>
        <w:tc>
          <w:tcPr>
            <w:tcW w:w="1911" w:type="pct"/>
            <w:noWrap w:val="0"/>
            <w:vAlign w:val="center"/>
          </w:tcPr>
          <w:p>
            <w:pPr>
              <w:snapToGrid w:val="0"/>
              <w:jc w:val="center"/>
              <w:rPr>
                <w:rFonts w:hint="eastAsia" w:ascii="Times New Roman" w:hAnsi="Times New Roman"/>
                <w:color w:val="000000"/>
                <w:szCs w:val="21"/>
              </w:rPr>
            </w:pPr>
            <w:r>
              <w:rPr>
                <w:rFonts w:hint="eastAsia" w:ascii="Times New Roman" w:hAnsi="Times New Roman"/>
                <w:color w:val="000000"/>
                <w:szCs w:val="21"/>
              </w:rPr>
              <w:t>横肋中点高</w:t>
            </w:r>
          </w:p>
        </w:tc>
        <w:tc>
          <w:tcPr>
            <w:tcW w:w="1310" w:type="pct"/>
            <w:vMerge w:val="restart"/>
            <w:noWrap w:val="0"/>
            <w:vAlign w:val="center"/>
          </w:tcPr>
          <w:p>
            <w:pPr>
              <w:snapToGrid w:val="0"/>
              <w:jc w:val="center"/>
              <w:rPr>
                <w:rFonts w:hint="eastAsia" w:ascii="Times New Roman" w:hAnsi="Times New Roman"/>
                <w:color w:val="000000"/>
                <w:szCs w:val="21"/>
              </w:rPr>
            </w:pPr>
            <w:r>
              <w:rPr>
                <w:rFonts w:hint="eastAsia" w:ascii="Times New Roman" w:hAnsi="Times New Roman"/>
                <w:color w:val="000000"/>
                <w:szCs w:val="21"/>
              </w:rPr>
              <w:t>GB 13788</w:t>
            </w:r>
            <w:r>
              <w:rPr>
                <w:rFonts w:hint="default" w:ascii="Times New Roman" w:hAnsi="Times New Roman"/>
                <w:color w:val="000000"/>
                <w:szCs w:val="21"/>
                <w:lang w:val="en"/>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22" w:type="pct"/>
            <w:vMerge w:val="continue"/>
            <w:noWrap w:val="0"/>
            <w:vAlign w:val="center"/>
          </w:tcPr>
          <w:p>
            <w:pPr>
              <w:snapToGrid w:val="0"/>
              <w:jc w:val="center"/>
              <w:rPr>
                <w:rFonts w:hint="eastAsia" w:ascii="Times New Roman" w:hAnsi="Times New Roman"/>
                <w:color w:val="000000"/>
                <w:szCs w:val="21"/>
              </w:rPr>
            </w:pPr>
          </w:p>
        </w:tc>
        <w:tc>
          <w:tcPr>
            <w:tcW w:w="1256" w:type="pct"/>
            <w:vMerge w:val="continue"/>
            <w:noWrap w:val="0"/>
            <w:vAlign w:val="center"/>
          </w:tcPr>
          <w:p>
            <w:pPr>
              <w:snapToGrid w:val="0"/>
              <w:jc w:val="center"/>
              <w:rPr>
                <w:rFonts w:hint="eastAsia" w:ascii="Times New Roman" w:hAnsi="Times New Roman"/>
                <w:color w:val="000000"/>
                <w:szCs w:val="21"/>
              </w:rPr>
            </w:pPr>
          </w:p>
        </w:tc>
        <w:tc>
          <w:tcPr>
            <w:tcW w:w="1911" w:type="pct"/>
            <w:noWrap w:val="0"/>
            <w:vAlign w:val="center"/>
          </w:tcPr>
          <w:p>
            <w:pPr>
              <w:snapToGrid w:val="0"/>
              <w:jc w:val="center"/>
              <w:rPr>
                <w:rFonts w:hint="eastAsia" w:ascii="Times New Roman" w:hAnsi="Times New Roman"/>
                <w:color w:val="000000"/>
                <w:szCs w:val="21"/>
              </w:rPr>
            </w:pPr>
            <w:r>
              <w:rPr>
                <w:rFonts w:hint="eastAsia" w:ascii="Times New Roman" w:hAnsi="Times New Roman"/>
                <w:color w:val="000000"/>
                <w:szCs w:val="21"/>
              </w:rPr>
              <w:t>横肋间距</w:t>
            </w:r>
          </w:p>
        </w:tc>
        <w:tc>
          <w:tcPr>
            <w:tcW w:w="1310" w:type="pct"/>
            <w:vMerge w:val="continue"/>
            <w:noWrap w:val="0"/>
            <w:vAlign w:val="center"/>
          </w:tcPr>
          <w:p>
            <w:pPr>
              <w:snapToGrid w:val="0"/>
              <w:jc w:val="center"/>
              <w:rPr>
                <w:rFonts w:hint="eastAsia"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522" w:type="pct"/>
            <w:noWrap w:val="0"/>
            <w:vAlign w:val="center"/>
          </w:tcPr>
          <w:p>
            <w:pPr>
              <w:snapToGrid w:val="0"/>
              <w:jc w:val="center"/>
              <w:rPr>
                <w:rFonts w:hint="default" w:ascii="Times New Roman" w:hAnsi="Times New Roman"/>
                <w:color w:val="000000"/>
                <w:szCs w:val="21"/>
                <w:lang w:val="en"/>
              </w:rPr>
            </w:pPr>
            <w:r>
              <w:rPr>
                <w:rFonts w:hint="default" w:ascii="Times New Roman" w:hAnsi="Times New Roman"/>
                <w:color w:val="000000"/>
                <w:szCs w:val="21"/>
                <w:lang w:val="en"/>
              </w:rPr>
              <w:t>3</w:t>
            </w:r>
          </w:p>
        </w:tc>
        <w:tc>
          <w:tcPr>
            <w:tcW w:w="3167" w:type="pct"/>
            <w:gridSpan w:val="2"/>
            <w:noWrap w:val="0"/>
            <w:vAlign w:val="center"/>
          </w:tcPr>
          <w:p>
            <w:pPr>
              <w:snapToGrid w:val="0"/>
              <w:jc w:val="center"/>
              <w:rPr>
                <w:rFonts w:hint="eastAsia" w:ascii="Times New Roman" w:hAnsi="Times New Roman"/>
                <w:color w:val="000000"/>
                <w:szCs w:val="21"/>
              </w:rPr>
            </w:pPr>
            <w:r>
              <w:rPr>
                <w:rFonts w:hint="eastAsia" w:ascii="Times New Roman" w:hAnsi="Times New Roman"/>
                <w:color w:val="000000"/>
                <w:szCs w:val="21"/>
              </w:rPr>
              <w:t>重量偏差</w:t>
            </w:r>
          </w:p>
        </w:tc>
        <w:tc>
          <w:tcPr>
            <w:tcW w:w="1310" w:type="pct"/>
            <w:noWrap w:val="0"/>
            <w:vAlign w:val="center"/>
          </w:tcPr>
          <w:p>
            <w:pPr>
              <w:snapToGrid w:val="0"/>
              <w:jc w:val="center"/>
              <w:rPr>
                <w:rFonts w:hint="eastAsia" w:ascii="Times New Roman" w:hAnsi="Times New Roman"/>
                <w:color w:val="000000"/>
                <w:szCs w:val="21"/>
              </w:rPr>
            </w:pPr>
            <w:r>
              <w:rPr>
                <w:rFonts w:hint="eastAsia" w:ascii="Times New Roman" w:hAnsi="Times New Roman"/>
                <w:color w:val="000000"/>
                <w:szCs w:val="21"/>
              </w:rPr>
              <w:t>GB 13788</w:t>
            </w:r>
            <w:r>
              <w:rPr>
                <w:rFonts w:hint="default" w:ascii="Times New Roman" w:hAnsi="Times New Roman"/>
                <w:color w:val="000000"/>
                <w:szCs w:val="21"/>
                <w:lang w:val="en"/>
              </w:rPr>
              <w:t>—2024</w:t>
            </w:r>
          </w:p>
        </w:tc>
      </w:tr>
    </w:tbl>
    <w:p>
      <w:pPr>
        <w:widowControl/>
        <w:adjustRightInd w:val="0"/>
        <w:snapToGrid w:val="0"/>
        <w:spacing w:line="440" w:lineRule="exact"/>
        <w:ind w:firstLine="420" w:firstLineChars="200"/>
        <w:rPr>
          <w:rFonts w:hint="eastAsia" w:ascii="Times New Roman" w:hAnsi="Times New Roman"/>
          <w:color w:val="000000"/>
          <w:szCs w:val="21"/>
        </w:rPr>
      </w:pPr>
      <w:r>
        <w:rPr>
          <w:rFonts w:hint="eastAsia" w:ascii="Times New Roman" w:hAnsi="Times New Roman"/>
          <w:color w:val="000000"/>
          <w:szCs w:val="21"/>
        </w:rPr>
        <w:t>执行企业标准、团体标准、地方标准的产品，检验项目参照上述内容执行。</w:t>
      </w:r>
    </w:p>
    <w:p>
      <w:pPr>
        <w:widowControl/>
        <w:adjustRightInd w:val="0"/>
        <w:snapToGrid w:val="0"/>
        <w:spacing w:line="440" w:lineRule="exact"/>
        <w:ind w:firstLine="420" w:firstLineChars="200"/>
        <w:rPr>
          <w:rFonts w:hint="eastAsia" w:ascii="Times New Roman" w:hAnsi="Times New Roman" w:eastAsia="黑体"/>
          <w:color w:val="000000"/>
          <w:szCs w:val="21"/>
        </w:rPr>
      </w:pPr>
      <w:r>
        <w:rPr>
          <w:rFonts w:hint="eastAsia" w:ascii="Times New Roman" w:hAnsi="Times New Roman"/>
          <w:color w:val="000000"/>
          <w:szCs w:val="21"/>
        </w:rPr>
        <w:t>凡是注日期的文件，其随后所有的修改单（不包括勘误的内容）或修订版不适用于本细则。凡是不注日期的文件，其最新版本适用于本细则。</w:t>
      </w:r>
    </w:p>
    <w:p>
      <w:pPr>
        <w:spacing w:line="440" w:lineRule="exact"/>
        <w:rPr>
          <w:rFonts w:hint="eastAsia" w:ascii="Times New Roman" w:hAnsi="Times New Roman" w:eastAsia="黑体"/>
          <w:color w:val="000000"/>
          <w:szCs w:val="21"/>
        </w:rPr>
      </w:pPr>
      <w:r>
        <w:rPr>
          <w:rFonts w:hint="eastAsia" w:ascii="Times New Roman" w:hAnsi="Times New Roman" w:eastAsia="黑体"/>
          <w:color w:val="000000"/>
          <w:szCs w:val="21"/>
          <w:lang w:val="en-US" w:eastAsia="zh-CN"/>
        </w:rPr>
        <w:t>3</w:t>
      </w:r>
      <w:r>
        <w:rPr>
          <w:rFonts w:hint="eastAsia" w:ascii="Times New Roman" w:hAnsi="Times New Roman" w:eastAsia="黑体"/>
          <w:color w:val="000000"/>
          <w:szCs w:val="21"/>
        </w:rPr>
        <w:t xml:space="preserve"> 判定规则</w:t>
      </w:r>
    </w:p>
    <w:p>
      <w:pPr>
        <w:snapToGrid w:val="0"/>
        <w:spacing w:line="440" w:lineRule="exact"/>
        <w:rPr>
          <w:rFonts w:hint="eastAsia" w:ascii="Times New Roman" w:hAnsi="Times New Roman"/>
          <w:color w:val="000000"/>
          <w:szCs w:val="21"/>
        </w:rPr>
      </w:pPr>
      <w:r>
        <w:rPr>
          <w:rFonts w:hint="eastAsia" w:ascii="Times New Roman" w:hAnsi="Times New Roman"/>
          <w:color w:val="000000"/>
          <w:szCs w:val="21"/>
          <w:lang w:val="en-US" w:eastAsia="zh-CN"/>
        </w:rPr>
        <w:t>3</w:t>
      </w:r>
      <w:r>
        <w:rPr>
          <w:rFonts w:hint="eastAsia" w:ascii="Times New Roman" w:hAnsi="Times New Roman"/>
          <w:color w:val="000000"/>
          <w:szCs w:val="21"/>
        </w:rPr>
        <w:t>.1 依据标准</w:t>
      </w:r>
    </w:p>
    <w:p>
      <w:pPr>
        <w:snapToGrid w:val="0"/>
        <w:ind w:firstLine="420" w:firstLineChars="200"/>
        <w:jc w:val="left"/>
        <w:rPr>
          <w:rFonts w:hint="eastAsia" w:ascii="Times New Roman" w:hAnsi="Times New Roman"/>
          <w:color w:val="000000"/>
          <w:szCs w:val="21"/>
        </w:rPr>
      </w:pPr>
      <w:r>
        <w:rPr>
          <w:rFonts w:hint="eastAsia" w:ascii="Times New Roman" w:hAnsi="Times New Roman"/>
          <w:color w:val="000000"/>
          <w:szCs w:val="21"/>
        </w:rPr>
        <w:t>GB 13788</w:t>
      </w:r>
      <w:r>
        <w:rPr>
          <w:rFonts w:hint="default" w:ascii="Times New Roman" w:hAnsi="Times New Roman"/>
          <w:color w:val="000000"/>
          <w:szCs w:val="21"/>
          <w:lang w:val="en"/>
        </w:rPr>
        <w:t>—2024</w:t>
      </w:r>
      <w:r>
        <w:rPr>
          <w:rFonts w:hint="eastAsia" w:ascii="Times New Roman" w:hAnsi="Times New Roman"/>
          <w:color w:val="000000"/>
          <w:szCs w:val="21"/>
          <w:lang w:val="en-US" w:eastAsia="zh-CN"/>
        </w:rPr>
        <w:t xml:space="preserve"> </w:t>
      </w:r>
      <w:r>
        <w:rPr>
          <w:rFonts w:hint="eastAsia" w:ascii="Times New Roman" w:hAnsi="Times New Roman"/>
          <w:color w:val="000000"/>
          <w:szCs w:val="21"/>
        </w:rPr>
        <w:t>冷轧带肋钢筋</w:t>
      </w:r>
    </w:p>
    <w:p>
      <w:pPr>
        <w:snapToGrid w:val="0"/>
        <w:spacing w:line="440" w:lineRule="exact"/>
        <w:ind w:firstLine="420" w:firstLineChars="200"/>
        <w:rPr>
          <w:rFonts w:hint="eastAsia" w:ascii="Times New Roman" w:hAnsi="Times New Roman"/>
          <w:color w:val="000000"/>
          <w:szCs w:val="21"/>
          <w:lang w:eastAsia="zh-CN"/>
        </w:rPr>
      </w:pPr>
      <w:r>
        <w:rPr>
          <w:rFonts w:hint="eastAsia" w:ascii="Times New Roman" w:hAnsi="Times New Roman"/>
          <w:color w:val="000000"/>
          <w:szCs w:val="21"/>
        </w:rPr>
        <w:t>相关的法律法规、部门规章和规范</w:t>
      </w:r>
    </w:p>
    <w:p>
      <w:pPr>
        <w:snapToGrid w:val="0"/>
        <w:spacing w:line="440" w:lineRule="exact"/>
        <w:ind w:firstLine="420" w:firstLineChars="200"/>
        <w:rPr>
          <w:rFonts w:hint="eastAsia" w:ascii="Times New Roman" w:hAnsi="Times New Roman"/>
          <w:color w:val="000000"/>
          <w:szCs w:val="21"/>
        </w:rPr>
      </w:pPr>
      <w:r>
        <w:rPr>
          <w:rFonts w:hint="eastAsia" w:ascii="Times New Roman" w:hAnsi="Times New Roman"/>
          <w:color w:val="000000"/>
          <w:szCs w:val="21"/>
        </w:rPr>
        <w:t>现行有效的企业标准、团体标准、地方标准及产品明示质量要求</w:t>
      </w:r>
    </w:p>
    <w:p>
      <w:pPr>
        <w:snapToGrid w:val="0"/>
        <w:spacing w:line="440" w:lineRule="exact"/>
        <w:rPr>
          <w:rFonts w:hint="eastAsia" w:ascii="Times New Roman" w:hAnsi="Times New Roman"/>
          <w:color w:val="000000"/>
          <w:szCs w:val="21"/>
        </w:rPr>
      </w:pPr>
      <w:r>
        <w:rPr>
          <w:rFonts w:hint="eastAsia" w:ascii="Times New Roman" w:hAnsi="Times New Roman"/>
          <w:color w:val="000000"/>
          <w:szCs w:val="21"/>
          <w:lang w:val="en-US" w:eastAsia="zh-CN"/>
        </w:rPr>
        <w:t>3</w:t>
      </w:r>
      <w:r>
        <w:rPr>
          <w:rFonts w:hint="eastAsia" w:ascii="Times New Roman" w:hAnsi="Times New Roman"/>
          <w:color w:val="000000"/>
          <w:szCs w:val="21"/>
        </w:rPr>
        <w:t>.2判定原则</w:t>
      </w:r>
    </w:p>
    <w:p>
      <w:pPr>
        <w:widowControl/>
        <w:adjustRightInd w:val="0"/>
        <w:snapToGrid w:val="0"/>
        <w:spacing w:line="440" w:lineRule="exact"/>
        <w:ind w:firstLine="420" w:firstLineChars="200"/>
        <w:rPr>
          <w:rFonts w:hint="eastAsia" w:ascii="Times New Roman" w:hAnsi="Times New Roman"/>
          <w:color w:val="000000"/>
          <w:szCs w:val="21"/>
        </w:rPr>
      </w:pPr>
      <w:r>
        <w:rPr>
          <w:rFonts w:hint="eastAsia" w:ascii="Times New Roman" w:hAnsi="Times New Roman"/>
          <w:color w:val="000000"/>
          <w:szCs w:val="21"/>
        </w:rPr>
        <w:t>经检验，检验项目全部合格，判定为被抽查产品所检项目未发现不合格；检验项目中任一项或一项以上不合格，判定为被抽查产品不合格。</w:t>
      </w:r>
    </w:p>
    <w:p>
      <w:pPr>
        <w:widowControl/>
        <w:adjustRightInd w:val="0"/>
        <w:snapToGrid w:val="0"/>
        <w:spacing w:line="440" w:lineRule="exact"/>
        <w:ind w:firstLine="420" w:firstLineChars="200"/>
        <w:rPr>
          <w:rFonts w:hint="eastAsia" w:ascii="Times New Roman" w:hAnsi="Times New Roman"/>
          <w:color w:val="000000"/>
          <w:szCs w:val="21"/>
        </w:rPr>
      </w:pPr>
      <w:r>
        <w:rPr>
          <w:rFonts w:hint="eastAsia" w:ascii="Times New Roman" w:hAnsi="Times New Roman"/>
          <w:color w:val="000000"/>
          <w:szCs w:val="21"/>
        </w:rPr>
        <w:t>若被检产品明示的质量要求高于本细则中检验项目依据的标准要求时，应按被检产品明示的质量要求判定。</w:t>
      </w:r>
    </w:p>
    <w:p>
      <w:pPr>
        <w:widowControl/>
        <w:adjustRightInd w:val="0"/>
        <w:snapToGrid w:val="0"/>
        <w:spacing w:line="440" w:lineRule="exact"/>
        <w:ind w:firstLine="420" w:firstLineChars="200"/>
        <w:rPr>
          <w:rFonts w:hint="eastAsia" w:ascii="Times New Roman" w:hAnsi="Times New Roman"/>
          <w:color w:val="000000"/>
          <w:szCs w:val="21"/>
        </w:rPr>
      </w:pPr>
      <w:r>
        <w:rPr>
          <w:rFonts w:hint="eastAsia" w:ascii="Times New Roman" w:hAnsi="Times New Roman"/>
          <w:color w:val="000000"/>
          <w:szCs w:val="21"/>
        </w:rPr>
        <w:t>若被检产品明示的质量要求低于本细则中检验项目依据的强制性标准要求时，应按照强制性标准要求判定。</w:t>
      </w:r>
    </w:p>
    <w:p>
      <w:pPr>
        <w:widowControl/>
        <w:adjustRightInd w:val="0"/>
        <w:snapToGrid w:val="0"/>
        <w:spacing w:line="440" w:lineRule="exact"/>
        <w:ind w:firstLine="420" w:firstLineChars="200"/>
        <w:rPr>
          <w:rFonts w:hint="eastAsia" w:ascii="Times New Roman" w:hAnsi="Times New Roman"/>
          <w:color w:val="000000"/>
          <w:szCs w:val="21"/>
        </w:rPr>
      </w:pPr>
      <w:r>
        <w:rPr>
          <w:rFonts w:hint="eastAsia" w:ascii="Times New Roman" w:hAnsi="Times New Roman"/>
          <w:color w:val="000000"/>
          <w:szCs w:val="21"/>
        </w:rPr>
        <w:t>若被检产品明示的质量要求低于或包含本细则中检验项目依据的推荐性标准要求时，</w:t>
      </w:r>
      <w:r>
        <w:rPr>
          <w:rFonts w:hint="eastAsia" w:ascii="Times New Roman" w:hAnsi="Times New Roman"/>
          <w:color w:val="000000"/>
          <w:szCs w:val="21"/>
          <w:lang w:eastAsia="zh-CN"/>
        </w:rPr>
        <w:t>应以</w:t>
      </w:r>
      <w:r>
        <w:rPr>
          <w:rFonts w:hint="eastAsia" w:ascii="Times New Roman" w:hAnsi="Times New Roman"/>
          <w:color w:val="000000"/>
          <w:szCs w:val="21"/>
        </w:rPr>
        <w:t>被检产品明示的质量要求判定</w:t>
      </w:r>
      <w:r>
        <w:rPr>
          <w:rFonts w:hint="eastAsia" w:ascii="Times New Roman" w:hAnsi="Times New Roman"/>
          <w:color w:val="000000"/>
          <w:szCs w:val="21"/>
          <w:lang w:eastAsia="zh-CN"/>
        </w:rPr>
        <w:t>。</w:t>
      </w:r>
    </w:p>
    <w:p>
      <w:pPr>
        <w:widowControl/>
        <w:adjustRightInd w:val="0"/>
        <w:snapToGrid w:val="0"/>
        <w:spacing w:line="440" w:lineRule="exact"/>
        <w:ind w:firstLine="420" w:firstLineChars="200"/>
        <w:rPr>
          <w:rFonts w:hint="eastAsia" w:ascii="Times New Roman" w:hAnsi="Times New Roman"/>
          <w:color w:val="000000"/>
          <w:szCs w:val="21"/>
        </w:rPr>
      </w:pPr>
      <w:r>
        <w:rPr>
          <w:rFonts w:hint="eastAsia" w:ascii="Times New Roman" w:hAnsi="Times New Roman"/>
          <w:color w:val="000000"/>
          <w:szCs w:val="21"/>
        </w:rPr>
        <w:t>若被检产品明示的质量要求缺少本细则中检验项目依据的强制性标准要求时，应按照强制性标准要求判定。</w:t>
      </w:r>
    </w:p>
    <w:p>
      <w:pPr>
        <w:adjustRightInd w:val="0"/>
        <w:snapToGrid w:val="0"/>
        <w:spacing w:line="440" w:lineRule="exact"/>
        <w:ind w:firstLine="420" w:firstLineChars="200"/>
        <w:rPr>
          <w:rFonts w:hint="eastAsia" w:ascii="Times New Roman" w:hAnsi="Times New Roman"/>
          <w:color w:val="000000"/>
          <w:szCs w:val="21"/>
        </w:rPr>
      </w:pPr>
      <w:r>
        <w:rPr>
          <w:rFonts w:hint="eastAsia" w:ascii="Times New Roman" w:hAnsi="Times New Roman"/>
          <w:color w:val="000000"/>
          <w:szCs w:val="21"/>
        </w:rPr>
        <w:t>若被检产品明示的质量要求缺少本细则中检验项目依据的推荐性标准要求时，该项目不参与判定。</w:t>
      </w:r>
    </w:p>
    <w:p>
      <w:pPr>
        <w:rPr>
          <w:rFonts w:hint="eastAsia" w:ascii="仿宋" w:hAnsi="仿宋" w:eastAsia="仿宋" w:cs="仿宋"/>
          <w:color w:val="auto"/>
        </w:rPr>
      </w:pPr>
    </w:p>
    <w:p>
      <w:pPr>
        <w:rPr>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3MWU1NTJkMGNhMjI3ZDY2ZTE1NmRiM2Y0MmFiNzEifQ=="/>
  </w:docVars>
  <w:rsids>
    <w:rsidRoot w:val="7A6ABA11"/>
    <w:rsid w:val="197943D5"/>
    <w:rsid w:val="3D5E7EE4"/>
    <w:rsid w:val="3F7EF3EB"/>
    <w:rsid w:val="47BDD887"/>
    <w:rsid w:val="5BBD2017"/>
    <w:rsid w:val="6DAF53F1"/>
    <w:rsid w:val="7A6ABA11"/>
    <w:rsid w:val="7FB53498"/>
    <w:rsid w:val="7FF20480"/>
    <w:rsid w:val="B2362128"/>
    <w:rsid w:val="CF7BFC82"/>
    <w:rsid w:val="EBDE9C3D"/>
    <w:rsid w:val="FBCCEA19"/>
    <w:rsid w:val="FBDFDB1D"/>
    <w:rsid w:val="FEBCACBB"/>
    <w:rsid w:val="FF7242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99"/>
    <w:pPr>
      <w:widowControl/>
      <w:jc w:val="left"/>
      <w:outlineLvl w:val="2"/>
    </w:pPr>
    <w:rPr>
      <w:rFonts w:ascii="宋体"/>
      <w:b/>
      <w:bCs/>
      <w:kern w:val="0"/>
      <w:sz w:val="27"/>
      <w:szCs w:val="27"/>
    </w:rPr>
  </w:style>
  <w:style w:type="character" w:default="1" w:styleId="6">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5">
    <w:name w:val="Table Grid"/>
    <w:basedOn w:val="4"/>
    <w:qFormat/>
    <w:uiPriority w:val="0"/>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FollowedHyperlink"/>
    <w:basedOn w:val="6"/>
    <w:uiPriority w:val="0"/>
    <w:rPr>
      <w:color w:val="424242"/>
      <w:u w:val="none"/>
    </w:rPr>
  </w:style>
  <w:style w:type="character" w:styleId="8">
    <w:name w:val="Emphasis"/>
    <w:basedOn w:val="6"/>
    <w:qFormat/>
    <w:uiPriority w:val="0"/>
    <w:rPr>
      <w:i/>
    </w:rPr>
  </w:style>
  <w:style w:type="character" w:styleId="9">
    <w:name w:val="Hyperlink"/>
    <w:basedOn w:val="6"/>
    <w:uiPriority w:val="0"/>
    <w:rPr>
      <w:color w:val="42424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2024-03-24T17:55:00Z</dcterms:created>
  <dc:creator>greatwall</dc:creator>
  <cp:lastModifiedBy>∝ 布籽熊。</cp:lastModifiedBy>
  <dcterms:modified xsi:type="dcterms:W3CDTF">2025-09-01T14:58:28Z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E16513BD296043E388EF2F9A7DAC792A_12</vt:lpwstr>
  </property>
</Properties>
</file>