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ascii="Times New Roman" w:hAnsi="Times New Roman" w:eastAsia="方正小标宋简体"/>
          <w:color w:val="000000"/>
          <w:sz w:val="32"/>
          <w:szCs w:val="32"/>
        </w:rPr>
      </w:pPr>
      <w:bookmarkStart w:id="0" w:name="_GoBack"/>
      <w:bookmarkEnd w:id="0"/>
      <w:r>
        <w:rPr>
          <w:rFonts w:hint="eastAsia" w:ascii="Times New Roman" w:hAnsi="Times New Roman" w:eastAsia="方正小标宋简体"/>
          <w:color w:val="000000"/>
          <w:sz w:val="32"/>
          <w:szCs w:val="32"/>
        </w:rPr>
        <w:t>202</w:t>
      </w:r>
      <w:r>
        <w:rPr>
          <w:rFonts w:hint="default" w:ascii="Times New Roman" w:hAnsi="Times New Roman" w:eastAsia="方正小标宋简体"/>
          <w:color w:val="000000"/>
          <w:sz w:val="32"/>
          <w:szCs w:val="32"/>
          <w:lang w:val="en" w:eastAsia="zh-CN"/>
        </w:rPr>
        <w:t>5</w:t>
      </w:r>
      <w:r>
        <w:rPr>
          <w:rFonts w:hint="eastAsia" w:ascii="Times New Roman" w:hAnsi="Times New Roman" w:eastAsia="方正小标宋简体"/>
          <w:color w:val="000000"/>
          <w:sz w:val="32"/>
          <w:szCs w:val="32"/>
        </w:rPr>
        <w:t>年</w:t>
      </w:r>
      <w:r>
        <w:rPr>
          <w:rFonts w:hint="eastAsia" w:ascii="Times New Roman" w:hAnsi="Times New Roman" w:eastAsia="方正小标宋简体"/>
          <w:color w:val="000000"/>
          <w:sz w:val="32"/>
          <w:szCs w:val="32"/>
          <w:lang w:eastAsia="zh-CN"/>
        </w:rPr>
        <w:t>株洲市</w:t>
      </w:r>
      <w:r>
        <w:rPr>
          <w:rFonts w:hint="eastAsia" w:ascii="Times New Roman" w:hAnsi="Times New Roman" w:eastAsia="方正小标宋简体"/>
          <w:color w:val="000000"/>
          <w:sz w:val="32"/>
          <w:szCs w:val="32"/>
        </w:rPr>
        <w:t>热轧带肋钢筋产品质量监督抽查实施细则</w:t>
      </w:r>
    </w:p>
    <w:p>
      <w:pPr>
        <w:outlineLvl w:val="0"/>
        <w:rPr>
          <w:rFonts w:hint="default" w:ascii="Times New Roman" w:hAnsi="Times New Roman" w:eastAsia="黑体"/>
          <w:color w:val="000000"/>
          <w:szCs w:val="21"/>
          <w:lang w:val="en"/>
        </w:rPr>
      </w:pPr>
    </w:p>
    <w:p>
      <w:pPr>
        <w:outlineLvl w:val="0"/>
        <w:rPr>
          <w:rFonts w:hint="eastAsia" w:ascii="Times New Roman" w:hAnsi="Times New Roman" w:eastAsia="黑体"/>
          <w:color w:val="000000"/>
          <w:szCs w:val="21"/>
        </w:rPr>
      </w:pPr>
      <w:r>
        <w:rPr>
          <w:rFonts w:hint="default" w:ascii="Times New Roman" w:hAnsi="Times New Roman" w:eastAsia="黑体"/>
          <w:color w:val="000000"/>
          <w:szCs w:val="21"/>
          <w:lang w:val="en"/>
        </w:rPr>
        <w:t>1</w:t>
      </w:r>
      <w:r>
        <w:rPr>
          <w:rFonts w:hint="eastAsia" w:ascii="Times New Roman" w:hAnsi="Times New Roman" w:eastAsia="黑体"/>
          <w:color w:val="000000"/>
          <w:szCs w:val="21"/>
        </w:rPr>
        <w:t>抽样方法</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以随机抽样的方式在被抽样生产者、销售者的待销产品中抽取。</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随机数一般可使用随机数表等方法产生。</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对直条热轧带肋钢筋取样时，在同一批次（同一牌号、同一规格）的产品中抽取1捆，在该捆中抽取5根钢筋，每根钢筋截取的长度为2400mm（d≥28mm的钢筋取样长度为3400mm），逐根顺序编号为1～5，再把每根钢筋分成2支长度为1200mm的样品（d≥28mm的每根钢筋分成2支长度为1700mm的样品），2支样品逐支编号标记，并一一对应（如1</w:t>
      </w:r>
      <w:r>
        <w:rPr>
          <w:rFonts w:hint="eastAsia" w:ascii="Times New Roman" w:hAnsi="Times New Roman"/>
          <w:color w:val="000000"/>
          <w:szCs w:val="21"/>
          <w:lang w:val="en-US" w:eastAsia="zh-CN"/>
        </w:rPr>
        <w:t>-</w:t>
      </w:r>
      <w:r>
        <w:rPr>
          <w:rFonts w:hint="eastAsia" w:ascii="Times New Roman" w:hAnsi="Times New Roman"/>
          <w:color w:val="000000"/>
          <w:szCs w:val="21"/>
        </w:rPr>
        <w:t>a，1</w:t>
      </w:r>
      <w:r>
        <w:rPr>
          <w:rFonts w:hint="eastAsia" w:ascii="Times New Roman" w:hAnsi="Times New Roman"/>
          <w:color w:val="000000"/>
          <w:szCs w:val="21"/>
          <w:lang w:val="en-US" w:eastAsia="zh-CN"/>
        </w:rPr>
        <w:t>-</w:t>
      </w:r>
      <w:r>
        <w:rPr>
          <w:rFonts w:hint="eastAsia" w:ascii="Times New Roman" w:hAnsi="Times New Roman"/>
          <w:color w:val="000000"/>
          <w:szCs w:val="21"/>
        </w:rPr>
        <w:t>b），每支样品要保证有完整的表面标志，标记a的5支样品为检验样品，标记b的5支样品为备用样品。</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对盘卷热轧带肋钢筋取样时，在同一批次（同一牌号、同一规格）的产品中抽取5盘产品，在每盘钢筋上距头或尾至少2000mm处，随机截取1根长度为2400mm的钢筋，逐根顺序编号为1～5，再把每根钢筋分成2支长度为1200mm的样品，2支样品逐支编号标记，并一一对应（如1</w:t>
      </w:r>
      <w:r>
        <w:rPr>
          <w:rFonts w:hint="eastAsia" w:ascii="Times New Roman" w:hAnsi="Times New Roman"/>
          <w:color w:val="000000"/>
          <w:szCs w:val="21"/>
          <w:lang w:val="en-US" w:eastAsia="zh-CN"/>
        </w:rPr>
        <w:t>-</w:t>
      </w:r>
      <w:r>
        <w:rPr>
          <w:rFonts w:hint="eastAsia" w:ascii="Times New Roman" w:hAnsi="Times New Roman"/>
          <w:color w:val="000000"/>
          <w:szCs w:val="21"/>
        </w:rPr>
        <w:t>a，1</w:t>
      </w:r>
      <w:r>
        <w:rPr>
          <w:rFonts w:hint="eastAsia" w:ascii="Times New Roman" w:hAnsi="Times New Roman"/>
          <w:color w:val="000000"/>
          <w:szCs w:val="21"/>
          <w:lang w:val="en-US" w:eastAsia="zh-CN"/>
        </w:rPr>
        <w:t>-</w:t>
      </w:r>
      <w:r>
        <w:rPr>
          <w:rFonts w:hint="eastAsia" w:ascii="Times New Roman" w:hAnsi="Times New Roman"/>
          <w:color w:val="000000"/>
          <w:szCs w:val="21"/>
        </w:rPr>
        <w:t>b），每支样品要保证有完整的表面标志。标记a的5支样品为检验样品，标记b的5支样品为备用样品。</w:t>
      </w:r>
    </w:p>
    <w:p>
      <w:pPr>
        <w:outlineLvl w:val="0"/>
        <w:rPr>
          <w:rFonts w:hint="eastAsia" w:ascii="Times New Roman" w:hAnsi="Times New Roman" w:eastAsia="黑体"/>
          <w:color w:val="000000"/>
          <w:szCs w:val="21"/>
          <w:lang w:val="en"/>
        </w:rPr>
      </w:pPr>
      <w:r>
        <w:rPr>
          <w:rFonts w:hint="eastAsia" w:ascii="Times New Roman" w:hAnsi="Times New Roman" w:eastAsia="黑体"/>
          <w:color w:val="000000"/>
          <w:szCs w:val="21"/>
          <w:lang w:val="en"/>
        </w:rPr>
        <w:t>2 检验依据</w:t>
      </w:r>
    </w:p>
    <w:p>
      <w:pPr>
        <w:adjustRightInd w:val="0"/>
        <w:snapToGrid w:val="0"/>
        <w:spacing w:line="440" w:lineRule="exact"/>
        <w:ind w:firstLine="420" w:firstLineChars="200"/>
        <w:jc w:val="center"/>
        <w:rPr>
          <w:rFonts w:hint="eastAsia"/>
        </w:rPr>
      </w:pPr>
      <w:r>
        <w:rPr>
          <w:rFonts w:hint="eastAsia" w:ascii="宋体" w:hAnsi="宋体" w:eastAsia="宋体" w:cs="宋体"/>
          <w:color w:val="000000"/>
          <w:sz w:val="21"/>
          <w:szCs w:val="21"/>
          <w:lang w:val="en-US" w:eastAsia="zh-CN"/>
        </w:rPr>
        <w:t>表1热轧带肋钢筋产品抽样数量表</w:t>
      </w:r>
    </w:p>
    <w:tbl>
      <w:tblPr>
        <w:tblStyle w:val="3"/>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417"/>
        <w:gridCol w:w="2308"/>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814" w:type="dxa"/>
            <w:tcBorders>
              <w:bottom w:val="single" w:color="auto" w:sz="4" w:space="0"/>
            </w:tcBorders>
            <w:noWrap w:val="0"/>
            <w:vAlign w:val="center"/>
          </w:tcPr>
          <w:p>
            <w:pPr>
              <w:snapToGrid w:val="0"/>
              <w:jc w:val="center"/>
              <w:rPr>
                <w:rFonts w:ascii="Times New Roman" w:hAnsi="Times New Roman"/>
                <w:color w:val="000000"/>
                <w:szCs w:val="21"/>
              </w:rPr>
            </w:pPr>
            <w:r>
              <w:rPr>
                <w:rFonts w:hint="eastAsia" w:ascii="Times New Roman" w:hAnsi="Times New Roman"/>
                <w:color w:val="000000"/>
                <w:szCs w:val="21"/>
              </w:rPr>
              <w:t>序号</w:t>
            </w:r>
          </w:p>
        </w:tc>
        <w:tc>
          <w:tcPr>
            <w:tcW w:w="3725" w:type="dxa"/>
            <w:gridSpan w:val="2"/>
            <w:tcBorders>
              <w:bottom w:val="single" w:color="auto" w:sz="4" w:space="0"/>
            </w:tcBorders>
            <w:noWrap w:val="0"/>
            <w:vAlign w:val="center"/>
          </w:tcPr>
          <w:p>
            <w:pPr>
              <w:snapToGrid w:val="0"/>
              <w:jc w:val="center"/>
              <w:rPr>
                <w:rFonts w:ascii="Times New Roman" w:hAnsi="Times New Roman"/>
                <w:color w:val="000000"/>
                <w:szCs w:val="21"/>
              </w:rPr>
            </w:pPr>
            <w:r>
              <w:rPr>
                <w:rFonts w:hint="eastAsia" w:ascii="Times New Roman" w:hAnsi="Times New Roman"/>
                <w:color w:val="000000"/>
                <w:szCs w:val="21"/>
              </w:rPr>
              <w:t>检验项目</w:t>
            </w:r>
          </w:p>
        </w:tc>
        <w:tc>
          <w:tcPr>
            <w:tcW w:w="4061" w:type="dxa"/>
            <w:tcBorders>
              <w:bottom w:val="single" w:color="auto" w:sz="4" w:space="0"/>
            </w:tcBorders>
            <w:noWrap w:val="0"/>
            <w:vAlign w:val="center"/>
          </w:tcPr>
          <w:p>
            <w:pPr>
              <w:snapToGrid w:val="0"/>
              <w:jc w:val="center"/>
              <w:rPr>
                <w:rFonts w:ascii="Times New Roman" w:hAnsi="Times New Roman"/>
                <w:color w:val="000000"/>
                <w:szCs w:val="21"/>
              </w:rPr>
            </w:pPr>
            <w:r>
              <w:rPr>
                <w:rFonts w:hint="eastAsia" w:ascii="Times New Roman" w:hAnsi="Times New Roman"/>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4" w:type="dxa"/>
            <w:vMerge w:val="restar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1</w:t>
            </w:r>
          </w:p>
        </w:tc>
        <w:tc>
          <w:tcPr>
            <w:tcW w:w="1417" w:type="dxa"/>
            <w:vMerge w:val="restar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力学性能</w:t>
            </w:r>
          </w:p>
        </w:tc>
        <w:tc>
          <w:tcPr>
            <w:tcW w:w="2308" w:type="dxa"/>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屈服强度</w:t>
            </w:r>
          </w:p>
        </w:tc>
        <w:tc>
          <w:tcPr>
            <w:tcW w:w="4061" w:type="dxa"/>
            <w:vMerge w:val="restart"/>
            <w:noWrap w:val="0"/>
            <w:vAlign w:val="center"/>
          </w:tcPr>
          <w:p>
            <w:pPr>
              <w:snapToGrid w:val="0"/>
              <w:jc w:val="center"/>
              <w:rPr>
                <w:rFonts w:hint="default" w:ascii="Times New Roman" w:hAnsi="Times New Roman"/>
                <w:color w:val="000000"/>
                <w:szCs w:val="21"/>
                <w:lang w:val="en"/>
              </w:rPr>
            </w:pPr>
            <w:r>
              <w:rPr>
                <w:rFonts w:hint="eastAsia" w:ascii="Times New Roman" w:hAnsi="Times New Roman"/>
                <w:color w:val="000000"/>
                <w:szCs w:val="21"/>
              </w:rPr>
              <w:t>GB 1499.2</w:t>
            </w:r>
            <w:r>
              <w:rPr>
                <w:rFonts w:hint="default" w:ascii="Times New Roman" w:hAnsi="Times New Roman"/>
                <w:color w:val="000000"/>
                <w:szCs w:val="21"/>
                <w:lang w:val="en"/>
              </w:rPr>
              <w:t>—</w:t>
            </w:r>
            <w:r>
              <w:rPr>
                <w:rFonts w:hint="eastAsia" w:ascii="Times New Roman" w:hAnsi="Times New Roman"/>
                <w:color w:val="000000"/>
                <w:szCs w:val="21"/>
              </w:rPr>
              <w:t>20</w:t>
            </w:r>
            <w:r>
              <w:rPr>
                <w:rFonts w:hint="default" w:ascii="Times New Roman" w:hAnsi="Times New Roman"/>
                <w:color w:val="000000"/>
                <w:szCs w:val="21"/>
                <w:lang w:val="en"/>
              </w:rPr>
              <w:t>24</w:t>
            </w:r>
          </w:p>
          <w:p>
            <w:pPr>
              <w:snapToGrid w:val="0"/>
              <w:jc w:val="center"/>
              <w:rPr>
                <w:rFonts w:hint="eastAsia" w:ascii="Times New Roman" w:hAnsi="Times New Roman"/>
                <w:color w:val="000000"/>
                <w:szCs w:val="21"/>
              </w:rPr>
            </w:pPr>
            <w:r>
              <w:rPr>
                <w:rFonts w:hint="eastAsia" w:ascii="Times New Roman" w:hAnsi="Times New Roman"/>
                <w:color w:val="000000"/>
                <w:szCs w:val="21"/>
              </w:rPr>
              <w:t>GB/T 28900</w:t>
            </w:r>
            <w:r>
              <w:rPr>
                <w:rFonts w:hint="default" w:ascii="Times New Roman" w:hAnsi="Times New Roman"/>
                <w:color w:val="000000"/>
                <w:szCs w:val="21"/>
                <w:lang w:val="en"/>
              </w:rPr>
              <w:t>—</w:t>
            </w:r>
            <w:r>
              <w:rPr>
                <w:rFonts w:hint="eastAsia" w:ascii="Times New Roman" w:hAnsi="Times New Roman"/>
                <w:color w:val="000000"/>
                <w:szCs w:val="21"/>
              </w:rPr>
              <w:t>20</w:t>
            </w:r>
            <w:r>
              <w:rPr>
                <w:rFonts w:hint="eastAsia" w:ascii="Times New Roman" w:hAnsi="Times New Roman"/>
                <w:color w:val="000000"/>
                <w:szCs w:val="21"/>
                <w:lang w:val="en-US" w:eastAsia="zh-CN"/>
              </w:rPr>
              <w:t>2</w:t>
            </w:r>
            <w:r>
              <w:rPr>
                <w:rFonts w:hint="eastAsia" w:ascii="Times New Roman" w:hAnsi="Times New Roman"/>
                <w:color w:val="000000"/>
                <w:szCs w:val="21"/>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4" w:type="dxa"/>
            <w:vMerge w:val="continue"/>
            <w:noWrap w:val="0"/>
            <w:vAlign w:val="center"/>
          </w:tcPr>
          <w:p>
            <w:pPr>
              <w:snapToGrid w:val="0"/>
              <w:jc w:val="center"/>
              <w:rPr>
                <w:rFonts w:hint="eastAsia" w:ascii="Times New Roman" w:hAnsi="Times New Roman"/>
                <w:color w:val="000000"/>
                <w:szCs w:val="21"/>
              </w:rPr>
            </w:pPr>
          </w:p>
        </w:tc>
        <w:tc>
          <w:tcPr>
            <w:tcW w:w="1417" w:type="dxa"/>
            <w:vMerge w:val="continue"/>
            <w:noWrap w:val="0"/>
            <w:vAlign w:val="center"/>
          </w:tcPr>
          <w:p>
            <w:pPr>
              <w:snapToGrid w:val="0"/>
              <w:jc w:val="center"/>
              <w:rPr>
                <w:rFonts w:hint="eastAsia" w:ascii="Times New Roman" w:hAnsi="Times New Roman"/>
                <w:color w:val="000000"/>
                <w:szCs w:val="21"/>
              </w:rPr>
            </w:pPr>
          </w:p>
        </w:tc>
        <w:tc>
          <w:tcPr>
            <w:tcW w:w="2308" w:type="dxa"/>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抗拉强度</w:t>
            </w:r>
          </w:p>
        </w:tc>
        <w:tc>
          <w:tcPr>
            <w:tcW w:w="4061" w:type="dxa"/>
            <w:vMerge w:val="continue"/>
            <w:noWrap w:val="0"/>
            <w:vAlign w:val="center"/>
          </w:tcPr>
          <w:p>
            <w:pPr>
              <w:snapToGrid w:val="0"/>
              <w:jc w:val="center"/>
              <w:rPr>
                <w:rFonts w:hint="eastAsia"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4" w:type="dxa"/>
            <w:vMerge w:val="continue"/>
            <w:noWrap w:val="0"/>
            <w:vAlign w:val="center"/>
          </w:tcPr>
          <w:p>
            <w:pPr>
              <w:snapToGrid w:val="0"/>
              <w:jc w:val="center"/>
              <w:rPr>
                <w:rFonts w:hint="eastAsia" w:ascii="Times New Roman" w:hAnsi="Times New Roman"/>
                <w:color w:val="000000"/>
                <w:szCs w:val="21"/>
              </w:rPr>
            </w:pPr>
          </w:p>
        </w:tc>
        <w:tc>
          <w:tcPr>
            <w:tcW w:w="1417" w:type="dxa"/>
            <w:vMerge w:val="continue"/>
            <w:noWrap w:val="0"/>
            <w:vAlign w:val="center"/>
          </w:tcPr>
          <w:p>
            <w:pPr>
              <w:snapToGrid w:val="0"/>
              <w:jc w:val="center"/>
              <w:rPr>
                <w:rFonts w:hint="eastAsia" w:ascii="Times New Roman" w:hAnsi="Times New Roman"/>
                <w:color w:val="000000"/>
                <w:szCs w:val="21"/>
              </w:rPr>
            </w:pPr>
          </w:p>
        </w:tc>
        <w:tc>
          <w:tcPr>
            <w:tcW w:w="2308" w:type="dxa"/>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断后伸长率</w:t>
            </w:r>
          </w:p>
        </w:tc>
        <w:tc>
          <w:tcPr>
            <w:tcW w:w="4061" w:type="dxa"/>
            <w:vMerge w:val="continue"/>
            <w:noWrap w:val="0"/>
            <w:vAlign w:val="center"/>
          </w:tcPr>
          <w:p>
            <w:pPr>
              <w:snapToGrid w:val="0"/>
              <w:jc w:val="center"/>
              <w:rPr>
                <w:rFonts w:hint="eastAsia"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4" w:type="dxa"/>
            <w:vMerge w:val="continue"/>
            <w:noWrap w:val="0"/>
            <w:vAlign w:val="center"/>
          </w:tcPr>
          <w:p>
            <w:pPr>
              <w:snapToGrid w:val="0"/>
              <w:jc w:val="center"/>
              <w:rPr>
                <w:rFonts w:hint="eastAsia" w:ascii="Times New Roman" w:hAnsi="Times New Roman"/>
                <w:color w:val="000000"/>
                <w:szCs w:val="21"/>
              </w:rPr>
            </w:pPr>
          </w:p>
        </w:tc>
        <w:tc>
          <w:tcPr>
            <w:tcW w:w="1417" w:type="dxa"/>
            <w:vMerge w:val="continue"/>
            <w:noWrap w:val="0"/>
            <w:vAlign w:val="center"/>
          </w:tcPr>
          <w:p>
            <w:pPr>
              <w:snapToGrid w:val="0"/>
              <w:jc w:val="center"/>
              <w:rPr>
                <w:rFonts w:hint="eastAsia" w:ascii="Times New Roman" w:hAnsi="Times New Roman"/>
                <w:color w:val="000000"/>
                <w:szCs w:val="21"/>
              </w:rPr>
            </w:pPr>
          </w:p>
        </w:tc>
        <w:tc>
          <w:tcPr>
            <w:tcW w:w="2308" w:type="dxa"/>
            <w:noWrap w:val="0"/>
            <w:vAlign w:val="center"/>
          </w:tcPr>
          <w:p>
            <w:pPr>
              <w:jc w:val="center"/>
              <w:rPr>
                <w:rFonts w:hint="eastAsia" w:ascii="Calibri" w:hAnsi="Calibri" w:eastAsia="宋体" w:cs="Times New Roman"/>
                <w:kern w:val="2"/>
                <w:sz w:val="21"/>
                <w:szCs w:val="21"/>
                <w:lang w:val="en-US" w:eastAsia="zh-CN" w:bidi="ar-SA"/>
              </w:rPr>
            </w:pPr>
            <w:r>
              <w:rPr>
                <w:rFonts w:eastAsia="宋体"/>
                <w:szCs w:val="21"/>
              </w:rPr>
              <w:t>实测抗拉强度与实测屈服强度之比</w:t>
            </w:r>
          </w:p>
        </w:tc>
        <w:tc>
          <w:tcPr>
            <w:tcW w:w="4061" w:type="dxa"/>
            <w:vMerge w:val="continue"/>
            <w:noWrap w:val="0"/>
            <w:vAlign w:val="center"/>
          </w:tcPr>
          <w:p>
            <w:pPr>
              <w:snapToGrid w:val="0"/>
              <w:jc w:val="center"/>
              <w:rPr>
                <w:rFonts w:hint="eastAsia"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4" w:type="dxa"/>
            <w:vMerge w:val="continue"/>
            <w:noWrap w:val="0"/>
            <w:vAlign w:val="center"/>
          </w:tcPr>
          <w:p>
            <w:pPr>
              <w:snapToGrid w:val="0"/>
              <w:jc w:val="center"/>
              <w:rPr>
                <w:rFonts w:hint="eastAsia" w:ascii="Times New Roman" w:hAnsi="Times New Roman"/>
                <w:color w:val="000000"/>
                <w:szCs w:val="21"/>
              </w:rPr>
            </w:pPr>
          </w:p>
        </w:tc>
        <w:tc>
          <w:tcPr>
            <w:tcW w:w="1417" w:type="dxa"/>
            <w:vMerge w:val="continue"/>
            <w:noWrap w:val="0"/>
            <w:vAlign w:val="center"/>
          </w:tcPr>
          <w:p>
            <w:pPr>
              <w:snapToGrid w:val="0"/>
              <w:jc w:val="center"/>
              <w:rPr>
                <w:rFonts w:hint="eastAsia" w:ascii="Times New Roman" w:hAnsi="Times New Roman"/>
                <w:color w:val="000000"/>
                <w:szCs w:val="21"/>
              </w:rPr>
            </w:pPr>
          </w:p>
        </w:tc>
        <w:tc>
          <w:tcPr>
            <w:tcW w:w="2308" w:type="dxa"/>
            <w:noWrap w:val="0"/>
            <w:vAlign w:val="center"/>
          </w:tcPr>
          <w:p>
            <w:pPr>
              <w:jc w:val="center"/>
              <w:rPr>
                <w:rFonts w:hint="eastAsia" w:ascii="Calibri" w:hAnsi="Calibri" w:eastAsia="宋体" w:cs="Times New Roman"/>
                <w:kern w:val="2"/>
                <w:sz w:val="21"/>
                <w:szCs w:val="21"/>
                <w:lang w:val="en-US" w:eastAsia="zh-CN" w:bidi="ar-SA"/>
              </w:rPr>
            </w:pPr>
            <w:r>
              <w:rPr>
                <w:rFonts w:eastAsia="宋体"/>
                <w:szCs w:val="21"/>
              </w:rPr>
              <w:t>实测屈服强度与屈服强度特征值之比</w:t>
            </w:r>
          </w:p>
        </w:tc>
        <w:tc>
          <w:tcPr>
            <w:tcW w:w="4061" w:type="dxa"/>
            <w:vMerge w:val="continue"/>
            <w:noWrap w:val="0"/>
            <w:vAlign w:val="center"/>
          </w:tcPr>
          <w:p>
            <w:pPr>
              <w:snapToGrid w:val="0"/>
              <w:jc w:val="center"/>
              <w:rPr>
                <w:rFonts w:hint="eastAsia"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4" w:type="dxa"/>
            <w:vMerge w:val="continue"/>
            <w:noWrap w:val="0"/>
            <w:vAlign w:val="center"/>
          </w:tcPr>
          <w:p>
            <w:pPr>
              <w:snapToGrid w:val="0"/>
              <w:jc w:val="center"/>
              <w:rPr>
                <w:rFonts w:hint="eastAsia" w:ascii="Times New Roman" w:hAnsi="Times New Roman"/>
                <w:color w:val="000000"/>
                <w:szCs w:val="21"/>
              </w:rPr>
            </w:pPr>
          </w:p>
        </w:tc>
        <w:tc>
          <w:tcPr>
            <w:tcW w:w="1417" w:type="dxa"/>
            <w:vMerge w:val="continue"/>
            <w:noWrap w:val="0"/>
            <w:vAlign w:val="center"/>
          </w:tcPr>
          <w:p>
            <w:pPr>
              <w:snapToGrid w:val="0"/>
              <w:jc w:val="center"/>
              <w:rPr>
                <w:rFonts w:hint="eastAsia" w:ascii="Times New Roman" w:hAnsi="Times New Roman"/>
                <w:color w:val="000000"/>
                <w:szCs w:val="21"/>
              </w:rPr>
            </w:pPr>
          </w:p>
        </w:tc>
        <w:tc>
          <w:tcPr>
            <w:tcW w:w="2308" w:type="dxa"/>
            <w:noWrap w:val="0"/>
            <w:vAlign w:val="center"/>
          </w:tcPr>
          <w:p>
            <w:pPr>
              <w:jc w:val="center"/>
              <w:rPr>
                <w:rFonts w:hint="eastAsia" w:ascii="Calibri" w:hAnsi="Calibri" w:eastAsia="宋体" w:cs="Times New Roman"/>
                <w:kern w:val="2"/>
                <w:sz w:val="21"/>
                <w:szCs w:val="21"/>
                <w:lang w:val="en-US" w:eastAsia="zh-CN" w:bidi="ar-SA"/>
              </w:rPr>
            </w:pPr>
            <w:r>
              <w:rPr>
                <w:rFonts w:eastAsia="宋体"/>
                <w:szCs w:val="21"/>
              </w:rPr>
              <w:t>最大力总延伸率</w:t>
            </w:r>
          </w:p>
        </w:tc>
        <w:tc>
          <w:tcPr>
            <w:tcW w:w="4061" w:type="dxa"/>
            <w:vMerge w:val="continue"/>
            <w:noWrap w:val="0"/>
            <w:vAlign w:val="center"/>
          </w:tcPr>
          <w:p>
            <w:pPr>
              <w:snapToGrid w:val="0"/>
              <w:jc w:val="center"/>
              <w:rPr>
                <w:rFonts w:hint="eastAsia"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4" w:type="dxa"/>
            <w:vMerge w:val="restart"/>
            <w:noWrap w:val="0"/>
            <w:vAlign w:val="center"/>
          </w:tcPr>
          <w:p>
            <w:pPr>
              <w:snapToGrid w:val="0"/>
              <w:jc w:val="center"/>
              <w:rPr>
                <w:rFonts w:hint="default" w:ascii="Times New Roman" w:hAnsi="Times New Roman"/>
                <w:color w:val="000000"/>
                <w:szCs w:val="21"/>
                <w:lang w:val="en"/>
              </w:rPr>
            </w:pPr>
            <w:r>
              <w:rPr>
                <w:rFonts w:hint="default" w:ascii="Times New Roman" w:hAnsi="Times New Roman"/>
                <w:color w:val="000000"/>
                <w:szCs w:val="21"/>
                <w:lang w:val="en"/>
              </w:rPr>
              <w:t>2</w:t>
            </w:r>
          </w:p>
        </w:tc>
        <w:tc>
          <w:tcPr>
            <w:tcW w:w="1417" w:type="dxa"/>
            <w:vMerge w:val="restart"/>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尺寸外形</w:t>
            </w:r>
          </w:p>
        </w:tc>
        <w:tc>
          <w:tcPr>
            <w:tcW w:w="2308" w:type="dxa"/>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横肋高</w:t>
            </w:r>
          </w:p>
        </w:tc>
        <w:tc>
          <w:tcPr>
            <w:tcW w:w="4061" w:type="dxa"/>
            <w:noWrap w:val="0"/>
            <w:vAlign w:val="center"/>
          </w:tcPr>
          <w:p>
            <w:pPr>
              <w:snapToGrid w:val="0"/>
              <w:jc w:val="center"/>
              <w:rPr>
                <w:rFonts w:hint="default" w:ascii="Times New Roman" w:hAnsi="Times New Roman"/>
                <w:color w:val="000000"/>
                <w:szCs w:val="21"/>
                <w:lang w:val="en"/>
              </w:rPr>
            </w:pPr>
            <w:r>
              <w:rPr>
                <w:rFonts w:hint="eastAsia" w:ascii="Times New Roman" w:hAnsi="Times New Roman"/>
                <w:color w:val="000000"/>
                <w:szCs w:val="21"/>
              </w:rPr>
              <w:t>GB</w:t>
            </w:r>
            <w:r>
              <w:rPr>
                <w:rFonts w:hint="default" w:ascii="Times New Roman" w:hAnsi="Times New Roman"/>
                <w:color w:val="000000"/>
                <w:szCs w:val="21"/>
                <w:lang w:val="en"/>
              </w:rPr>
              <w:t xml:space="preserve"> </w:t>
            </w:r>
            <w:r>
              <w:rPr>
                <w:rFonts w:hint="eastAsia" w:ascii="Times New Roman" w:hAnsi="Times New Roman"/>
                <w:color w:val="000000"/>
                <w:szCs w:val="21"/>
              </w:rPr>
              <w:t>1499.2</w:t>
            </w:r>
            <w:r>
              <w:rPr>
                <w:rFonts w:hint="default" w:ascii="Times New Roman" w:hAnsi="Times New Roman"/>
                <w:color w:val="000000"/>
                <w:szCs w:val="21"/>
                <w:lang w:val="en"/>
              </w:rPr>
              <w:t>—</w:t>
            </w:r>
            <w:r>
              <w:rPr>
                <w:rFonts w:hint="eastAsia" w:ascii="Times New Roman" w:hAnsi="Times New Roman"/>
                <w:color w:val="000000"/>
                <w:szCs w:val="21"/>
              </w:rPr>
              <w:t>20</w:t>
            </w:r>
            <w:r>
              <w:rPr>
                <w:rFonts w:hint="default" w:ascii="Times New Roman" w:hAnsi="Times New Roman"/>
                <w:color w:val="000000"/>
                <w:szCs w:val="21"/>
                <w:lang w:val="e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4" w:type="dxa"/>
            <w:vMerge w:val="continue"/>
            <w:noWrap w:val="0"/>
            <w:vAlign w:val="center"/>
          </w:tcPr>
          <w:p>
            <w:pPr>
              <w:snapToGrid w:val="0"/>
              <w:jc w:val="center"/>
              <w:rPr>
                <w:rFonts w:hint="eastAsia" w:ascii="Times New Roman" w:hAnsi="Times New Roman"/>
                <w:color w:val="000000"/>
                <w:szCs w:val="21"/>
              </w:rPr>
            </w:pPr>
          </w:p>
        </w:tc>
        <w:tc>
          <w:tcPr>
            <w:tcW w:w="1417" w:type="dxa"/>
            <w:vMerge w:val="continue"/>
            <w:noWrap w:val="0"/>
            <w:vAlign w:val="center"/>
          </w:tcPr>
          <w:p>
            <w:pPr>
              <w:snapToGrid w:val="0"/>
              <w:jc w:val="center"/>
              <w:rPr>
                <w:rFonts w:hint="eastAsia" w:ascii="Times New Roman" w:hAnsi="Times New Roman"/>
                <w:color w:val="000000"/>
                <w:szCs w:val="21"/>
              </w:rPr>
            </w:pPr>
          </w:p>
        </w:tc>
        <w:tc>
          <w:tcPr>
            <w:tcW w:w="2308" w:type="dxa"/>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肋间距</w:t>
            </w:r>
          </w:p>
        </w:tc>
        <w:tc>
          <w:tcPr>
            <w:tcW w:w="4061" w:type="dxa"/>
            <w:noWrap w:val="0"/>
            <w:vAlign w:val="center"/>
          </w:tcPr>
          <w:p>
            <w:pPr>
              <w:snapToGrid w:val="0"/>
              <w:jc w:val="center"/>
              <w:rPr>
                <w:rFonts w:hint="default" w:ascii="Times New Roman" w:hAnsi="Times New Roman"/>
                <w:color w:val="000000"/>
                <w:szCs w:val="21"/>
                <w:lang w:val="en"/>
              </w:rPr>
            </w:pPr>
            <w:r>
              <w:rPr>
                <w:rFonts w:hint="eastAsia" w:ascii="Times New Roman" w:hAnsi="Times New Roman"/>
                <w:color w:val="000000"/>
                <w:szCs w:val="21"/>
              </w:rPr>
              <w:t>GB 1499.2</w:t>
            </w:r>
            <w:r>
              <w:rPr>
                <w:rFonts w:hint="default" w:ascii="Times New Roman" w:hAnsi="Times New Roman"/>
                <w:color w:val="000000"/>
                <w:szCs w:val="21"/>
                <w:lang w:val="en"/>
              </w:rPr>
              <w:t>—</w:t>
            </w:r>
            <w:r>
              <w:rPr>
                <w:rFonts w:hint="eastAsia" w:ascii="Times New Roman" w:hAnsi="Times New Roman"/>
                <w:color w:val="000000"/>
                <w:szCs w:val="21"/>
              </w:rPr>
              <w:t>20</w:t>
            </w:r>
            <w:r>
              <w:rPr>
                <w:rFonts w:hint="default" w:ascii="Times New Roman" w:hAnsi="Times New Roman"/>
                <w:color w:val="000000"/>
                <w:szCs w:val="21"/>
                <w:lang w:val="e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4" w:type="dxa"/>
            <w:noWrap w:val="0"/>
            <w:vAlign w:val="center"/>
          </w:tcPr>
          <w:p>
            <w:pPr>
              <w:snapToGrid w:val="0"/>
              <w:jc w:val="center"/>
              <w:rPr>
                <w:rFonts w:hint="default" w:ascii="Times New Roman" w:hAnsi="Times New Roman"/>
                <w:color w:val="000000"/>
                <w:szCs w:val="21"/>
                <w:lang w:val="en"/>
              </w:rPr>
            </w:pPr>
            <w:r>
              <w:rPr>
                <w:rFonts w:hint="default" w:ascii="Times New Roman" w:hAnsi="Times New Roman"/>
                <w:color w:val="000000"/>
                <w:szCs w:val="21"/>
                <w:lang w:val="en"/>
              </w:rPr>
              <w:t>3</w:t>
            </w:r>
          </w:p>
        </w:tc>
        <w:tc>
          <w:tcPr>
            <w:tcW w:w="3725" w:type="dxa"/>
            <w:gridSpan w:val="2"/>
            <w:noWrap w:val="0"/>
            <w:vAlign w:val="center"/>
          </w:tcPr>
          <w:p>
            <w:pPr>
              <w:snapToGrid w:val="0"/>
              <w:jc w:val="center"/>
              <w:rPr>
                <w:rFonts w:hint="eastAsia" w:ascii="Times New Roman" w:hAnsi="Times New Roman"/>
                <w:color w:val="000000"/>
                <w:szCs w:val="21"/>
              </w:rPr>
            </w:pPr>
            <w:r>
              <w:rPr>
                <w:rFonts w:hint="eastAsia" w:ascii="Times New Roman" w:hAnsi="Times New Roman"/>
                <w:color w:val="000000"/>
                <w:szCs w:val="21"/>
              </w:rPr>
              <w:t>重量偏差</w:t>
            </w:r>
          </w:p>
        </w:tc>
        <w:tc>
          <w:tcPr>
            <w:tcW w:w="4061" w:type="dxa"/>
            <w:noWrap w:val="0"/>
            <w:vAlign w:val="center"/>
          </w:tcPr>
          <w:p>
            <w:pPr>
              <w:snapToGrid w:val="0"/>
              <w:jc w:val="center"/>
              <w:rPr>
                <w:rFonts w:hint="default" w:ascii="Times New Roman" w:hAnsi="Times New Roman"/>
                <w:color w:val="000000"/>
                <w:szCs w:val="21"/>
                <w:lang w:val="en"/>
              </w:rPr>
            </w:pPr>
            <w:r>
              <w:rPr>
                <w:rFonts w:hint="eastAsia" w:ascii="Times New Roman" w:hAnsi="Times New Roman"/>
                <w:color w:val="000000"/>
                <w:szCs w:val="21"/>
              </w:rPr>
              <w:t>GB 1499.2</w:t>
            </w:r>
            <w:r>
              <w:rPr>
                <w:rFonts w:hint="default" w:ascii="Times New Roman" w:hAnsi="Times New Roman"/>
                <w:color w:val="000000"/>
                <w:szCs w:val="21"/>
                <w:lang w:val="en"/>
              </w:rPr>
              <w:t>—</w:t>
            </w:r>
            <w:r>
              <w:rPr>
                <w:rFonts w:hint="eastAsia" w:ascii="Times New Roman" w:hAnsi="Times New Roman"/>
                <w:color w:val="000000"/>
                <w:szCs w:val="21"/>
              </w:rPr>
              <w:t>20</w:t>
            </w:r>
            <w:r>
              <w:rPr>
                <w:rFonts w:hint="default" w:ascii="Times New Roman" w:hAnsi="Times New Roman"/>
                <w:color w:val="000000"/>
                <w:szCs w:val="21"/>
                <w:lang w:val="en"/>
              </w:rPr>
              <w:t>24</w:t>
            </w:r>
          </w:p>
        </w:tc>
      </w:tr>
    </w:tbl>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执行企业标准、团体标准、地方标准的产品，检验项目参照上述内容执行。</w:t>
      </w:r>
    </w:p>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凡是注日期的文件，其随后所有的修改单（不包括勘误的内容）或修订版不适用于本细则。凡是不注日期的文件，其最新版本适用于本细则。</w:t>
      </w:r>
    </w:p>
    <w:p>
      <w:pPr>
        <w:widowControl/>
        <w:adjustRightInd w:val="0"/>
        <w:snapToGrid w:val="0"/>
        <w:spacing w:line="440" w:lineRule="exact"/>
        <w:ind w:firstLine="420" w:firstLineChars="200"/>
        <w:rPr>
          <w:rFonts w:hint="eastAsia" w:ascii="Times New Roman" w:hAnsi="Times New Roman"/>
          <w:color w:val="000000"/>
          <w:szCs w:val="21"/>
        </w:rPr>
      </w:pPr>
    </w:p>
    <w:p>
      <w:pPr>
        <w:spacing w:line="440" w:lineRule="exact"/>
        <w:rPr>
          <w:rFonts w:hint="eastAsia" w:ascii="Times New Roman" w:hAnsi="Times New Roman" w:eastAsia="黑体"/>
          <w:color w:val="000000"/>
          <w:szCs w:val="21"/>
        </w:rPr>
      </w:pPr>
      <w:r>
        <w:rPr>
          <w:rFonts w:hint="eastAsia" w:ascii="Times New Roman" w:hAnsi="Times New Roman" w:eastAsia="黑体"/>
          <w:color w:val="000000"/>
          <w:szCs w:val="21"/>
        </w:rPr>
        <w:t>3 判定规则</w:t>
      </w:r>
    </w:p>
    <w:p>
      <w:pPr>
        <w:snapToGrid w:val="0"/>
        <w:spacing w:line="440" w:lineRule="exact"/>
        <w:rPr>
          <w:rFonts w:hint="eastAsia" w:ascii="Times New Roman" w:hAnsi="Times New Roman"/>
          <w:color w:val="000000"/>
          <w:szCs w:val="21"/>
        </w:rPr>
      </w:pPr>
      <w:r>
        <w:rPr>
          <w:rFonts w:hint="eastAsia" w:ascii="Times New Roman" w:hAnsi="Times New Roman"/>
          <w:color w:val="000000"/>
          <w:szCs w:val="21"/>
        </w:rPr>
        <w:t>3.1 依据标准</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GB 1499.2</w:t>
      </w:r>
      <w:r>
        <w:rPr>
          <w:rFonts w:hint="default" w:ascii="Times New Roman" w:hAnsi="Times New Roman"/>
          <w:color w:val="000000"/>
          <w:szCs w:val="21"/>
          <w:lang w:val="en"/>
        </w:rPr>
        <w:t>—</w:t>
      </w:r>
      <w:r>
        <w:rPr>
          <w:rFonts w:hint="eastAsia" w:ascii="Times New Roman" w:hAnsi="Times New Roman"/>
          <w:color w:val="000000"/>
          <w:szCs w:val="21"/>
        </w:rPr>
        <w:t>20</w:t>
      </w:r>
      <w:r>
        <w:rPr>
          <w:rFonts w:hint="default" w:ascii="Times New Roman" w:hAnsi="Times New Roman"/>
          <w:color w:val="000000"/>
          <w:szCs w:val="21"/>
          <w:lang w:val="en"/>
        </w:rPr>
        <w:t>24</w:t>
      </w:r>
      <w:r>
        <w:rPr>
          <w:rFonts w:hint="eastAsia" w:ascii="Times New Roman" w:hAnsi="Times New Roman"/>
          <w:color w:val="000000"/>
          <w:szCs w:val="21"/>
        </w:rPr>
        <w:t xml:space="preserve"> 钢筋混凝土用钢</w:t>
      </w:r>
      <w:r>
        <w:rPr>
          <w:rFonts w:hint="eastAsia" w:ascii="Times New Roman" w:hAnsi="Times New Roman"/>
          <w:color w:val="000000"/>
          <w:szCs w:val="21"/>
          <w:lang w:val="en-US" w:eastAsia="zh-CN"/>
        </w:rPr>
        <w:t xml:space="preserve"> </w:t>
      </w:r>
      <w:r>
        <w:rPr>
          <w:rFonts w:hint="eastAsia" w:ascii="Times New Roman" w:hAnsi="Times New Roman"/>
          <w:color w:val="000000"/>
          <w:szCs w:val="21"/>
        </w:rPr>
        <w:t>第2部分：热轧带肋钢筋</w:t>
      </w:r>
    </w:p>
    <w:p>
      <w:pPr>
        <w:snapToGrid w:val="0"/>
        <w:spacing w:line="440" w:lineRule="exact"/>
        <w:ind w:firstLine="420" w:firstLineChars="200"/>
        <w:rPr>
          <w:rFonts w:hint="eastAsia" w:ascii="Times New Roman" w:hAnsi="Times New Roman"/>
          <w:color w:val="000000"/>
          <w:szCs w:val="21"/>
          <w:lang w:eastAsia="zh-CN"/>
        </w:rPr>
      </w:pPr>
      <w:r>
        <w:rPr>
          <w:rFonts w:hint="eastAsia" w:ascii="Times New Roman" w:hAnsi="Times New Roman"/>
          <w:color w:val="000000"/>
          <w:szCs w:val="21"/>
        </w:rPr>
        <w:t>相关的法律法规、部门规章和规范</w:t>
      </w:r>
    </w:p>
    <w:p>
      <w:pPr>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现行有效的企业标准、团体标准、地方标准及产品明示质量要求</w:t>
      </w:r>
    </w:p>
    <w:p>
      <w:pPr>
        <w:snapToGrid w:val="0"/>
        <w:spacing w:line="440" w:lineRule="exact"/>
        <w:rPr>
          <w:rFonts w:hint="eastAsia" w:ascii="Times New Roman" w:hAnsi="Times New Roman"/>
          <w:color w:val="000000"/>
          <w:szCs w:val="21"/>
        </w:rPr>
      </w:pPr>
      <w:r>
        <w:rPr>
          <w:rFonts w:hint="eastAsia" w:ascii="Times New Roman" w:hAnsi="Times New Roman"/>
          <w:color w:val="000000"/>
          <w:szCs w:val="21"/>
        </w:rPr>
        <w:t>3.2判定原则</w:t>
      </w:r>
    </w:p>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经检验，检验项目全部合格，判定为被抽查产品所检项目未发现不合格；检验项目中任一项或一项以上不合格，判定为被抽查产品不合格。</w:t>
      </w:r>
    </w:p>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若被检产品明示的质量要求高于本细则中检验项目依据的标准要求时，应按被检产品明示的质量要求判定。</w:t>
      </w:r>
    </w:p>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若被检产品明示的质量要求低于本细则中检验项目依据的强制性标准要求时，应按照强制性标准要求判定。</w:t>
      </w:r>
    </w:p>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若被检产品明示的质量要求低于或包含本细则中检验项目依据的推荐性标准要求时，</w:t>
      </w:r>
      <w:r>
        <w:rPr>
          <w:rFonts w:hint="eastAsia" w:ascii="Times New Roman" w:hAnsi="Times New Roman"/>
          <w:color w:val="000000"/>
          <w:szCs w:val="21"/>
          <w:lang w:eastAsia="zh-CN"/>
        </w:rPr>
        <w:t>应以</w:t>
      </w:r>
      <w:r>
        <w:rPr>
          <w:rFonts w:hint="eastAsia" w:ascii="Times New Roman" w:hAnsi="Times New Roman"/>
          <w:color w:val="000000"/>
          <w:szCs w:val="21"/>
        </w:rPr>
        <w:t>被检产品明示的质量要求判定</w:t>
      </w:r>
      <w:r>
        <w:rPr>
          <w:rFonts w:hint="eastAsia" w:ascii="Times New Roman" w:hAnsi="Times New Roman"/>
          <w:color w:val="000000"/>
          <w:szCs w:val="21"/>
          <w:lang w:eastAsia="zh-CN"/>
        </w:rPr>
        <w:t>。</w:t>
      </w:r>
    </w:p>
    <w:p>
      <w:pPr>
        <w:widowControl/>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若被检产品明示的质量要求缺少本细则中检验项目依据的强制性标准要求时，应按照强制性标准要求判定。</w:t>
      </w:r>
    </w:p>
    <w:p>
      <w:pPr>
        <w:adjustRightInd w:val="0"/>
        <w:snapToGrid w:val="0"/>
        <w:spacing w:line="440" w:lineRule="exact"/>
        <w:ind w:firstLine="420" w:firstLineChars="200"/>
        <w:rPr>
          <w:rFonts w:hint="eastAsia" w:ascii="Times New Roman" w:hAnsi="Times New Roman"/>
          <w:color w:val="000000"/>
          <w:szCs w:val="21"/>
        </w:rPr>
      </w:pPr>
      <w:r>
        <w:rPr>
          <w:rFonts w:hint="eastAsia" w:ascii="Times New Roman" w:hAnsi="Times New Roman"/>
          <w:color w:val="000000"/>
          <w:szCs w:val="21"/>
        </w:rPr>
        <w:t>若被检产品明示的质量要求缺少本细则中检验项目依据的推荐性标准要求时，该项目不参与判定。</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MWU1NTJkMGNhMjI3ZDY2ZTE1NmRiM2Y0MmFiNzEifQ=="/>
  </w:docVars>
  <w:rsids>
    <w:rsidRoot w:val="3FFBBDCD"/>
    <w:rsid w:val="1BE53653"/>
    <w:rsid w:val="2DEC4179"/>
    <w:rsid w:val="39989172"/>
    <w:rsid w:val="39F3264A"/>
    <w:rsid w:val="3FFBBDCD"/>
    <w:rsid w:val="637E38CC"/>
    <w:rsid w:val="6B5B85A2"/>
    <w:rsid w:val="73FF96E7"/>
    <w:rsid w:val="767D03BA"/>
    <w:rsid w:val="7BDC43E6"/>
    <w:rsid w:val="7FFEEE1E"/>
    <w:rsid w:val="8FDB1BCE"/>
    <w:rsid w:val="E0DD4EED"/>
    <w:rsid w:val="E83D90E6"/>
    <w:rsid w:val="F3E98983"/>
    <w:rsid w:val="F9DA8DE0"/>
    <w:rsid w:val="FEFEA6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9"/>
    <w:pPr>
      <w:widowControl/>
      <w:jc w:val="left"/>
      <w:outlineLvl w:val="2"/>
    </w:pPr>
    <w:rPr>
      <w:rFonts w:ascii="宋体"/>
      <w:b/>
      <w:bCs/>
      <w:kern w:val="0"/>
      <w:sz w:val="27"/>
      <w:szCs w:val="27"/>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2024-03-23T02:25:00Z</dcterms:created>
  <dc:creator>greatwall</dc:creator>
  <cp:lastModifiedBy>∝ 布籽熊。</cp:lastModifiedBy>
  <dcterms:modified xsi:type="dcterms:W3CDTF">2025-09-01T14:58:07Z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B7D457A7A0BB4FD59C308C550BC8A90A_12</vt:lpwstr>
  </property>
</Properties>
</file>