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555BA">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目录</w:t>
      </w:r>
    </w:p>
    <w:p w14:paraId="09CA56E2">
      <w:pPr>
        <w:autoSpaceDE w:val="0"/>
        <w:autoSpaceDN w:val="0"/>
        <w:adjustRightInd w:val="0"/>
        <w:spacing w:line="600" w:lineRule="exact"/>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一、关于区级“三公”经费支出情况的说明...............1</w:t>
      </w:r>
      <w:r>
        <w:rPr>
          <w:rFonts w:hint="eastAsia" w:ascii="黑体" w:hAnsi="黑体" w:eastAsia="黑体" w:cs="黑体"/>
          <w:b w:val="0"/>
          <w:bCs w:val="0"/>
          <w:sz w:val="32"/>
          <w:szCs w:val="32"/>
          <w:lang w:val="en-US" w:eastAsia="zh-CN"/>
        </w:rPr>
        <w:br w:type="textWrapping"/>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28"/>
          <w:szCs w:val="28"/>
          <w:lang w:val="en-US" w:eastAsia="zh-CN"/>
        </w:rPr>
        <w:t>关于税收返还及转移支付情况............................2</w:t>
      </w:r>
      <w:r>
        <w:rPr>
          <w:rFonts w:hint="eastAsia" w:ascii="黑体" w:hAnsi="黑体" w:eastAsia="黑体" w:cs="黑体"/>
          <w:b w:val="0"/>
          <w:bCs w:val="0"/>
          <w:sz w:val="28"/>
          <w:szCs w:val="28"/>
          <w:lang w:val="en-US" w:eastAsia="zh-CN"/>
        </w:rPr>
        <w:br w:type="textWrapping"/>
      </w:r>
      <w:r>
        <w:rPr>
          <w:rFonts w:hint="eastAsia" w:ascii="黑体" w:hAnsi="黑体" w:eastAsia="黑体" w:cs="黑体"/>
          <w:b w:val="0"/>
          <w:bCs w:val="0"/>
          <w:sz w:val="28"/>
          <w:szCs w:val="28"/>
          <w:lang w:val="en-US" w:eastAsia="zh-CN"/>
        </w:rPr>
        <w:t>三、</w:t>
      </w:r>
      <w:r>
        <w:rPr>
          <w:rFonts w:hint="default" w:ascii="黑体" w:hAnsi="黑体" w:eastAsia="黑体" w:cs="黑体"/>
          <w:b w:val="0"/>
          <w:bCs w:val="0"/>
          <w:sz w:val="28"/>
          <w:szCs w:val="28"/>
          <w:lang w:val="en-US" w:eastAsia="zh-CN"/>
        </w:rPr>
        <w:t>关于地方政府债务情况的说明</w:t>
      </w:r>
      <w:r>
        <w:rPr>
          <w:rFonts w:hint="eastAsia" w:ascii="黑体" w:hAnsi="黑体" w:eastAsia="黑体" w:cs="黑体"/>
          <w:b w:val="0"/>
          <w:bCs w:val="0"/>
          <w:sz w:val="28"/>
          <w:szCs w:val="28"/>
          <w:lang w:val="en-US" w:eastAsia="zh-CN"/>
        </w:rPr>
        <w:t xml:space="preserve"> ............................3</w:t>
      </w:r>
    </w:p>
    <w:p w14:paraId="146BEF10">
      <w:pPr>
        <w:autoSpaceDE w:val="0"/>
        <w:autoSpaceDN w:val="0"/>
        <w:adjustRightInd w:val="0"/>
        <w:spacing w:line="600" w:lineRule="exact"/>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四、</w:t>
      </w:r>
      <w:r>
        <w:rPr>
          <w:rFonts w:hint="eastAsia" w:ascii="黑体" w:hAnsi="黑体" w:eastAsia="黑体" w:cs="黑体"/>
          <w:b w:val="0"/>
          <w:bCs w:val="0"/>
          <w:sz w:val="32"/>
          <w:szCs w:val="32"/>
          <w:lang w:val="en-US" w:eastAsia="zh-CN"/>
        </w:rPr>
        <w:t>关于预算绩效管理工作情况的说明..................4</w:t>
      </w:r>
    </w:p>
    <w:p w14:paraId="1A3BD71F">
      <w:pPr>
        <w:autoSpaceDE w:val="0"/>
        <w:autoSpaceDN w:val="0"/>
        <w:adjustRightInd w:val="0"/>
        <w:spacing w:line="600" w:lineRule="exact"/>
        <w:jc w:val="both"/>
        <w:rPr>
          <w:rFonts w:hint="default" w:ascii="Times New Roman" w:hAnsi="Times New Roman" w:eastAsia="方正小标宋简体" w:cs="Times New Roman"/>
          <w:sz w:val="40"/>
          <w:szCs w:val="40"/>
          <w:lang w:val="en-US" w:eastAsia="zh-CN"/>
        </w:rPr>
      </w:pPr>
    </w:p>
    <w:p w14:paraId="156C72E7">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14:paraId="6228DF64">
      <w:pPr>
        <w:pStyle w:val="9"/>
        <w:rPr>
          <w:rFonts w:hint="default" w:ascii="Times New Roman" w:hAnsi="Times New Roman" w:eastAsia="方正小标宋简体" w:cs="Times New Roman"/>
          <w:sz w:val="44"/>
          <w:szCs w:val="44"/>
          <w:lang w:val="en-US" w:eastAsia="zh-CN"/>
        </w:rPr>
      </w:pPr>
    </w:p>
    <w:p w14:paraId="7D786D43">
      <w:pPr>
        <w:rPr>
          <w:rFonts w:hint="default" w:ascii="Times New Roman" w:hAnsi="Times New Roman" w:eastAsia="方正小标宋简体" w:cs="Times New Roman"/>
          <w:sz w:val="44"/>
          <w:szCs w:val="44"/>
          <w:lang w:val="en-US" w:eastAsia="zh-CN"/>
        </w:rPr>
      </w:pPr>
    </w:p>
    <w:p w14:paraId="32786700">
      <w:pPr>
        <w:pStyle w:val="9"/>
        <w:rPr>
          <w:rFonts w:hint="default" w:ascii="Times New Roman" w:hAnsi="Times New Roman" w:eastAsia="方正小标宋简体" w:cs="Times New Roman"/>
          <w:sz w:val="44"/>
          <w:szCs w:val="44"/>
          <w:lang w:val="en-US" w:eastAsia="zh-CN"/>
        </w:rPr>
      </w:pPr>
    </w:p>
    <w:p w14:paraId="4CDF442F">
      <w:pPr>
        <w:rPr>
          <w:rFonts w:hint="default" w:ascii="Times New Roman" w:hAnsi="Times New Roman" w:eastAsia="方正小标宋简体" w:cs="Times New Roman"/>
          <w:sz w:val="44"/>
          <w:szCs w:val="44"/>
          <w:lang w:val="en-US" w:eastAsia="zh-CN"/>
        </w:rPr>
      </w:pPr>
    </w:p>
    <w:p w14:paraId="0BD76B4C">
      <w:pPr>
        <w:pStyle w:val="9"/>
        <w:rPr>
          <w:rFonts w:hint="default" w:ascii="Times New Roman" w:hAnsi="Times New Roman" w:eastAsia="方正小标宋简体" w:cs="Times New Roman"/>
          <w:sz w:val="44"/>
          <w:szCs w:val="44"/>
          <w:lang w:val="en-US" w:eastAsia="zh-CN"/>
        </w:rPr>
      </w:pPr>
    </w:p>
    <w:p w14:paraId="3F435354">
      <w:pPr>
        <w:rPr>
          <w:rFonts w:hint="default" w:ascii="Times New Roman" w:hAnsi="Times New Roman" w:eastAsia="方正小标宋简体" w:cs="Times New Roman"/>
          <w:sz w:val="44"/>
          <w:szCs w:val="44"/>
          <w:lang w:val="en-US" w:eastAsia="zh-CN"/>
        </w:rPr>
      </w:pPr>
    </w:p>
    <w:p w14:paraId="4E34990F">
      <w:pPr>
        <w:pStyle w:val="9"/>
        <w:rPr>
          <w:rFonts w:hint="default" w:ascii="Times New Roman" w:hAnsi="Times New Roman" w:eastAsia="方正小标宋简体" w:cs="Times New Roman"/>
          <w:sz w:val="44"/>
          <w:szCs w:val="44"/>
          <w:lang w:val="en-US" w:eastAsia="zh-CN"/>
        </w:rPr>
      </w:pPr>
    </w:p>
    <w:p w14:paraId="00F5AFEE">
      <w:pPr>
        <w:rPr>
          <w:rFonts w:hint="default" w:ascii="Times New Roman" w:hAnsi="Times New Roman" w:eastAsia="方正小标宋简体" w:cs="Times New Roman"/>
          <w:sz w:val="44"/>
          <w:szCs w:val="44"/>
          <w:lang w:val="en-US" w:eastAsia="zh-CN"/>
        </w:rPr>
      </w:pPr>
    </w:p>
    <w:p w14:paraId="65294A05">
      <w:pPr>
        <w:pStyle w:val="9"/>
        <w:rPr>
          <w:rFonts w:hint="default"/>
          <w:lang w:val="en-US" w:eastAsia="zh-CN"/>
        </w:rPr>
      </w:pPr>
    </w:p>
    <w:p w14:paraId="254CD9D2">
      <w:pPr>
        <w:rPr>
          <w:rFonts w:hint="default"/>
          <w:lang w:val="en-US" w:eastAsia="zh-CN"/>
        </w:rPr>
      </w:pPr>
    </w:p>
    <w:p w14:paraId="65771FD5">
      <w:pPr>
        <w:pStyle w:val="9"/>
        <w:rPr>
          <w:rFonts w:hint="default"/>
          <w:lang w:val="en-US" w:eastAsia="zh-CN"/>
        </w:rPr>
      </w:pPr>
    </w:p>
    <w:p w14:paraId="692F848F">
      <w:pPr>
        <w:rPr>
          <w:rFonts w:hint="default"/>
          <w:lang w:val="en-US" w:eastAsia="zh-CN"/>
        </w:rPr>
      </w:pPr>
    </w:p>
    <w:p w14:paraId="27E7EDE8">
      <w:pPr>
        <w:pStyle w:val="9"/>
        <w:rPr>
          <w:rFonts w:hint="default"/>
          <w:lang w:val="en-US" w:eastAsia="zh-CN"/>
        </w:rPr>
      </w:pPr>
    </w:p>
    <w:p w14:paraId="6EF84891">
      <w:pPr>
        <w:rPr>
          <w:rFonts w:hint="default"/>
          <w:lang w:val="en-US" w:eastAsia="zh-CN"/>
        </w:rPr>
      </w:pPr>
    </w:p>
    <w:p w14:paraId="0034C1C9">
      <w:pPr>
        <w:pStyle w:val="9"/>
        <w:rPr>
          <w:rFonts w:hint="default"/>
          <w:lang w:val="en-US" w:eastAsia="zh-CN"/>
        </w:rPr>
      </w:pPr>
    </w:p>
    <w:p w14:paraId="77282BEF">
      <w:pPr>
        <w:rPr>
          <w:rFonts w:hint="default"/>
          <w:lang w:val="en-US" w:eastAsia="zh-CN"/>
        </w:rPr>
      </w:pPr>
    </w:p>
    <w:p w14:paraId="29CF52BA">
      <w:pPr>
        <w:pStyle w:val="9"/>
        <w:rPr>
          <w:rFonts w:hint="default"/>
          <w:lang w:val="en-US" w:eastAsia="zh-CN"/>
        </w:rPr>
      </w:pPr>
    </w:p>
    <w:p w14:paraId="7F456FE1">
      <w:pPr>
        <w:rPr>
          <w:rFonts w:hint="default"/>
          <w:lang w:val="en-US" w:eastAsia="zh-CN"/>
        </w:rPr>
      </w:pPr>
    </w:p>
    <w:p w14:paraId="5C9BA9A0">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14:paraId="189AA25D">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关于区级“三公”经费支出情况的说明</w:t>
      </w:r>
    </w:p>
    <w:p w14:paraId="7602190E">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14:paraId="16DB2B10">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年，区级一般公共预算安排的行政事业单位“三公”经费支出合计</w:t>
      </w:r>
      <w:r>
        <w:rPr>
          <w:rFonts w:hint="eastAsia" w:ascii="Times New Roman" w:hAnsi="Times New Roman" w:eastAsia="仿宋_GB2312" w:cs="Times New Roman"/>
          <w:color w:val="auto"/>
          <w:sz w:val="32"/>
          <w:szCs w:val="32"/>
          <w:lang w:val="en-US" w:eastAsia="zh-CN"/>
        </w:rPr>
        <w:t>171</w:t>
      </w:r>
      <w:r>
        <w:rPr>
          <w:rFonts w:hint="default" w:ascii="Times New Roman" w:hAnsi="Times New Roman" w:eastAsia="仿宋_GB2312" w:cs="Times New Roman"/>
          <w:color w:val="auto"/>
          <w:sz w:val="32"/>
          <w:szCs w:val="32"/>
          <w:lang w:val="en-US" w:eastAsia="zh-CN"/>
        </w:rPr>
        <w:t>万元，比预算数</w:t>
      </w:r>
      <w:r>
        <w:rPr>
          <w:rFonts w:hint="eastAsia"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万元减少</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万元。其中：因公出国（境）经费</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万元；公务用车运行维护费</w:t>
      </w:r>
      <w:r>
        <w:rPr>
          <w:rFonts w:hint="eastAsia" w:ascii="Times New Roman" w:hAnsi="Times New Roman" w:eastAsia="仿宋_GB2312" w:cs="Times New Roman"/>
          <w:color w:val="auto"/>
          <w:sz w:val="32"/>
          <w:szCs w:val="32"/>
          <w:lang w:val="en-US" w:eastAsia="zh-CN"/>
        </w:rPr>
        <w:t>158</w:t>
      </w:r>
      <w:r>
        <w:rPr>
          <w:rFonts w:hint="default" w:ascii="Times New Roman" w:hAnsi="Times New Roman" w:eastAsia="仿宋_GB2312" w:cs="Times New Roman"/>
          <w:color w:val="auto"/>
          <w:sz w:val="32"/>
          <w:szCs w:val="32"/>
          <w:lang w:val="en-US" w:eastAsia="zh-CN"/>
        </w:rPr>
        <w:t>万元；公务接待费</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万元。区级“三公”经费下降主要是区直部门带头过紧日子，厉行节约，</w:t>
      </w:r>
      <w:r>
        <w:rPr>
          <w:rFonts w:hint="default" w:ascii="Times New Roman" w:hAnsi="Times New Roman" w:eastAsia="仿宋_GB2312" w:cs="Times New Roman"/>
          <w:color w:val="auto"/>
          <w:sz w:val="32"/>
          <w:szCs w:val="32"/>
        </w:rPr>
        <w:t>严控“三公”</w:t>
      </w:r>
      <w:r>
        <w:rPr>
          <w:rFonts w:hint="default" w:ascii="Times New Roman" w:hAnsi="Times New Roman" w:eastAsia="仿宋_GB2312" w:cs="Times New Roman"/>
          <w:color w:val="auto"/>
          <w:sz w:val="32"/>
          <w:szCs w:val="32"/>
          <w:lang w:val="en-US" w:eastAsia="zh-CN"/>
        </w:rPr>
        <w:t>开支，确保“三公”经费总数只减不增。</w:t>
      </w:r>
    </w:p>
    <w:p w14:paraId="6594BD0F">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14:paraId="620492ED">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14:paraId="1793B0D1">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6D1DDE26">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5216BB7C">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5A88FC4">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6DD6E187">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64DA9FCB">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3CA68A98">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FD2C13D">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3C92B92">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0793EBE">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314DAC6E">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38BCECBB">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199E7BA9">
      <w:pPr>
        <w:pStyle w:val="9"/>
        <w:rPr>
          <w:rFonts w:hint="default"/>
          <w:lang w:val="en-US" w:eastAsia="zh-CN"/>
        </w:rPr>
      </w:pPr>
    </w:p>
    <w:p w14:paraId="64A064DB">
      <w:pPr>
        <w:autoSpaceDE w:val="0"/>
        <w:autoSpaceDN w:val="0"/>
        <w:adjustRightInd w:val="0"/>
        <w:spacing w:line="600" w:lineRule="exact"/>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关于税收返还及转移支付情况的说明</w:t>
      </w:r>
    </w:p>
    <w:p w14:paraId="307783C4">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14:paraId="18F0EA4B">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中央、</w:t>
      </w:r>
      <w:r>
        <w:rPr>
          <w:rFonts w:hint="default" w:ascii="Times New Roman" w:hAnsi="Times New Roman" w:eastAsia="仿宋_GB2312" w:cs="Times New Roman"/>
          <w:color w:val="auto"/>
          <w:sz w:val="32"/>
          <w:szCs w:val="32"/>
          <w:lang w:val="en-US" w:eastAsia="zh-CN"/>
        </w:rPr>
        <w:t>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市财政安排我区税收返还和转移支付</w:t>
      </w:r>
      <w:r>
        <w:rPr>
          <w:rFonts w:hint="eastAsia" w:ascii="Times New Roman" w:hAnsi="Times New Roman" w:eastAsia="仿宋_GB2312" w:cs="Times New Roman"/>
          <w:color w:val="auto"/>
          <w:sz w:val="32"/>
          <w:szCs w:val="32"/>
          <w:lang w:val="en-US" w:eastAsia="zh-CN"/>
        </w:rPr>
        <w:t>27.54</w:t>
      </w:r>
      <w:r>
        <w:rPr>
          <w:rFonts w:hint="default" w:ascii="Times New Roman" w:hAnsi="Times New Roman" w:eastAsia="仿宋_GB2312" w:cs="Times New Roman"/>
          <w:color w:val="auto"/>
          <w:sz w:val="32"/>
          <w:szCs w:val="32"/>
          <w:lang w:val="en-US" w:eastAsia="zh-CN"/>
        </w:rPr>
        <w:t>亿元，比上年</w:t>
      </w:r>
      <w:r>
        <w:rPr>
          <w:rFonts w:hint="eastAsia" w:ascii="Times New Roman" w:hAnsi="Times New Roman" w:eastAsia="仿宋_GB2312" w:cs="Times New Roman"/>
          <w:color w:val="auto"/>
          <w:sz w:val="32"/>
          <w:szCs w:val="32"/>
          <w:lang w:val="en-US" w:eastAsia="zh-CN"/>
        </w:rPr>
        <w:t>减少5.46</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上升19.82</w:t>
      </w:r>
      <w:r>
        <w:rPr>
          <w:rFonts w:hint="default" w:ascii="Times New Roman" w:hAnsi="Times New Roman" w:eastAsia="仿宋_GB2312" w:cs="Times New Roman"/>
          <w:color w:val="auto"/>
          <w:sz w:val="32"/>
          <w:szCs w:val="32"/>
          <w:lang w:val="en-US" w:eastAsia="zh-CN"/>
        </w:rPr>
        <w:t>%，其中：</w:t>
      </w:r>
    </w:p>
    <w:p w14:paraId="14008944">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返还性收入</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亿元，与上年持平。其中：增值税“五五分享”税收返还收入0.9亿元；其他返还性收入0.4亿元。</w:t>
      </w:r>
    </w:p>
    <w:p w14:paraId="04286742">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一般性转移支付</w:t>
      </w:r>
      <w:r>
        <w:rPr>
          <w:rFonts w:hint="eastAsia" w:ascii="Times New Roman" w:hAnsi="Times New Roman" w:eastAsia="仿宋_GB2312" w:cs="Times New Roman"/>
          <w:color w:val="auto"/>
          <w:sz w:val="32"/>
          <w:szCs w:val="32"/>
          <w:lang w:val="en-US" w:eastAsia="zh-CN"/>
        </w:rPr>
        <w:t>13.40</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比上年减少7.04亿元，下降34.44</w:t>
      </w:r>
      <w:r>
        <w:rPr>
          <w:rFonts w:hint="default" w:ascii="Times New Roman" w:hAnsi="Times New Roman" w:eastAsia="仿宋_GB2312" w:cs="Times New Roman"/>
          <w:color w:val="auto"/>
          <w:sz w:val="32"/>
          <w:szCs w:val="32"/>
          <w:lang w:val="en-US" w:eastAsia="zh-CN"/>
        </w:rPr>
        <w:t>%。主要</w:t>
      </w:r>
      <w:r>
        <w:rPr>
          <w:rFonts w:hint="eastAsia" w:ascii="Times New Roman" w:hAnsi="Times New Roman" w:eastAsia="仿宋_GB2312" w:cs="Times New Roman"/>
          <w:color w:val="auto"/>
          <w:sz w:val="32"/>
          <w:szCs w:val="32"/>
          <w:lang w:val="en-US" w:eastAsia="zh-CN"/>
        </w:rPr>
        <w:t>因为增值税留抵退税分担机制改革，2024年增值税留抵退税转移支付收入减少至0元，比上年减少了5.7亿。</w:t>
      </w:r>
    </w:p>
    <w:p w14:paraId="505C09EB">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专项转移支付</w:t>
      </w:r>
      <w:r>
        <w:rPr>
          <w:rFonts w:hint="eastAsia" w:ascii="Times New Roman" w:hAnsi="Times New Roman" w:eastAsia="仿宋_GB2312" w:cs="Times New Roman"/>
          <w:color w:val="auto"/>
          <w:sz w:val="32"/>
          <w:szCs w:val="32"/>
          <w:lang w:val="en-US" w:eastAsia="zh-CN"/>
        </w:rPr>
        <w:t>7.39</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比上年减少2.5亿元，上升25.59</w:t>
      </w:r>
      <w:r>
        <w:rPr>
          <w:rFonts w:hint="default" w:ascii="Times New Roman" w:hAnsi="Times New Roman" w:eastAsia="仿宋_GB2312" w:cs="Times New Roman"/>
          <w:color w:val="auto"/>
          <w:sz w:val="32"/>
          <w:szCs w:val="32"/>
          <w:lang w:val="en-US" w:eastAsia="zh-CN"/>
        </w:rPr>
        <w:t>%。主要是</w:t>
      </w:r>
      <w:r>
        <w:rPr>
          <w:rFonts w:hint="eastAsia" w:ascii="Times New Roman" w:hAnsi="Times New Roman" w:eastAsia="仿宋_GB2312" w:cs="Times New Roman"/>
          <w:color w:val="auto"/>
          <w:sz w:val="32"/>
          <w:szCs w:val="32"/>
          <w:lang w:val="en-US" w:eastAsia="zh-CN"/>
        </w:rPr>
        <w:t>上级对于</w:t>
      </w:r>
      <w:r>
        <w:rPr>
          <w:rFonts w:hint="default" w:ascii="Times New Roman" w:hAnsi="Times New Roman" w:eastAsia="仿宋_GB2312" w:cs="Times New Roman"/>
          <w:color w:val="auto"/>
          <w:sz w:val="32"/>
          <w:szCs w:val="32"/>
          <w:lang w:val="en-US" w:eastAsia="zh-CN"/>
        </w:rPr>
        <w:t>城乡社区</w:t>
      </w:r>
      <w:r>
        <w:rPr>
          <w:rFonts w:hint="eastAsia" w:ascii="Times New Roman" w:hAnsi="Times New Roman" w:eastAsia="仿宋_GB2312" w:cs="Times New Roman"/>
          <w:color w:val="auto"/>
          <w:sz w:val="32"/>
          <w:szCs w:val="32"/>
          <w:lang w:val="en-US" w:eastAsia="zh-CN"/>
        </w:rPr>
        <w:t>相关支出减少3.9亿元</w:t>
      </w:r>
      <w:r>
        <w:rPr>
          <w:rFonts w:hint="default" w:ascii="Times New Roman" w:hAnsi="Times New Roman" w:eastAsia="仿宋_GB2312" w:cs="Times New Roman"/>
          <w:color w:val="auto"/>
          <w:sz w:val="32"/>
          <w:szCs w:val="32"/>
          <w:lang w:val="en-US" w:eastAsia="zh-CN"/>
        </w:rPr>
        <w:t>。</w:t>
      </w:r>
      <w:r>
        <w:rPr>
          <w:rFonts w:hint="eastAsia" w:ascii="仿宋_GB2312" w:hAnsi="宋体" w:eastAsia="仿宋_GB2312" w:cs="仿宋_GB2312"/>
          <w:i w:val="0"/>
          <w:iCs w:val="0"/>
          <w:color w:val="auto"/>
          <w:kern w:val="0"/>
          <w:sz w:val="28"/>
          <w:szCs w:val="28"/>
          <w:u w:val="none"/>
          <w:lang w:val="en-US" w:eastAsia="zh-CN" w:bidi="ar"/>
        </w:rPr>
        <w:t xml:space="preserve"> </w:t>
      </w:r>
    </w:p>
    <w:p w14:paraId="0EA3E426">
      <w:pPr>
        <w:pStyle w:val="9"/>
        <w:rPr>
          <w:rFonts w:hint="default"/>
          <w:color w:val="auto"/>
          <w:lang w:val="en-US" w:eastAsia="zh-CN"/>
        </w:rPr>
      </w:pPr>
    </w:p>
    <w:p w14:paraId="77DF1AEC">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9BA0337">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533CA8D7">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01FB571">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64473264">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4356F75A">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7237F0EE">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35D20285">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786A06AF">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1C8A17A1">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14:paraId="228D8E8C">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关于地方政府债务情况的说明</w:t>
      </w:r>
    </w:p>
    <w:p w14:paraId="1D74796A">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14:paraId="5C46A665">
      <w:pPr>
        <w:autoSpaceDE w:val="0"/>
        <w:autoSpaceDN w:val="0"/>
        <w:adjustRightInd w:val="0"/>
        <w:spacing w:line="600" w:lineRule="exact"/>
        <w:ind w:firstLine="640" w:firstLineChars="200"/>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仿宋_GB2312" w:cs="Times New Roman"/>
          <w:color w:val="auto"/>
          <w:sz w:val="32"/>
          <w:szCs w:val="32"/>
          <w:lang w:val="en-US" w:eastAsia="zh-CN"/>
        </w:rPr>
        <w:t>2024年省财政厅下达区新增地方政府一般债券3000万元，新增地方政府专项债券152500万元，再融资一般债券33120万元，合计188620万元。截至2024年12月末，天元区政府债券还本26800万元，政府债务余额为131583.09万元(全部为政府债券)，控制在省财政厅核定我区政府债务限额之内。</w:t>
      </w:r>
    </w:p>
    <w:p w14:paraId="0A6C2E5E">
      <w:pPr>
        <w:autoSpaceDE w:val="0"/>
        <w:autoSpaceDN w:val="0"/>
        <w:adjustRightInd w:val="0"/>
        <w:spacing w:line="600" w:lineRule="exact"/>
        <w:ind w:firstLine="880" w:firstLineChars="200"/>
        <w:rPr>
          <w:rFonts w:hint="default" w:ascii="Times New Roman" w:hAnsi="Times New Roman" w:eastAsia="方正小标宋简体" w:cs="Times New Roman"/>
          <w:color w:val="FF0000"/>
          <w:sz w:val="44"/>
          <w:szCs w:val="44"/>
          <w:lang w:val="en-US" w:eastAsia="zh-CN"/>
        </w:rPr>
      </w:pPr>
    </w:p>
    <w:p w14:paraId="2B35043B">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04B77754">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30A9E0C2">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08D36A1F">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4ABD4883">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7AEE359E">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6DBACE3C">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44AFF8DE">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0E674E2C">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4333D91F">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2E08DA3A">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2E48DEBA">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14:paraId="34074A91">
      <w:pPr>
        <w:pStyle w:val="9"/>
        <w:rPr>
          <w:rFonts w:hint="default" w:ascii="Times New Roman" w:hAnsi="Times New Roman" w:eastAsia="方正小标宋简体" w:cs="Times New Roman"/>
          <w:sz w:val="44"/>
          <w:szCs w:val="44"/>
          <w:lang w:val="en-US" w:eastAsia="zh-CN"/>
        </w:rPr>
      </w:pPr>
    </w:p>
    <w:p w14:paraId="036BFA4B">
      <w:pPr>
        <w:rPr>
          <w:rFonts w:hint="default"/>
          <w:lang w:val="en-US" w:eastAsia="zh-CN"/>
        </w:rPr>
      </w:pPr>
    </w:p>
    <w:p w14:paraId="7AA12C1B">
      <w:pPr>
        <w:pStyle w:val="9"/>
        <w:rPr>
          <w:rFonts w:hint="default"/>
          <w:lang w:val="en-US" w:eastAsia="zh-CN"/>
        </w:rPr>
      </w:pPr>
    </w:p>
    <w:p w14:paraId="6EFF34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2024年预算绩效管理工作情况</w:t>
      </w:r>
    </w:p>
    <w:p w14:paraId="3734E2AF">
      <w:pPr>
        <w:pStyle w:val="2"/>
      </w:pPr>
    </w:p>
    <w:p w14:paraId="65A518B6">
      <w:pPr>
        <w:keepNext w:val="0"/>
        <w:keepLines w:val="0"/>
        <w:pageBreakBefore w:val="0"/>
        <w:widowControl w:val="0"/>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eastAsia="zh-CN"/>
        </w:rPr>
        <w:t>近年来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在区委、区政府的正确领导下，在区人大的监督指导下，财政部门在推进构建“全方位、全过程、全覆盖”预算绩效管理体系方面进行了一系列有益探索和生动实践，预算绩效管理得以稳步推进。</w:t>
      </w:r>
    </w:p>
    <w:p w14:paraId="48EFEC1D">
      <w:pPr>
        <w:keepNext w:val="0"/>
        <w:keepLines w:val="0"/>
        <w:pageBreakBefore w:val="0"/>
        <w:widowControl w:val="0"/>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一、预算绩效管理</w:t>
      </w:r>
      <w:r>
        <w:rPr>
          <w:rFonts w:hint="eastAsia" w:ascii="黑体" w:hAnsi="黑体" w:eastAsia="黑体" w:cs="黑体"/>
          <w:b w:val="0"/>
          <w:bCs w:val="0"/>
          <w:sz w:val="32"/>
          <w:szCs w:val="32"/>
          <w:lang w:eastAsia="zh-CN"/>
        </w:rPr>
        <w:t>取得的成效</w:t>
      </w:r>
    </w:p>
    <w:p w14:paraId="57A84660">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楷体" w:hAnsi="楷体" w:eastAsia="楷体" w:cs="楷体"/>
          <w:b w:val="0"/>
          <w:bCs w:val="0"/>
          <w:sz w:val="32"/>
          <w:szCs w:val="32"/>
          <w:highlight w:val="none"/>
          <w:lang w:val="en-US" w:eastAsia="zh-CN"/>
        </w:rPr>
        <w:t>（一）预算</w:t>
      </w:r>
      <w:r>
        <w:rPr>
          <w:rFonts w:hint="eastAsia" w:ascii="楷体" w:hAnsi="楷体" w:eastAsia="楷体" w:cs="楷体"/>
          <w:b w:val="0"/>
          <w:bCs w:val="0"/>
          <w:sz w:val="32"/>
          <w:szCs w:val="32"/>
          <w:highlight w:val="none"/>
          <w:lang w:eastAsia="zh-CN"/>
        </w:rPr>
        <w:t>绩效管理制度逐步完善。</w:t>
      </w:r>
      <w:r>
        <w:rPr>
          <w:rFonts w:hint="eastAsia" w:ascii="仿宋_GB2312" w:hAnsi="仿宋_GB2312" w:eastAsia="仿宋_GB2312" w:cs="仿宋_GB2312"/>
          <w:b w:val="0"/>
          <w:bCs w:val="0"/>
          <w:sz w:val="32"/>
          <w:szCs w:val="32"/>
          <w:highlight w:val="none"/>
          <w:lang w:eastAsia="zh-CN"/>
        </w:rPr>
        <w:t>不断建立完善预算绩效管理制度，理清预算绩效管理工作框架流程，先后出台《</w:t>
      </w:r>
      <w:r>
        <w:rPr>
          <w:rFonts w:hint="eastAsia" w:ascii="仿宋_GB2312" w:hAnsi="仿宋_GB2312" w:eastAsia="仿宋_GB2312" w:cs="仿宋_GB2312"/>
          <w:b w:val="0"/>
          <w:bCs w:val="0"/>
          <w:sz w:val="32"/>
          <w:szCs w:val="32"/>
        </w:rPr>
        <w:t>关于推进预算绩效管理的实施意见</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rPr>
        <w:t>株洲市天元区行政事业单位财务管理制度</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2023年，</w:t>
      </w:r>
      <w:r>
        <w:rPr>
          <w:rFonts w:hint="eastAsia" w:ascii="仿宋_GB2312" w:hAnsi="仿宋_GB2312" w:eastAsia="仿宋_GB2312" w:cs="仿宋_GB2312"/>
          <w:b w:val="0"/>
          <w:bCs w:val="0"/>
          <w:sz w:val="32"/>
          <w:szCs w:val="32"/>
          <w:highlight w:val="none"/>
          <w:lang w:eastAsia="zh-CN"/>
        </w:rPr>
        <w:t>为深入贯彻党的二十大精神，认真落实党中央、国务院和省委、省政府的决策部署，强化财政“大绩效”管理理念，全面提升现代财政治理效能，先后制定了《株洲市天元区“绩效管理提升年”行动实施方案》《株洲市天元区“绩效管理巩固年”行动实施方案》，推进我区财政管理全链条水平提升、全周期服务优化、全领域机制完善。</w:t>
      </w:r>
      <w:r>
        <w:rPr>
          <w:rFonts w:hint="eastAsia" w:ascii="仿宋_GB2312" w:hAnsi="仿宋_GB2312" w:eastAsia="仿宋_GB2312" w:cs="仿宋_GB2312"/>
          <w:b w:val="0"/>
          <w:bCs w:val="0"/>
          <w:sz w:val="32"/>
          <w:szCs w:val="32"/>
          <w:highlight w:val="none"/>
          <w:lang w:val="en-US" w:eastAsia="zh-CN"/>
        </w:rPr>
        <w:t xml:space="preserve">  </w:t>
      </w:r>
    </w:p>
    <w:p w14:paraId="052C83BE">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bCs/>
          <w:sz w:val="32"/>
          <w:szCs w:val="32"/>
          <w:highlight w:val="none"/>
          <w:lang w:val="en-US" w:eastAsia="zh-CN"/>
        </w:rPr>
      </w:pPr>
      <w:r>
        <w:rPr>
          <w:rFonts w:hint="eastAsia" w:ascii="楷体" w:hAnsi="楷体" w:eastAsia="楷体" w:cs="楷体"/>
          <w:b w:val="0"/>
          <w:bCs w:val="0"/>
          <w:sz w:val="32"/>
          <w:szCs w:val="32"/>
          <w:highlight w:val="none"/>
          <w:lang w:val="en-US" w:eastAsia="zh-CN"/>
        </w:rPr>
        <w:t>（二）预算绩效管理体系逐步规范。</w:t>
      </w:r>
      <w:r>
        <w:rPr>
          <w:rFonts w:hint="eastAsia" w:ascii="仿宋_GB2312" w:hAnsi="仿宋_GB2312" w:eastAsia="仿宋_GB2312" w:cs="仿宋_GB2312"/>
          <w:b w:val="0"/>
          <w:bCs w:val="0"/>
          <w:sz w:val="32"/>
          <w:szCs w:val="32"/>
          <w:highlight w:val="none"/>
          <w:lang w:eastAsia="zh-CN"/>
        </w:rPr>
        <w:t>全面铺开绩效目标管理，</w:t>
      </w:r>
      <w:r>
        <w:rPr>
          <w:rFonts w:hint="eastAsia" w:ascii="仿宋_GB2312" w:hAnsi="仿宋_GB2312" w:eastAsia="仿宋_GB2312" w:cs="仿宋_GB2312"/>
          <w:b w:val="0"/>
          <w:bCs w:val="0"/>
          <w:sz w:val="32"/>
          <w:szCs w:val="32"/>
          <w:highlight w:val="none"/>
          <w:lang w:val="en-US" w:eastAsia="zh-CN"/>
        </w:rPr>
        <w:t>2024年121个部门整体绩效目标和312个专项资金绩效目标</w:t>
      </w:r>
      <w:r>
        <w:rPr>
          <w:rFonts w:hint="eastAsia" w:ascii="仿宋_GB2312" w:hAnsi="仿宋_GB2312" w:eastAsia="仿宋_GB2312" w:cs="仿宋_GB2312"/>
          <w:b w:val="0"/>
          <w:bCs w:val="0"/>
          <w:sz w:val="32"/>
          <w:szCs w:val="32"/>
          <w:highlight w:val="none"/>
        </w:rPr>
        <w:t>与部门预算</w:t>
      </w:r>
      <w:r>
        <w:rPr>
          <w:rFonts w:hint="eastAsia" w:ascii="仿宋_GB2312" w:hAnsi="仿宋_GB2312" w:eastAsia="仿宋_GB2312" w:cs="仿宋_GB2312"/>
          <w:b w:val="0"/>
          <w:bCs w:val="0"/>
          <w:sz w:val="32"/>
          <w:szCs w:val="32"/>
          <w:highlight w:val="none"/>
          <w:lang w:eastAsia="zh-CN"/>
        </w:rPr>
        <w:t>同步申报、</w:t>
      </w:r>
      <w:r>
        <w:rPr>
          <w:rFonts w:hint="eastAsia" w:ascii="仿宋_GB2312" w:hAnsi="仿宋_GB2312" w:eastAsia="仿宋_GB2312" w:cs="仿宋_GB2312"/>
          <w:b w:val="0"/>
          <w:bCs w:val="0"/>
          <w:sz w:val="32"/>
          <w:szCs w:val="32"/>
          <w:highlight w:val="none"/>
        </w:rPr>
        <w:t>同步批复、同步公开，基本实现了绩效目标管理“全覆盖”和“三同步”</w:t>
      </w:r>
      <w:r>
        <w:rPr>
          <w:rFonts w:hint="eastAsia" w:ascii="仿宋_GB2312" w:hAnsi="仿宋_GB2312" w:eastAsia="仿宋_GB2312" w:cs="仿宋_GB2312"/>
          <w:b w:val="0"/>
          <w:bCs w:val="0"/>
          <w:sz w:val="32"/>
          <w:szCs w:val="32"/>
          <w:highlight w:val="none"/>
          <w:lang w:eastAsia="zh-CN"/>
        </w:rPr>
        <w:t>。切实推进绩效运行监控，对预算执行进度和绩效目标完成情况进行监控，发现问题及时纠偏</w:t>
      </w:r>
      <w:r>
        <w:rPr>
          <w:rFonts w:hint="eastAsia" w:ascii="仿宋_GB2312" w:hAnsi="仿宋_GB2312" w:eastAsia="仿宋_GB2312" w:cs="仿宋_GB2312"/>
          <w:b w:val="0"/>
          <w:bCs w:val="0"/>
          <w:sz w:val="32"/>
          <w:szCs w:val="32"/>
          <w:highlight w:val="none"/>
          <w:lang w:val="en-US" w:eastAsia="zh-CN"/>
        </w:rPr>
        <w:t>。着力加强绩效评价和结果运用，今年，我们组织全区121家预算单位对2023年整体支出和项目支出开展绩效自评，</w:t>
      </w:r>
      <w:r>
        <w:rPr>
          <w:rFonts w:hint="eastAsia" w:ascii="仿宋_GB2312" w:hAnsi="仿宋_GB2312" w:eastAsia="仿宋_GB2312" w:cs="仿宋_GB2312"/>
          <w:b w:val="0"/>
          <w:bCs w:val="0"/>
          <w:sz w:val="32"/>
          <w:szCs w:val="32"/>
          <w:highlight w:val="none"/>
          <w:lang w:eastAsia="zh-CN"/>
        </w:rPr>
        <w:t>通过“一对一”辅导，推进绩效评价“两个全覆盖”，即覆盖全区所有预算单位和所有财政资金。加大财政重点</w:t>
      </w:r>
      <w:r>
        <w:rPr>
          <w:rFonts w:hint="eastAsia" w:ascii="仿宋_GB2312" w:hAnsi="仿宋_GB2312" w:eastAsia="仿宋_GB2312" w:cs="仿宋_GB2312"/>
          <w:b w:val="0"/>
          <w:bCs w:val="0"/>
          <w:sz w:val="32"/>
          <w:szCs w:val="32"/>
          <w:highlight w:val="none"/>
        </w:rPr>
        <w:t>绩效评价的推进力度</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近3年，</w:t>
      </w:r>
      <w:r>
        <w:rPr>
          <w:rFonts w:hint="eastAsia" w:ascii="仿宋_GB2312" w:hAnsi="仿宋_GB2312" w:eastAsia="仿宋_GB2312" w:cs="仿宋_GB2312"/>
          <w:b w:val="0"/>
          <w:bCs w:val="0"/>
          <w:sz w:val="32"/>
          <w:szCs w:val="32"/>
          <w:highlight w:val="none"/>
          <w:lang w:eastAsia="zh-CN"/>
        </w:rPr>
        <w:t>区本级共</w:t>
      </w:r>
      <w:r>
        <w:rPr>
          <w:rFonts w:hint="eastAsia" w:ascii="仿宋_GB2312" w:hAnsi="仿宋_GB2312" w:eastAsia="仿宋_GB2312" w:cs="仿宋_GB2312"/>
          <w:b w:val="0"/>
          <w:bCs w:val="0"/>
          <w:sz w:val="32"/>
          <w:szCs w:val="32"/>
          <w:highlight w:val="none"/>
        </w:rPr>
        <w:t>遴选</w:t>
      </w:r>
      <w:r>
        <w:rPr>
          <w:rFonts w:hint="eastAsia" w:ascii="仿宋_GB2312" w:hAnsi="仿宋_GB2312" w:eastAsia="仿宋_GB2312" w:cs="仿宋_GB2312"/>
          <w:b w:val="0"/>
          <w:bCs w:val="0"/>
          <w:sz w:val="32"/>
          <w:szCs w:val="32"/>
          <w:highlight w:val="none"/>
          <w:lang w:val="en-US" w:eastAsia="zh-CN"/>
        </w:rPr>
        <w:t>26</w:t>
      </w:r>
      <w:r>
        <w:rPr>
          <w:rFonts w:hint="eastAsia" w:ascii="仿宋_GB2312" w:hAnsi="仿宋_GB2312" w:eastAsia="仿宋_GB2312" w:cs="仿宋_GB2312"/>
          <w:b w:val="0"/>
          <w:bCs w:val="0"/>
          <w:sz w:val="32"/>
          <w:szCs w:val="32"/>
          <w:highlight w:val="none"/>
        </w:rPr>
        <w:t>个项目、</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亿元资金开展财政</w:t>
      </w:r>
      <w:r>
        <w:rPr>
          <w:rFonts w:hint="eastAsia" w:ascii="仿宋_GB2312" w:hAnsi="仿宋_GB2312" w:eastAsia="仿宋_GB2312" w:cs="仿宋_GB2312"/>
          <w:b w:val="0"/>
          <w:bCs w:val="0"/>
          <w:sz w:val="32"/>
          <w:szCs w:val="32"/>
          <w:highlight w:val="none"/>
          <w:lang w:eastAsia="zh-CN"/>
        </w:rPr>
        <w:t>重点</w:t>
      </w:r>
      <w:r>
        <w:rPr>
          <w:rFonts w:hint="eastAsia" w:ascii="仿宋_GB2312" w:hAnsi="仿宋_GB2312" w:eastAsia="仿宋_GB2312" w:cs="仿宋_GB2312"/>
          <w:b w:val="0"/>
          <w:bCs w:val="0"/>
          <w:sz w:val="32"/>
          <w:szCs w:val="32"/>
          <w:highlight w:val="none"/>
        </w:rPr>
        <w:t>绩效评价，今年评价项目</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个，评价金额</w:t>
      </w:r>
      <w:r>
        <w:rPr>
          <w:rFonts w:hint="eastAsia" w:ascii="仿宋_GB2312" w:hAnsi="仿宋_GB2312" w:eastAsia="仿宋_GB2312" w:cs="仿宋_GB2312"/>
          <w:b w:val="0"/>
          <w:bCs w:val="0"/>
          <w:sz w:val="32"/>
          <w:szCs w:val="32"/>
          <w:highlight w:val="none"/>
          <w:lang w:eastAsia="zh-CN"/>
        </w:rPr>
        <w:t>达</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亿元。建立绩效评价结果与预算安排和预算调整挂钩机制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年对开展财政重点绩效评价的</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个项目财政绩效评价结果预算安排参考调整额达</w:t>
      </w:r>
      <w:r>
        <w:rPr>
          <w:rFonts w:hint="eastAsia" w:ascii="仿宋_GB2312" w:hAnsi="仿宋_GB2312" w:eastAsia="仿宋_GB2312" w:cs="仿宋_GB2312"/>
          <w:b w:val="0"/>
          <w:bCs w:val="0"/>
          <w:sz w:val="32"/>
          <w:szCs w:val="32"/>
          <w:highlight w:val="none"/>
          <w:lang w:val="en-US" w:eastAsia="zh-CN"/>
        </w:rPr>
        <w:t>2400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w:t>
      </w:r>
    </w:p>
    <w:p w14:paraId="5F15802D">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bCs/>
          <w:sz w:val="32"/>
          <w:szCs w:val="32"/>
          <w:highlight w:val="none"/>
          <w:lang w:val="en-US" w:eastAsia="zh-CN"/>
        </w:rPr>
      </w:pPr>
      <w:r>
        <w:rPr>
          <w:rFonts w:hint="eastAsia" w:ascii="楷体" w:hAnsi="楷体" w:eastAsia="楷体" w:cs="楷体"/>
          <w:b w:val="0"/>
          <w:bCs w:val="0"/>
          <w:sz w:val="32"/>
          <w:szCs w:val="32"/>
          <w:highlight w:val="none"/>
          <w:lang w:val="en-US" w:eastAsia="zh-CN"/>
        </w:rPr>
        <w:t>（三）预算绩效管理方法不断创新。</w:t>
      </w:r>
      <w:r>
        <w:rPr>
          <w:rFonts w:hint="eastAsia" w:ascii="仿宋_GB2312" w:hAnsi="仿宋_GB2312" w:eastAsia="仿宋_GB2312" w:cs="仿宋_GB2312"/>
          <w:b w:val="0"/>
          <w:bCs w:val="0"/>
          <w:sz w:val="32"/>
          <w:szCs w:val="32"/>
          <w:highlight w:val="none"/>
          <w:lang w:val="en-US" w:eastAsia="zh-CN"/>
        </w:rPr>
        <w:t>完善绩效评价方式方法，推进预算绩效管理信息建设，今年首次运用预算绩效管理系统管理绩效运行监控和绩效自评工作，不仅实现绩效目标和2024年完成金额自动取数，还实现绩效监控与绩效自评的全覆盖，有效的为各预算单位绩效管理工作减负，扎实推进“绩效管理巩固年”行动。落实绩效监督联动机制，积极配合由区人大主导的“四评”工作，财政与审计等部门加强联动，优化了绩效监督格局，形成了绩效监督合力，有效提升了预算绩效管理的权威性和严肃性。</w:t>
      </w:r>
    </w:p>
    <w:p w14:paraId="6664D24C">
      <w:pPr>
        <w:keepNext w:val="0"/>
        <w:keepLines w:val="0"/>
        <w:pageBreakBefore w:val="0"/>
        <w:widowControl w:val="0"/>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二、绩效“四评”发现的主要问题</w:t>
      </w:r>
    </w:p>
    <w:p w14:paraId="2468B88B">
      <w:pPr>
        <w:keepNext w:val="0"/>
        <w:keepLines w:val="0"/>
        <w:pageBreakBefore w:val="0"/>
        <w:widowControl w:val="0"/>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今年，开展“四评”的项目有四个，即区教育局</w:t>
      </w:r>
      <w:r>
        <w:rPr>
          <w:rFonts w:hint="eastAsia" w:ascii="仿宋_GB2312" w:hAnsi="仿宋_GB2312" w:eastAsia="仿宋_GB2312" w:cs="仿宋_GB2312"/>
          <w:b w:val="0"/>
          <w:bCs w:val="0"/>
          <w:sz w:val="32"/>
          <w:szCs w:val="32"/>
        </w:rPr>
        <w:t>2023年农村学校学生免费午餐和教师工作午餐专项经费、</w:t>
      </w:r>
      <w:r>
        <w:rPr>
          <w:rFonts w:hint="eastAsia" w:ascii="仿宋_GB2312" w:hAnsi="仿宋_GB2312" w:eastAsia="仿宋_GB2312" w:cs="仿宋_GB2312"/>
          <w:b w:val="0"/>
          <w:bCs w:val="0"/>
          <w:sz w:val="32"/>
          <w:szCs w:val="32"/>
          <w:lang w:eastAsia="zh-CN"/>
        </w:rPr>
        <w:t>区农业农村局</w:t>
      </w:r>
      <w:r>
        <w:rPr>
          <w:rFonts w:hint="eastAsia" w:ascii="仿宋_GB2312" w:hAnsi="仿宋_GB2312" w:eastAsia="仿宋_GB2312" w:cs="仿宋_GB2312"/>
          <w:b w:val="0"/>
          <w:bCs w:val="0"/>
          <w:sz w:val="32"/>
          <w:szCs w:val="32"/>
        </w:rPr>
        <w:t>2021-2022年农村“厕所革命”专项资金、</w:t>
      </w:r>
      <w:r>
        <w:rPr>
          <w:rFonts w:hint="eastAsia" w:ascii="仿宋_GB2312" w:hAnsi="仿宋_GB2312" w:eastAsia="仿宋_GB2312" w:cs="仿宋_GB2312"/>
          <w:b w:val="0"/>
          <w:bCs w:val="0"/>
          <w:sz w:val="32"/>
          <w:szCs w:val="32"/>
          <w:lang w:eastAsia="zh-CN"/>
        </w:rPr>
        <w:t>区交通运输局2023年农村公路养护专项资金、区产业发展局2023年动力谷创新发展产业扶持资金</w:t>
      </w:r>
      <w:r>
        <w:rPr>
          <w:rFonts w:hint="eastAsia" w:ascii="仿宋_GB2312" w:hAnsi="仿宋_GB2312" w:eastAsia="仿宋_GB2312" w:cs="仿宋_GB2312"/>
          <w:b w:val="0"/>
          <w:bCs w:val="0"/>
          <w:sz w:val="32"/>
          <w:szCs w:val="32"/>
          <w:lang w:val="en-US" w:eastAsia="zh-CN"/>
        </w:rPr>
        <w:t>。从</w:t>
      </w:r>
      <w:r>
        <w:rPr>
          <w:rFonts w:hint="eastAsia" w:ascii="仿宋_GB2312" w:hAnsi="仿宋_GB2312" w:eastAsia="仿宋_GB2312" w:cs="仿宋_GB2312"/>
          <w:b w:val="0"/>
          <w:bCs w:val="0"/>
          <w:sz w:val="32"/>
          <w:szCs w:val="32"/>
        </w:rPr>
        <w:t>财政绩效评价结果</w:t>
      </w:r>
      <w:r>
        <w:rPr>
          <w:rFonts w:hint="eastAsia" w:ascii="仿宋_GB2312" w:hAnsi="仿宋_GB2312" w:eastAsia="仿宋_GB2312" w:cs="仿宋_GB2312"/>
          <w:b w:val="0"/>
          <w:bCs w:val="0"/>
          <w:sz w:val="32"/>
          <w:szCs w:val="32"/>
          <w:lang w:eastAsia="zh-CN"/>
        </w:rPr>
        <w:t>来看，均为“</w:t>
      </w:r>
      <w:r>
        <w:rPr>
          <w:rFonts w:hint="eastAsia" w:ascii="仿宋_GB2312" w:hAnsi="仿宋_GB2312" w:eastAsia="仿宋_GB2312" w:cs="仿宋_GB2312"/>
          <w:b w:val="0"/>
          <w:bCs w:val="0"/>
          <w:sz w:val="32"/>
          <w:szCs w:val="32"/>
        </w:rPr>
        <w:t>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（详见附件1），存在的主要问题如下：</w:t>
      </w:r>
    </w:p>
    <w:p w14:paraId="20101AB6">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z w:val="32"/>
          <w:szCs w:val="32"/>
          <w:highlight w:val="none"/>
          <w:lang w:val="en-US" w:eastAsia="zh-CN"/>
        </w:rPr>
        <w:t>（一）项目管理水平有待提高。</w:t>
      </w:r>
      <w:r>
        <w:rPr>
          <w:rFonts w:hint="eastAsia" w:ascii="仿宋_GB2312" w:hAnsi="仿宋_GB2312" w:eastAsia="仿宋_GB2312" w:cs="仿宋_GB2312"/>
          <w:b w:val="0"/>
          <w:bCs w:val="0"/>
          <w:sz w:val="32"/>
          <w:szCs w:val="32"/>
          <w:lang w:eastAsia="zh-CN"/>
        </w:rPr>
        <w:t>在实践中，主管部门对项目和专项资金的监管有待加强，比如区农业农村局2021-2022年农村“厕所革命”项目存在签订合同日期早于施工方公司成立日期；产业发展局2023年动力谷创新发展产业扶持资金存在对未达到规模以上企业发放补贴，部分高质量发展专项奖补审核资料缺失等。</w:t>
      </w:r>
    </w:p>
    <w:p w14:paraId="220BD81A">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z w:val="32"/>
          <w:szCs w:val="32"/>
          <w:highlight w:val="none"/>
          <w:lang w:val="en-US" w:eastAsia="zh-CN"/>
        </w:rPr>
        <w:t>（二）资金使用效益有待提升。</w:t>
      </w:r>
      <w:r>
        <w:rPr>
          <w:rFonts w:hint="eastAsia" w:ascii="仿宋_GB2312" w:hAnsi="仿宋_GB2312" w:eastAsia="仿宋_GB2312" w:cs="仿宋_GB2312"/>
          <w:b w:val="0"/>
          <w:bCs w:val="0"/>
          <w:sz w:val="32"/>
          <w:szCs w:val="32"/>
          <w:highlight w:val="none"/>
        </w:rPr>
        <w:t>从专项资金“四评”的实施成效来看，均与专项设立的预期效益或多或少存在差距。比如</w:t>
      </w:r>
      <w:r>
        <w:rPr>
          <w:rFonts w:hint="eastAsia" w:ascii="仿宋_GB2312" w:hAnsi="仿宋_GB2312" w:eastAsia="仿宋_GB2312" w:cs="仿宋_GB2312"/>
          <w:b w:val="0"/>
          <w:bCs w:val="0"/>
          <w:sz w:val="32"/>
          <w:szCs w:val="32"/>
          <w:highlight w:val="none"/>
          <w:lang w:eastAsia="zh-CN"/>
        </w:rPr>
        <w:t>“一事一议”重点项目实施方面，一是部分项目进区企业投资未达到约定条款，比如菲仕绿能株洲制造基地二期项目未按照约定完成竣工投产。二是部分项目效益未达预期，比如德智新材2023年1-12月完成纳税额389.78万元，平均6.5万元/亩，较进区合同约定年均15万元/亩的差距较大。</w:t>
      </w:r>
    </w:p>
    <w:p w14:paraId="48308792">
      <w:pPr>
        <w:keepNext w:val="0"/>
        <w:keepLines w:val="0"/>
        <w:pageBreakBefore w:val="0"/>
        <w:widowControl w:val="0"/>
        <w:numPr>
          <w:ilvl w:val="0"/>
          <w:numId w:val="0"/>
        </w:numPr>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仿宋_GB2312" w:hAnsi="仿宋_GB2312" w:eastAsia="仿宋_GB2312" w:cs="仿宋_GB2312"/>
          <w:b w:val="0"/>
          <w:bCs w:val="0"/>
          <w:spacing w:val="10"/>
          <w:sz w:val="32"/>
          <w:szCs w:val="32"/>
          <w:highlight w:val="none"/>
          <w:lang w:val="en-US" w:eastAsia="zh-CN"/>
        </w:rPr>
      </w:pPr>
      <w:r>
        <w:rPr>
          <w:rFonts w:hint="eastAsia" w:ascii="楷体" w:hAnsi="楷体" w:eastAsia="楷体" w:cs="楷体"/>
          <w:b w:val="0"/>
          <w:bCs w:val="0"/>
          <w:sz w:val="32"/>
          <w:szCs w:val="32"/>
          <w:highlight w:val="none"/>
          <w:lang w:val="en-US" w:eastAsia="zh-CN"/>
        </w:rPr>
        <w:t>（三）会计核算管理有待加强。</w:t>
      </w:r>
      <w:r>
        <w:rPr>
          <w:rFonts w:hint="eastAsia" w:ascii="仿宋_GB2312" w:hAnsi="仿宋_GB2312" w:eastAsia="仿宋_GB2312" w:cs="仿宋_GB2312"/>
          <w:b w:val="0"/>
          <w:bCs w:val="0"/>
          <w:sz w:val="32"/>
          <w:szCs w:val="32"/>
          <w:highlight w:val="none"/>
          <w:lang w:val="en-US" w:eastAsia="zh-CN"/>
        </w:rPr>
        <w:t>在绩效管理过程中，发现会计核算方面存在一些问题，如会计科目核算不准确、台账登记不规范、验收资料遗漏等，影响绩效评价的准确性和公正性。比如农村“厕所革命”项目存在会计核算资料不完整、不准确，验收台账信息存在遗漏或者错误等。</w:t>
      </w:r>
    </w:p>
    <w:p w14:paraId="70A67087">
      <w:pPr>
        <w:keepNext w:val="0"/>
        <w:keepLines w:val="0"/>
        <w:pageBreakBefore w:val="0"/>
        <w:widowControl w:val="0"/>
        <w:shd w:val="clear"/>
        <w:kinsoku/>
        <w:wordWrap/>
        <w:overflowPunct/>
        <w:topLinePunct w:val="0"/>
        <w:autoSpaceDE/>
        <w:autoSpaceDN/>
        <w:bidi w:val="0"/>
        <w:adjustRightInd/>
        <w:snapToGrid/>
        <w:spacing w:after="0" w:line="580" w:lineRule="exact"/>
        <w:ind w:firstLine="640" w:firstLineChars="200"/>
        <w:contextualSpacing/>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三、下阶段加强预算绩效管理的工作举措</w:t>
      </w:r>
    </w:p>
    <w:p w14:paraId="410CC3C7">
      <w:pPr>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580" w:lineRule="exact"/>
        <w:ind w:firstLine="640" w:firstLineChars="200"/>
        <w:contextualSpacing/>
        <w:jc w:val="both"/>
        <w:textAlignment w:val="auto"/>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下阶段，区财政将以推进“四评”工作为契机，进一步提升预算绩效管理水平，早日实现“全方位、全过程、全覆盖”的全面预算绩效管理。</w:t>
      </w:r>
    </w:p>
    <w:p w14:paraId="56B8F040">
      <w:pPr>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580" w:lineRule="exact"/>
        <w:ind w:firstLine="640" w:firstLineChars="200"/>
        <w:contextualSpacing/>
        <w:jc w:val="both"/>
        <w:textAlignment w:val="auto"/>
        <w:outlineLvl w:val="0"/>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（一）完善预算绩效管理制度框架。</w:t>
      </w:r>
      <w:r>
        <w:rPr>
          <w:rFonts w:hint="eastAsia" w:ascii="仿宋_GB2312" w:hAnsi="仿宋_GB2312" w:eastAsia="仿宋_GB2312" w:cs="仿宋_GB2312"/>
          <w:b w:val="0"/>
          <w:bCs w:val="0"/>
          <w:sz w:val="32"/>
          <w:szCs w:val="32"/>
          <w:highlight w:val="none"/>
          <w:lang w:val="en-US" w:eastAsia="zh-CN"/>
        </w:rPr>
        <w:t>逐步健全我区预算绩效管理相关制度及具体实施细则，从方向和目标上加以规划和指导，增强可操作性。同时，根据中央、省级和市级指标体系建设要求，结合我区预算绩效管理工作实际，形成更为科学的评价指标体系和标准体系，指导区直部门合理设置绩效目标，夯实绩效管理基础，提高绩效管理科学化规范化标准化水平。</w:t>
      </w:r>
    </w:p>
    <w:p w14:paraId="335B5F1A">
      <w:pPr>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580" w:lineRule="exact"/>
        <w:ind w:firstLine="640" w:firstLineChars="200"/>
        <w:contextualSpacing/>
        <w:jc w:val="both"/>
        <w:textAlignment w:val="auto"/>
        <w:outlineLvl w:val="0"/>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（二）拓展预算绩效管理实施深度。</w:t>
      </w:r>
      <w:r>
        <w:rPr>
          <w:rFonts w:hint="eastAsia" w:ascii="仿宋_GB2312" w:hAnsi="仿宋_GB2312" w:eastAsia="仿宋_GB2312" w:cs="仿宋_GB2312"/>
          <w:b w:val="0"/>
          <w:bCs w:val="0"/>
          <w:sz w:val="32"/>
          <w:szCs w:val="32"/>
          <w:highlight w:val="none"/>
          <w:lang w:val="en-US" w:eastAsia="zh-CN"/>
        </w:rPr>
        <w:t>重视事前绩效评估、绩效目标管理，实现绩效管理关口前移，解决好预算编制“上游”问题。充分发挥预算绩效监督作用，探索建立绩效监督结果应用机制，促进预算绩效管理工作发挥实效。</w:t>
      </w:r>
    </w:p>
    <w:p w14:paraId="2430718B">
      <w:pPr>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580" w:lineRule="exact"/>
        <w:ind w:firstLine="640" w:firstLineChars="200"/>
        <w:contextualSpacing/>
        <w:jc w:val="both"/>
        <w:textAlignment w:val="auto"/>
        <w:outlineLvl w:val="0"/>
        <w:rPr>
          <w:rFonts w:hint="eastAsia" w:ascii="仿宋_GB2312" w:hAnsi="仿宋_GB2312" w:eastAsia="仿宋_GB2312" w:cs="仿宋_GB2312"/>
          <w:sz w:val="32"/>
          <w:szCs w:val="32"/>
        </w:rPr>
      </w:pPr>
      <w:r>
        <w:rPr>
          <w:rFonts w:hint="eastAsia" w:ascii="楷体" w:hAnsi="楷体" w:eastAsia="楷体" w:cs="楷体"/>
          <w:b w:val="0"/>
          <w:bCs w:val="0"/>
          <w:sz w:val="32"/>
          <w:szCs w:val="32"/>
          <w:highlight w:val="none"/>
          <w:lang w:val="en-US" w:eastAsia="zh-CN"/>
        </w:rPr>
        <w:t>（三）加快预算绩效管理信息建设。</w:t>
      </w:r>
      <w:r>
        <w:rPr>
          <w:rFonts w:hint="eastAsia" w:ascii="仿宋_GB2312" w:hAnsi="仿宋_GB2312" w:eastAsia="仿宋_GB2312" w:cs="仿宋_GB2312"/>
          <w:b w:val="0"/>
          <w:bCs w:val="0"/>
          <w:sz w:val="32"/>
          <w:szCs w:val="32"/>
          <w:highlight w:val="none"/>
          <w:lang w:val="en-US" w:eastAsia="zh-CN"/>
        </w:rPr>
        <w:t>利用预算管理一体化系统绩效管理板块，逐步将“绩效”理念融入部门预算管理中，逐步规范绩效管理流程，提高预算绩效管理工作的完整性、准确性、效率性。</w:t>
      </w:r>
    </w:p>
    <w:bookmarkEnd w:id="0"/>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汉仪典雅体简">
    <w:panose1 w:val="00020600040101010101"/>
    <w:charset w:val="86"/>
    <w:family w:val="auto"/>
    <w:pitch w:val="default"/>
    <w:sig w:usb0="A00002BF" w:usb1="18EF7CFA"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52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DC631">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5pt;height:144pt;width:144pt;mso-position-horizontal:center;mso-position-horizontal-relative:margin;mso-wrap-style:none;z-index:251659264;mso-width-relative:page;mso-height-relative:page;" filled="f" stroked="f" coordsize="21600,21600" o:gfxdata="UEsDBAoAAAAAAIdO4kAAAAAAAAAAAAAAAAAEAAAAZHJzL1BLAwQUAAAACACHTuJAN8pm6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NQh2V1nGi+Nt2DyD&#10;LAv5n7/8B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8pm6N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22DC631">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CA128"/>
    <w:multiLevelType w:val="singleLevel"/>
    <w:tmpl w:val="97BCA1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3F16"/>
    <w:rsid w:val="09850FC5"/>
    <w:rsid w:val="0AAB67B5"/>
    <w:rsid w:val="0C02600F"/>
    <w:rsid w:val="0CD778CB"/>
    <w:rsid w:val="0D876A31"/>
    <w:rsid w:val="0F735929"/>
    <w:rsid w:val="0FD87521"/>
    <w:rsid w:val="12BC59B5"/>
    <w:rsid w:val="161B3289"/>
    <w:rsid w:val="163513C8"/>
    <w:rsid w:val="1E2A1D86"/>
    <w:rsid w:val="1FCA075A"/>
    <w:rsid w:val="20E0426B"/>
    <w:rsid w:val="233D25DB"/>
    <w:rsid w:val="237F4EA7"/>
    <w:rsid w:val="258F6C6F"/>
    <w:rsid w:val="264B5AEA"/>
    <w:rsid w:val="278550AC"/>
    <w:rsid w:val="27D918EB"/>
    <w:rsid w:val="29253660"/>
    <w:rsid w:val="29700849"/>
    <w:rsid w:val="29CA3E91"/>
    <w:rsid w:val="2C324E94"/>
    <w:rsid w:val="2F095A0B"/>
    <w:rsid w:val="2F1F0B51"/>
    <w:rsid w:val="2FFB6B92"/>
    <w:rsid w:val="3066658C"/>
    <w:rsid w:val="30A47560"/>
    <w:rsid w:val="30F24435"/>
    <w:rsid w:val="336F7159"/>
    <w:rsid w:val="36811D93"/>
    <w:rsid w:val="36D96467"/>
    <w:rsid w:val="37C575ED"/>
    <w:rsid w:val="38E4642E"/>
    <w:rsid w:val="3AC07756"/>
    <w:rsid w:val="3BC62544"/>
    <w:rsid w:val="3C410359"/>
    <w:rsid w:val="3E56584F"/>
    <w:rsid w:val="435F43B3"/>
    <w:rsid w:val="442140B8"/>
    <w:rsid w:val="45C638B5"/>
    <w:rsid w:val="46441636"/>
    <w:rsid w:val="46E54714"/>
    <w:rsid w:val="4E392951"/>
    <w:rsid w:val="50583699"/>
    <w:rsid w:val="509C1BAA"/>
    <w:rsid w:val="5139564B"/>
    <w:rsid w:val="54CB3F16"/>
    <w:rsid w:val="579730CB"/>
    <w:rsid w:val="582E57DE"/>
    <w:rsid w:val="5CBB0D79"/>
    <w:rsid w:val="5DD94320"/>
    <w:rsid w:val="60741AB7"/>
    <w:rsid w:val="637663EA"/>
    <w:rsid w:val="638C7D6A"/>
    <w:rsid w:val="64AF0A92"/>
    <w:rsid w:val="66AF0BF2"/>
    <w:rsid w:val="68212C69"/>
    <w:rsid w:val="6AFF576D"/>
    <w:rsid w:val="6E871DC8"/>
    <w:rsid w:val="704173D8"/>
    <w:rsid w:val="706F2C9B"/>
    <w:rsid w:val="71AE53E3"/>
    <w:rsid w:val="72AE1613"/>
    <w:rsid w:val="73242C8F"/>
    <w:rsid w:val="73A429A0"/>
    <w:rsid w:val="76760624"/>
    <w:rsid w:val="783148E4"/>
    <w:rsid w:val="7862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hAnsi="仿宋_GB2312" w:cs="仿宋_GB231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正文文字"/>
    <w:basedOn w:val="1"/>
    <w:next w:val="1"/>
    <w:qFormat/>
    <w:uiPriority w:val="99"/>
    <w:pPr>
      <w:spacing w:after="12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3383</Words>
  <Characters>3637</Characters>
  <Lines>0</Lines>
  <Paragraphs>0</Paragraphs>
  <TotalTime>6</TotalTime>
  <ScaleCrop>false</ScaleCrop>
  <LinksUpToDate>false</LinksUpToDate>
  <CharactersWithSpaces>3640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2021-09-13T07:40:00Z</dcterms:created>
  <dc:creator>Administrator</dc:creator>
  <cp:lastModifiedBy>企业用户_245135758</cp:lastModifiedBy>
  <dcterms:modified xsi:type="dcterms:W3CDTF">2025-08-21T02:06:35Z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0E524CC37BFD4B2C9071555E32668500_13</vt:lpwstr>
  </property>
  <property fmtid="{D5CDD505-2E9C-101B-9397-08002B2CF9AE}" pid="4" name="KSOTemplateDocerSaveRecord">
    <vt:lpwstr>eyJoZGlkIjoiMzg1ZDdiMDI1MGZmZGZiYjlhMWUxYzhjNzZhMTZiOTgiLCJ1c2VySWQiOiIxNjgwMDE4ODQ5In0=</vt:lpwstr>
  </property>
</Properties>
</file>