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2AA8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0" w:name="_GoBack"/>
      <w:r>
        <w:rPr>
          <w:rFonts w:hint="eastAsia" w:ascii="方正小标宋简体" w:hAnsi="方正小标宋简体" w:eastAsia="方正小标宋简体" w:cs="方正小标宋简体"/>
          <w:color w:val="auto"/>
          <w:sz w:val="44"/>
          <w:szCs w:val="44"/>
          <w:highlight w:val="none"/>
          <w:lang w:val="en-US" w:eastAsia="zh-CN"/>
        </w:rPr>
        <w:t>《仙庾岭风景名胜区总体规划（2023-2035年）</w:t>
      </w:r>
      <w:r>
        <w:rPr>
          <w:rFonts w:hint="eastAsia" w:ascii="方正小标宋简体" w:hAnsi="方正小标宋简体" w:eastAsia="方正小标宋简体" w:cs="方正小标宋简体"/>
          <w:color w:val="auto"/>
          <w:sz w:val="44"/>
          <w:szCs w:val="44"/>
          <w:highlight w:val="none"/>
          <w:lang w:val="en-US" w:eastAsia="zh-CN"/>
        </w:rPr>
        <w:t>》起草说明</w:t>
      </w:r>
    </w:p>
    <w:bookmarkEnd w:id="0"/>
    <w:p w14:paraId="776674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color w:val="auto"/>
          <w:sz w:val="36"/>
          <w:szCs w:val="36"/>
          <w:highlight w:val="none"/>
          <w:lang w:val="en-US" w:eastAsia="zh-CN"/>
        </w:rPr>
      </w:pPr>
    </w:p>
    <w:p w14:paraId="449B26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一、起草背景</w:t>
      </w:r>
    </w:p>
    <w:p w14:paraId="5317530B">
      <w:pPr>
        <w:keepNext w:val="0"/>
        <w:keepLines w:val="0"/>
        <w:pageBreakBefore w:val="0"/>
        <w:kinsoku/>
        <w:wordWrap/>
        <w:overflowPunct/>
        <w:topLinePunct w:val="0"/>
        <w:bidi w:val="0"/>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行《仙庾岭风景名胜区总体规划（2012—2030）》于2013年获省人民政府批准实施，规划面积9.49平方公里（949公顷）。总规实施以来，在保护景区资源、指导建设发展、助力区域经济与乡村振兴等方面发挥了重要作用。但随着实施近十年，现行总规已难以适应国家“生态优先、绿色发展”“多规合一”等新理念新要求，与国土空间规划“三线划定”、景区生态保护及全域旅游发展的实际需求衔接不畅，资源保护与合理利用的矛盾逐渐凸显。为落实上位规划、衔接国土空间规划成果，践行“生态修复、功能修补”理念，推动景区可持续发展，特启动本次总规修编，即《仙庾岭风景名胜区总体规划（2023—2030年）》（以下简称“总规”）。</w:t>
      </w:r>
    </w:p>
    <w:p w14:paraId="7DFCC2A5">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sz w:val="32"/>
          <w:szCs w:val="32"/>
          <w:lang w:val="en-US" w:eastAsia="zh-CN"/>
        </w:rPr>
      </w:pPr>
      <w:r>
        <w:rPr>
          <w:rFonts w:hint="eastAsia" w:ascii="黑体" w:hAnsi="黑体" w:eastAsia="黑体" w:cs="黑体"/>
          <w:color w:val="auto"/>
          <w:sz w:val="32"/>
          <w:szCs w:val="32"/>
          <w:lang w:val="en-US" w:eastAsia="zh-CN"/>
        </w:rPr>
        <w:t>二、起草依据</w:t>
      </w:r>
    </w:p>
    <w:p w14:paraId="3644A80F">
      <w:pPr>
        <w:keepNext w:val="0"/>
        <w:keepLines w:val="0"/>
        <w:pageBreakBefore w:val="0"/>
        <w:kinsoku/>
        <w:wordWrap/>
        <w:overflowPunct/>
        <w:topLinePunct w:val="0"/>
        <w:bidi w:val="0"/>
        <w:spacing w:line="5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本次总规严格依据《风景名胜区总体规划标准》（GB/T 50298-2018）《风景名胜区条例》（2016年修订）《湖南省风景名胜区条例》和《中共湖南省委办公厅 湖南省人民政府办公厅关于建立以国家公园为主体的自然保护地体系的实施意见》（湘办发〔2020〕18 号）等文件精神，同时严格遵循保护优先原则、以人为本原则、综合协调原则、开发与保护相结合原则、可持续发展原则编制规划，以实现风景区的可持续发展。</w:t>
      </w:r>
    </w:p>
    <w:p w14:paraId="0FA82BFF">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主要内容</w:t>
      </w:r>
    </w:p>
    <w:p w14:paraId="2AB271F9">
      <w:pPr>
        <w:keepNext w:val="0"/>
        <w:keepLines w:val="0"/>
        <w:pageBreakBefore w:val="0"/>
        <w:kinsoku/>
        <w:wordWrap/>
        <w:overflowPunct/>
        <w:topLinePunct w:val="0"/>
        <w:bidi w:val="0"/>
        <w:spacing w:line="54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eastAsia="zh-CN"/>
        </w:rPr>
        <w:t>规划范围：</w:t>
      </w:r>
      <w:r>
        <w:rPr>
          <w:rFonts w:hint="eastAsia" w:ascii="仿宋_GB2312" w:hAnsi="仿宋_GB2312" w:eastAsia="仿宋_GB2312" w:cs="仿宋_GB2312"/>
          <w:sz w:val="32"/>
          <w:szCs w:val="32"/>
          <w:lang w:eastAsia="zh-CN"/>
        </w:rPr>
        <w:t>本次总规范围为整合优化后调整的945.74公顷，含荷塘月色、渔樵耕读、庾岭仙踪、大岭山4个景区及包公庙独立景点，涉及仙庾镇、明照街道、宋家桥街道共7个村庄。</w:t>
      </w:r>
    </w:p>
    <w:p w14:paraId="76CFF8EF">
      <w:pPr>
        <w:keepNext w:val="0"/>
        <w:keepLines w:val="0"/>
        <w:pageBreakBefore w:val="0"/>
        <w:kinsoku/>
        <w:wordWrap/>
        <w:overflowPunct/>
        <w:topLinePunct w:val="0"/>
        <w:bidi w:val="0"/>
        <w:spacing w:line="54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ab/>
      </w:r>
      <w:r>
        <w:rPr>
          <w:rFonts w:hint="eastAsia" w:ascii="仿宋_GB2312" w:hAnsi="仿宋_GB2312" w:eastAsia="仿宋_GB2312" w:cs="仿宋_GB2312"/>
          <w:b/>
          <w:bCs/>
          <w:sz w:val="32"/>
          <w:szCs w:val="32"/>
          <w:lang w:eastAsia="zh-CN"/>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eastAsia="zh-CN"/>
        </w:rPr>
        <w:t>性质定位与期限：</w:t>
      </w:r>
      <w:r>
        <w:rPr>
          <w:rFonts w:hint="eastAsia" w:ascii="仿宋_GB2312" w:hAnsi="仿宋_GB2312" w:eastAsia="仿宋_GB2312" w:cs="仿宋_GB2312"/>
          <w:sz w:val="32"/>
          <w:szCs w:val="32"/>
          <w:lang w:eastAsia="zh-CN"/>
        </w:rPr>
        <w:t>定位为以丘陵山水田园为基底，融合孝善、道家、农耕、书院文化，以荷塘景观为特色，集农耕体验、休闲度假、文化探源、研学教育于一体的城市风景类省级风景名胜区。规划期限：近期2022-2025年，远期2026-2035年。</w:t>
      </w:r>
    </w:p>
    <w:p w14:paraId="546173D3">
      <w:pPr>
        <w:keepNext w:val="0"/>
        <w:keepLines w:val="0"/>
        <w:pageBreakBefore w:val="0"/>
        <w:kinsoku/>
        <w:wordWrap/>
        <w:overflowPunct/>
        <w:topLinePunct w:val="0"/>
        <w:bidi w:val="0"/>
        <w:spacing w:line="54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ab/>
      </w:r>
      <w:r>
        <w:rPr>
          <w:rFonts w:hint="eastAsia" w:ascii="仿宋_GB2312" w:hAnsi="仿宋_GB2312" w:eastAsia="仿宋_GB2312" w:cs="仿宋_GB2312"/>
          <w:b/>
          <w:bCs/>
          <w:sz w:val="32"/>
          <w:szCs w:val="32"/>
          <w:lang w:eastAsia="zh-CN"/>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eastAsia="zh-CN"/>
        </w:rPr>
        <w:t>分级保护：</w:t>
      </w:r>
      <w:r>
        <w:rPr>
          <w:rFonts w:hint="eastAsia" w:ascii="仿宋_GB2312" w:hAnsi="仿宋_GB2312" w:eastAsia="仿宋_GB2312" w:cs="仿宋_GB2312"/>
          <w:sz w:val="32"/>
          <w:szCs w:val="32"/>
          <w:lang w:eastAsia="zh-CN"/>
        </w:rPr>
        <w:t>分为三级保护区及外围保护地带。一级保护区（核心景区）186.03公顷（占总面积19.67%），含重要山水、人文景观，严禁建设；二级保护区160.03公顷（占16.92%），为缓冲地带，严控建设；三级保护区599.68公顷（占63.41%），为服务设施及居民聚集区，允许控制建设；外围保护地带480.65公顷，涵盖</w:t>
      </w:r>
      <w:r>
        <w:rPr>
          <w:rFonts w:hint="eastAsia" w:ascii="仿宋_GB2312" w:hAnsi="宋体" w:eastAsia="仿宋_GB2312"/>
          <w:color w:val="auto"/>
          <w:kern w:val="0"/>
          <w:sz w:val="32"/>
          <w:szCs w:val="32"/>
          <w:lang w:eastAsia="zh-CN"/>
        </w:rPr>
        <w:t>景点界线</w:t>
      </w:r>
      <w:r>
        <w:rPr>
          <w:rFonts w:hint="eastAsia" w:ascii="仿宋_GB2312" w:hAnsi="仿宋_GB2312" w:eastAsia="仿宋_GB2312" w:cs="仿宋_GB2312"/>
          <w:sz w:val="32"/>
          <w:szCs w:val="32"/>
          <w:lang w:eastAsia="zh-CN"/>
        </w:rPr>
        <w:t>外150-300米范围。</w:t>
      </w:r>
    </w:p>
    <w:p w14:paraId="6D079B60">
      <w:pPr>
        <w:keepNext w:val="0"/>
        <w:keepLines w:val="0"/>
        <w:pageBreakBefore w:val="0"/>
        <w:kinsoku/>
        <w:wordWrap/>
        <w:overflowPunct/>
        <w:topLinePunct w:val="0"/>
        <w:bidi w:val="0"/>
        <w:spacing w:line="54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ab/>
      </w:r>
      <w:r>
        <w:rPr>
          <w:rFonts w:hint="eastAsia" w:ascii="仿宋_GB2312" w:hAnsi="仿宋_GB2312" w:eastAsia="仿宋_GB2312" w:cs="仿宋_GB2312"/>
          <w:b/>
          <w:bCs/>
          <w:sz w:val="32"/>
          <w:szCs w:val="32"/>
          <w:lang w:eastAsia="zh-CN"/>
        </w:rPr>
        <w:t>4.风景游赏规划：</w:t>
      </w:r>
      <w:r>
        <w:rPr>
          <w:rFonts w:hint="eastAsia" w:ascii="仿宋_GB2312" w:hAnsi="仿宋_GB2312" w:eastAsia="仿宋_GB2312" w:cs="仿宋_GB2312"/>
          <w:sz w:val="32"/>
          <w:szCs w:val="32"/>
          <w:lang w:eastAsia="zh-CN"/>
        </w:rPr>
        <w:t>荷塘月色景区以“七彩荷塘”为主题，开展田园观光、农耕体验；庾岭仙踪景区以“古韵荷塘”为主题，主打文化体验、研学教育；渔樵耕读景区以“农禅荷塘”为主题，发展农事体验、养生度假；大岭山景区以“自在荷塘”为主题，提供登山、高端度假；包公庙独立景点以“福佑荷塘”为主题，开展文化体验。</w:t>
      </w:r>
    </w:p>
    <w:p w14:paraId="08319E97">
      <w:pPr>
        <w:keepNext w:val="0"/>
        <w:keepLines w:val="0"/>
        <w:pageBreakBefore w:val="0"/>
        <w:kinsoku/>
        <w:wordWrap/>
        <w:overflowPunct/>
        <w:topLinePunct w:val="0"/>
        <w:bidi w:val="0"/>
        <w:spacing w:line="54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eastAsia="zh-CN"/>
        </w:rPr>
        <w:tab/>
      </w:r>
      <w:r>
        <w:rPr>
          <w:rFonts w:hint="eastAsia" w:ascii="仿宋_GB2312" w:hAnsi="仿宋_GB2312" w:eastAsia="仿宋_GB2312" w:cs="仿宋_GB2312"/>
          <w:b/>
          <w:bCs/>
          <w:sz w:val="32"/>
          <w:szCs w:val="32"/>
          <w:lang w:eastAsia="zh-CN"/>
        </w:rPr>
        <w:t>5.设施规划：</w:t>
      </w:r>
      <w:r>
        <w:rPr>
          <w:rFonts w:hint="eastAsia" w:ascii="仿宋_GB2312" w:hAnsi="仿宋_GB2312" w:eastAsia="仿宋_GB2312" w:cs="仿宋_GB2312"/>
          <w:sz w:val="32"/>
          <w:szCs w:val="32"/>
          <w:lang w:eastAsia="zh-CN"/>
        </w:rPr>
        <w:t>旅游服务设施设旅游村2处、旅游点5处、服务部15处，依托周边区域建设旅游城、旅游镇，建筑限高15米（4层内）且与周边风貌协调。道路交通方面，推进G4高速相关段、S207旅游示范公路建设；设4处出入口（仙庾岭村为主要出入口）；构建“三环五线”路网，配套10处生态停车场（共</w:t>
      </w:r>
      <w:r>
        <w:rPr>
          <w:rFonts w:hint="eastAsia" w:ascii="仿宋_GB2312" w:hAnsi="仿宋_GB2312" w:eastAsia="仿宋_GB2312" w:cs="仿宋_GB2312"/>
          <w:sz w:val="32"/>
          <w:szCs w:val="32"/>
          <w:lang w:val="en-US" w:eastAsia="zh-CN"/>
        </w:rPr>
        <w:t>535个车位）</w:t>
      </w:r>
      <w:r>
        <w:rPr>
          <w:rFonts w:hint="eastAsia" w:ascii="仿宋_GB2312" w:hAnsi="仿宋_GB2312" w:eastAsia="仿宋_GB2312" w:cs="仿宋_GB2312"/>
          <w:sz w:val="32"/>
          <w:szCs w:val="32"/>
          <w:lang w:eastAsia="zh-CN"/>
        </w:rPr>
        <w:t>。</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4C075">
    <w:pPr>
      <w:pStyle w:val="3"/>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E9DB5B">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5E9DB5B">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5120AA"/>
    <w:multiLevelType w:val="singleLevel"/>
    <w:tmpl w:val="B55120A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D7CE8B"/>
    <w:rsid w:val="1BC25A1A"/>
    <w:rsid w:val="21C61BB0"/>
    <w:rsid w:val="29455AB0"/>
    <w:rsid w:val="30A931C9"/>
    <w:rsid w:val="3F6251B6"/>
    <w:rsid w:val="5A124387"/>
    <w:rsid w:val="6A21198E"/>
    <w:rsid w:val="6CAB169B"/>
    <w:rsid w:val="6FF4ED6A"/>
    <w:rsid w:val="7F594902"/>
    <w:rsid w:val="9EFF0BAB"/>
    <w:rsid w:val="9FDFEA0A"/>
    <w:rsid w:val="BFFF718D"/>
    <w:rsid w:val="DE4984DD"/>
    <w:rsid w:val="EFA6DFE8"/>
    <w:rsid w:val="F5D7CE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ind w:firstLine="420" w:firstLineChars="200"/>
      <w:jc w:val="both"/>
    </w:pPr>
    <w:rPr>
      <w:rFonts w:ascii="Times New Roman" w:hAnsi="Times New Roman" w:eastAsia="仿宋" w:cs="Times New Roman"/>
      <w:color w:val="auto"/>
      <w:kern w:val="2"/>
      <w:sz w:val="32"/>
      <w:szCs w:val="32"/>
      <w:highlight w:val="none"/>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3">
    <w:name w:val="footer"/>
    <w:basedOn w:val="1"/>
    <w:qFormat/>
    <w:uiPriority w:val="0"/>
    <w:pPr>
      <w:tabs>
        <w:tab w:val="center" w:pos="4153"/>
        <w:tab w:val="right" w:pos="8306"/>
      </w:tabs>
      <w:snapToGrid w:val="0"/>
      <w:ind w:firstLine="0" w:firstLineChars="0"/>
      <w:jc w:val="left"/>
    </w:pPr>
    <w:rPr>
      <w:rFonts w:ascii="仿宋_GB2312" w:hAnsi="仿宋_GB2312" w:cs="Times New Roman"/>
      <w:sz w:val="2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正文文字"/>
    <w:basedOn w:val="1"/>
    <w:next w:val="1"/>
    <w:qFormat/>
    <w:uiPriority w:val="99"/>
    <w:pPr>
      <w:spacing w:after="120"/>
    </w:p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1563</Words>
  <Characters>1677</Characters>
  <Lines>0</Lines>
  <Paragraphs>0</Paragraphs>
  <TotalTime>1011</TotalTime>
  <ScaleCrop>false</ScaleCrop>
  <LinksUpToDate>false</LinksUpToDate>
  <CharactersWithSpaces>1677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2025-06-20T02:24:00Z</dcterms:created>
  <dc:creator>huawei</dc:creator>
  <cp:lastModifiedBy>WPS_1577656050</cp:lastModifiedBy>
  <cp:lastPrinted>2025-08-19T07:57:56Z</cp:lastPrinted>
  <dcterms:modified xsi:type="dcterms:W3CDTF">2025-08-20T02:28:10Z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88D2842BF52D4B2E9F05A96DBFA8A97A_13</vt:lpwstr>
  </property>
  <property fmtid="{D5CDD505-2E9C-101B-9397-08002B2CF9AE}" pid="4" name="KSOTemplateDocerSaveRecord">
    <vt:lpwstr>eyJoZGlkIjoiZTQ4MjA4NmRiZDlhYTkwNDU5ZjZiYzNmZjEyN2Y1MDgiLCJ1c2VySWQiOiIxNTc3NjU2MDUwIn0=</vt:lpwstr>
  </property>
</Properties>
</file>