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F6540">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line="600" w:lineRule="exact"/>
        <w:jc w:val="both"/>
        <w:textAlignment w:val="auto"/>
        <w:outlineLvl w:val="1"/>
        <w:rPr>
          <w:rFonts w:hint="default" w:ascii="Times New Roman" w:hAnsi="Times New Roman" w:eastAsia="方正黑体简体" w:cs="Times New Roman"/>
          <w:b w:val="0"/>
          <w:bCs w:val="0"/>
          <w:kern w:val="2"/>
          <w:sz w:val="32"/>
          <w:szCs w:val="32"/>
          <w:lang w:val="en-US" w:eastAsia="zh-CN" w:bidi="ar-SA"/>
        </w:rPr>
      </w:pPr>
      <w:bookmarkStart w:id="0" w:name="_GoBack"/>
      <w:r>
        <w:rPr>
          <w:rFonts w:hint="default" w:ascii="Times New Roman" w:hAnsi="Times New Roman" w:eastAsia="方正黑体简体" w:cs="Times New Roman"/>
          <w:b w:val="0"/>
          <w:bCs w:val="0"/>
          <w:kern w:val="2"/>
          <w:sz w:val="32"/>
          <w:szCs w:val="32"/>
          <w:lang w:val="en-US" w:eastAsia="zh-CN" w:bidi="ar-SA"/>
        </w:rPr>
        <w:t>附件</w:t>
      </w:r>
      <w:r>
        <w:rPr>
          <w:rFonts w:hint="eastAsia" w:ascii="Times New Roman" w:hAnsi="Times New Roman" w:eastAsia="方正黑体简体" w:cs="Times New Roman"/>
          <w:b w:val="0"/>
          <w:bCs w:val="0"/>
          <w:kern w:val="2"/>
          <w:sz w:val="32"/>
          <w:szCs w:val="32"/>
          <w:lang w:val="en-US" w:eastAsia="zh-CN" w:bidi="ar-SA"/>
        </w:rPr>
        <w:t>1</w:t>
      </w:r>
    </w:p>
    <w:p w14:paraId="28A117B0">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攸县2025年中央财政支持秸秆综合利用重点县项目网点建设主体遴选评分标准</w:t>
      </w:r>
    </w:p>
    <w:bookmarkEnd w:id="0"/>
    <w:tbl>
      <w:tblPr>
        <w:tblStyle w:val="4"/>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165"/>
        <w:gridCol w:w="4987"/>
        <w:gridCol w:w="528"/>
        <w:gridCol w:w="2525"/>
      </w:tblGrid>
      <w:tr w14:paraId="630B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98" w:type="dxa"/>
            <w:noWrap w:val="0"/>
            <w:vAlign w:val="center"/>
          </w:tcPr>
          <w:p w14:paraId="1A66E82A">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sz w:val="24"/>
                <w:szCs w:val="24"/>
                <w:vertAlign w:val="baseline"/>
              </w:rPr>
            </w:pPr>
            <w:r>
              <w:rPr>
                <w:rFonts w:hint="default" w:ascii="Times New Roman" w:hAnsi="Times New Roman" w:eastAsia="方正仿宋简体" w:cs="Times New Roman"/>
                <w:i w:val="0"/>
                <w:iCs w:val="0"/>
                <w:color w:val="000000"/>
                <w:kern w:val="0"/>
                <w:sz w:val="24"/>
                <w:szCs w:val="24"/>
                <w:u w:val="none"/>
                <w:lang w:val="en-US" w:eastAsia="zh-CN" w:bidi="ar"/>
              </w:rPr>
              <w:t>序号</w:t>
            </w:r>
          </w:p>
        </w:tc>
        <w:tc>
          <w:tcPr>
            <w:tcW w:w="1165" w:type="dxa"/>
            <w:noWrap w:val="0"/>
            <w:vAlign w:val="center"/>
          </w:tcPr>
          <w:p w14:paraId="09C18031">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sz w:val="24"/>
                <w:szCs w:val="24"/>
                <w:vertAlign w:val="baseline"/>
              </w:rPr>
            </w:pPr>
            <w:r>
              <w:rPr>
                <w:rFonts w:hint="default" w:ascii="Times New Roman" w:hAnsi="Times New Roman" w:eastAsia="方正仿宋简体" w:cs="Times New Roman"/>
                <w:i w:val="0"/>
                <w:iCs w:val="0"/>
                <w:color w:val="000000"/>
                <w:kern w:val="0"/>
                <w:sz w:val="24"/>
                <w:szCs w:val="24"/>
                <w:u w:val="none"/>
                <w:lang w:val="en-US" w:eastAsia="zh-CN" w:bidi="ar"/>
              </w:rPr>
              <w:t>项目</w:t>
            </w:r>
          </w:p>
        </w:tc>
        <w:tc>
          <w:tcPr>
            <w:tcW w:w="4987" w:type="dxa"/>
            <w:noWrap w:val="0"/>
            <w:vAlign w:val="center"/>
          </w:tcPr>
          <w:p w14:paraId="348ECE92">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sz w:val="24"/>
                <w:szCs w:val="24"/>
                <w:vertAlign w:val="baseline"/>
              </w:rPr>
            </w:pPr>
            <w:r>
              <w:rPr>
                <w:rFonts w:hint="default" w:ascii="Times New Roman" w:hAnsi="Times New Roman" w:eastAsia="方正仿宋简体" w:cs="Times New Roman"/>
                <w:i w:val="0"/>
                <w:iCs w:val="0"/>
                <w:color w:val="000000"/>
                <w:kern w:val="0"/>
                <w:sz w:val="24"/>
                <w:szCs w:val="24"/>
                <w:u w:val="none"/>
                <w:lang w:val="en-US" w:eastAsia="zh-CN" w:bidi="ar"/>
              </w:rPr>
              <w:t>内容及标准</w:t>
            </w:r>
          </w:p>
        </w:tc>
        <w:tc>
          <w:tcPr>
            <w:tcW w:w="528" w:type="dxa"/>
            <w:noWrap w:val="0"/>
            <w:vAlign w:val="center"/>
          </w:tcPr>
          <w:p w14:paraId="5E33846D">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sz w:val="24"/>
                <w:szCs w:val="24"/>
                <w:vertAlign w:val="baseline"/>
              </w:rPr>
            </w:pPr>
            <w:r>
              <w:rPr>
                <w:rFonts w:hint="default" w:ascii="Times New Roman" w:hAnsi="Times New Roman" w:eastAsia="方正仿宋简体" w:cs="Times New Roman"/>
                <w:i w:val="0"/>
                <w:iCs w:val="0"/>
                <w:color w:val="000000"/>
                <w:kern w:val="0"/>
                <w:sz w:val="24"/>
                <w:szCs w:val="24"/>
                <w:u w:val="none"/>
                <w:lang w:val="en-US" w:eastAsia="zh-CN" w:bidi="ar"/>
              </w:rPr>
              <w:t>得分</w:t>
            </w:r>
          </w:p>
        </w:tc>
        <w:tc>
          <w:tcPr>
            <w:tcW w:w="2525" w:type="dxa"/>
            <w:noWrap w:val="0"/>
            <w:vAlign w:val="center"/>
          </w:tcPr>
          <w:p w14:paraId="119BC212">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备注</w:t>
            </w:r>
          </w:p>
        </w:tc>
      </w:tr>
      <w:tr w14:paraId="34FC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598" w:type="dxa"/>
            <w:noWrap w:val="0"/>
            <w:vAlign w:val="center"/>
          </w:tcPr>
          <w:p w14:paraId="318E0B8A">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1</w:t>
            </w:r>
          </w:p>
        </w:tc>
        <w:tc>
          <w:tcPr>
            <w:tcW w:w="1165" w:type="dxa"/>
            <w:noWrap w:val="0"/>
            <w:vAlign w:val="center"/>
          </w:tcPr>
          <w:p w14:paraId="09CB0798">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服务</w:t>
            </w:r>
            <w:r>
              <w:rPr>
                <w:rFonts w:hint="default" w:ascii="Times New Roman" w:hAnsi="Times New Roman" w:eastAsia="方正仿宋简体" w:cs="Times New Roman"/>
                <w:i w:val="0"/>
                <w:iCs w:val="0"/>
                <w:color w:val="000000"/>
                <w:kern w:val="0"/>
                <w:sz w:val="24"/>
                <w:szCs w:val="24"/>
                <w:u w:val="none"/>
                <w:lang w:val="en-US" w:eastAsia="zh-CN" w:bidi="ar"/>
              </w:rPr>
              <w:br w:type="textWrapping"/>
            </w:r>
            <w:r>
              <w:rPr>
                <w:rFonts w:hint="default" w:ascii="Times New Roman" w:hAnsi="Times New Roman" w:eastAsia="方正仿宋简体" w:cs="Times New Roman"/>
                <w:i w:val="0"/>
                <w:iCs w:val="0"/>
                <w:color w:val="000000"/>
                <w:kern w:val="0"/>
                <w:sz w:val="24"/>
                <w:szCs w:val="24"/>
                <w:u w:val="none"/>
                <w:lang w:val="en-US" w:eastAsia="zh-CN" w:bidi="ar"/>
              </w:rPr>
              <w:t>场地</w:t>
            </w:r>
          </w:p>
          <w:p w14:paraId="18B1F577">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（35分）</w:t>
            </w:r>
          </w:p>
        </w:tc>
        <w:tc>
          <w:tcPr>
            <w:tcW w:w="4987" w:type="dxa"/>
            <w:noWrap w:val="0"/>
            <w:vAlign w:val="center"/>
          </w:tcPr>
          <w:p w14:paraId="6645808B">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具备&gt;5000m</w:t>
            </w:r>
            <w:r>
              <w:rPr>
                <w:rFonts w:hint="default" w:ascii="Times New Roman" w:hAnsi="Times New Roman" w:eastAsia="方正仿宋简体" w:cs="Times New Roman"/>
                <w:i w:val="0"/>
                <w:iCs w:val="0"/>
                <w:color w:val="000000"/>
                <w:kern w:val="0"/>
                <w:sz w:val="24"/>
                <w:szCs w:val="24"/>
                <w:u w:val="none"/>
                <w:vertAlign w:val="superscript"/>
                <w:lang w:val="en-US" w:eastAsia="zh-CN" w:bidi="ar"/>
              </w:rPr>
              <w:t>２</w:t>
            </w:r>
            <w:r>
              <w:rPr>
                <w:rFonts w:hint="default" w:ascii="Times New Roman" w:hAnsi="Times New Roman" w:eastAsia="方正仿宋简体" w:cs="Times New Roman"/>
                <w:i w:val="0"/>
                <w:iCs w:val="0"/>
                <w:color w:val="000000"/>
                <w:kern w:val="0"/>
                <w:sz w:val="24"/>
                <w:szCs w:val="24"/>
                <w:u w:val="none"/>
                <w:lang w:val="en-US" w:eastAsia="zh-CN" w:bidi="ar"/>
              </w:rPr>
              <w:t>合格秸秆收储运场地且有意愿新改（扩）建厂房的计35分；具备3000m</w:t>
            </w:r>
            <w:r>
              <w:rPr>
                <w:rFonts w:hint="default" w:ascii="Times New Roman" w:hAnsi="Times New Roman" w:eastAsia="方正仿宋简体" w:cs="Times New Roman"/>
                <w:i w:val="0"/>
                <w:iCs w:val="0"/>
                <w:color w:val="000000"/>
                <w:kern w:val="0"/>
                <w:sz w:val="24"/>
                <w:szCs w:val="24"/>
                <w:u w:val="none"/>
                <w:vertAlign w:val="superscript"/>
                <w:lang w:val="en-US" w:eastAsia="zh-CN" w:bidi="ar"/>
              </w:rPr>
              <w:t>２</w:t>
            </w:r>
            <w:r>
              <w:rPr>
                <w:rFonts w:hint="default" w:ascii="Times New Roman" w:hAnsi="Times New Roman" w:eastAsia="方正仿宋简体" w:cs="Times New Roman"/>
                <w:i w:val="0"/>
                <w:iCs w:val="0"/>
                <w:color w:val="000000"/>
                <w:kern w:val="0"/>
                <w:sz w:val="24"/>
                <w:szCs w:val="24"/>
                <w:u w:val="none"/>
                <w:vertAlign w:val="baseline"/>
                <w:lang w:val="en-US" w:eastAsia="zh-CN" w:bidi="ar"/>
              </w:rPr>
              <w:t>-</w:t>
            </w:r>
            <w:r>
              <w:rPr>
                <w:rFonts w:hint="default" w:ascii="Times New Roman" w:hAnsi="Times New Roman" w:eastAsia="方正仿宋简体" w:cs="Times New Roman"/>
                <w:i w:val="0"/>
                <w:iCs w:val="0"/>
                <w:color w:val="000000"/>
                <w:kern w:val="0"/>
                <w:sz w:val="24"/>
                <w:szCs w:val="24"/>
                <w:u w:val="none"/>
                <w:lang w:val="en-US" w:eastAsia="zh-CN" w:bidi="ar"/>
              </w:rPr>
              <w:t>5000m</w:t>
            </w:r>
            <w:r>
              <w:rPr>
                <w:rFonts w:hint="default" w:ascii="Times New Roman" w:hAnsi="Times New Roman" w:eastAsia="方正仿宋简体" w:cs="Times New Roman"/>
                <w:i w:val="0"/>
                <w:iCs w:val="0"/>
                <w:color w:val="000000"/>
                <w:kern w:val="0"/>
                <w:sz w:val="24"/>
                <w:szCs w:val="24"/>
                <w:u w:val="none"/>
                <w:vertAlign w:val="superscript"/>
                <w:lang w:val="en-US" w:eastAsia="zh-CN" w:bidi="ar"/>
              </w:rPr>
              <w:t>２</w:t>
            </w:r>
            <w:r>
              <w:rPr>
                <w:rFonts w:hint="default" w:ascii="Times New Roman" w:hAnsi="Times New Roman" w:eastAsia="方正仿宋简体" w:cs="Times New Roman"/>
                <w:i w:val="0"/>
                <w:iCs w:val="0"/>
                <w:color w:val="000000"/>
                <w:kern w:val="0"/>
                <w:sz w:val="24"/>
                <w:szCs w:val="24"/>
                <w:u w:val="none"/>
                <w:lang w:val="en-US" w:eastAsia="zh-CN" w:bidi="ar"/>
              </w:rPr>
              <w:t>合格秸秆收储运场地且有意愿新改（扩）建厂房的，计30分，具备1000m</w:t>
            </w:r>
            <w:r>
              <w:rPr>
                <w:rFonts w:hint="default" w:ascii="Times New Roman" w:hAnsi="Times New Roman" w:eastAsia="方正仿宋简体" w:cs="Times New Roman"/>
                <w:i w:val="0"/>
                <w:iCs w:val="0"/>
                <w:color w:val="000000"/>
                <w:kern w:val="0"/>
                <w:sz w:val="24"/>
                <w:szCs w:val="24"/>
                <w:u w:val="none"/>
                <w:vertAlign w:val="superscript"/>
                <w:lang w:val="en-US" w:eastAsia="zh-CN" w:bidi="ar"/>
              </w:rPr>
              <w:t>２</w:t>
            </w:r>
            <w:r>
              <w:rPr>
                <w:rFonts w:hint="default" w:ascii="Times New Roman" w:hAnsi="Times New Roman" w:eastAsia="方正仿宋简体" w:cs="Times New Roman"/>
                <w:i w:val="0"/>
                <w:iCs w:val="0"/>
                <w:color w:val="000000"/>
                <w:kern w:val="0"/>
                <w:sz w:val="24"/>
                <w:szCs w:val="24"/>
                <w:u w:val="none"/>
                <w:vertAlign w:val="baseline"/>
                <w:lang w:val="en-US" w:eastAsia="zh-CN" w:bidi="ar"/>
              </w:rPr>
              <w:t>-</w:t>
            </w:r>
            <w:r>
              <w:rPr>
                <w:rFonts w:hint="default" w:ascii="Times New Roman" w:hAnsi="Times New Roman" w:eastAsia="方正仿宋简体" w:cs="Times New Roman"/>
                <w:i w:val="0"/>
                <w:iCs w:val="0"/>
                <w:color w:val="000000"/>
                <w:kern w:val="0"/>
                <w:sz w:val="24"/>
                <w:szCs w:val="24"/>
                <w:u w:val="none"/>
                <w:lang w:val="en-US" w:eastAsia="zh-CN" w:bidi="ar"/>
              </w:rPr>
              <w:t>2999m</w:t>
            </w:r>
            <w:r>
              <w:rPr>
                <w:rFonts w:hint="default" w:ascii="Times New Roman" w:hAnsi="Times New Roman" w:eastAsia="方正仿宋简体" w:cs="Times New Roman"/>
                <w:i w:val="0"/>
                <w:iCs w:val="0"/>
                <w:color w:val="000000"/>
                <w:kern w:val="0"/>
                <w:sz w:val="24"/>
                <w:szCs w:val="24"/>
                <w:u w:val="none"/>
                <w:vertAlign w:val="superscript"/>
                <w:lang w:val="en-US" w:eastAsia="zh-CN" w:bidi="ar"/>
              </w:rPr>
              <w:t>２</w:t>
            </w:r>
            <w:r>
              <w:rPr>
                <w:rFonts w:hint="default" w:ascii="Times New Roman" w:hAnsi="Times New Roman" w:eastAsia="方正仿宋简体" w:cs="Times New Roman"/>
                <w:i w:val="0"/>
                <w:iCs w:val="0"/>
                <w:color w:val="000000"/>
                <w:kern w:val="0"/>
                <w:sz w:val="24"/>
                <w:szCs w:val="24"/>
                <w:u w:val="none"/>
                <w:lang w:val="en-US" w:eastAsia="zh-CN" w:bidi="ar"/>
              </w:rPr>
              <w:t>合格秸秆收储运场地且有意愿新改（扩）建厂房的，计25分，具备500m</w:t>
            </w:r>
            <w:r>
              <w:rPr>
                <w:rFonts w:hint="default" w:ascii="Times New Roman" w:hAnsi="Times New Roman" w:eastAsia="方正仿宋简体" w:cs="Times New Roman"/>
                <w:i w:val="0"/>
                <w:iCs w:val="0"/>
                <w:color w:val="000000"/>
                <w:kern w:val="0"/>
                <w:sz w:val="24"/>
                <w:szCs w:val="24"/>
                <w:u w:val="none"/>
                <w:vertAlign w:val="superscript"/>
                <w:lang w:val="en-US" w:eastAsia="zh-CN" w:bidi="ar"/>
              </w:rPr>
              <w:t>２</w:t>
            </w:r>
            <w:r>
              <w:rPr>
                <w:rFonts w:hint="default" w:ascii="Times New Roman" w:hAnsi="Times New Roman" w:eastAsia="方正仿宋简体" w:cs="Times New Roman"/>
                <w:i w:val="0"/>
                <w:iCs w:val="0"/>
                <w:color w:val="000000"/>
                <w:kern w:val="0"/>
                <w:sz w:val="24"/>
                <w:szCs w:val="24"/>
                <w:u w:val="none"/>
                <w:vertAlign w:val="baseline"/>
                <w:lang w:val="en-US" w:eastAsia="zh-CN" w:bidi="ar"/>
              </w:rPr>
              <w:t>-</w:t>
            </w:r>
            <w:r>
              <w:rPr>
                <w:rFonts w:hint="default" w:ascii="Times New Roman" w:hAnsi="Times New Roman" w:eastAsia="方正仿宋简体" w:cs="Times New Roman"/>
                <w:i w:val="0"/>
                <w:iCs w:val="0"/>
                <w:color w:val="000000"/>
                <w:kern w:val="0"/>
                <w:sz w:val="24"/>
                <w:szCs w:val="24"/>
                <w:u w:val="none"/>
                <w:lang w:val="en-US" w:eastAsia="zh-CN" w:bidi="ar"/>
              </w:rPr>
              <w:t>999m</w:t>
            </w:r>
            <w:r>
              <w:rPr>
                <w:rFonts w:hint="default" w:ascii="Times New Roman" w:hAnsi="Times New Roman" w:eastAsia="方正仿宋简体" w:cs="Times New Roman"/>
                <w:i w:val="0"/>
                <w:iCs w:val="0"/>
                <w:color w:val="000000"/>
                <w:kern w:val="0"/>
                <w:sz w:val="24"/>
                <w:szCs w:val="24"/>
                <w:u w:val="none"/>
                <w:vertAlign w:val="superscript"/>
                <w:lang w:val="en-US" w:eastAsia="zh-CN" w:bidi="ar"/>
              </w:rPr>
              <w:t>２</w:t>
            </w:r>
            <w:r>
              <w:rPr>
                <w:rFonts w:hint="default" w:ascii="Times New Roman" w:hAnsi="Times New Roman" w:eastAsia="方正仿宋简体" w:cs="Times New Roman"/>
                <w:i w:val="0"/>
                <w:iCs w:val="0"/>
                <w:color w:val="000000"/>
                <w:kern w:val="0"/>
                <w:sz w:val="24"/>
                <w:szCs w:val="24"/>
                <w:u w:val="none"/>
                <w:lang w:val="en-US" w:eastAsia="zh-CN" w:bidi="ar"/>
              </w:rPr>
              <w:t>合格秸秆收储运场地且有意愿新改（扩）建厂房的，计20分。</w:t>
            </w:r>
          </w:p>
        </w:tc>
        <w:tc>
          <w:tcPr>
            <w:tcW w:w="528" w:type="dxa"/>
            <w:noWrap w:val="0"/>
            <w:vAlign w:val="center"/>
          </w:tcPr>
          <w:p w14:paraId="78677EE4">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2525" w:type="dxa"/>
            <w:vMerge w:val="restart"/>
            <w:noWrap w:val="0"/>
            <w:vAlign w:val="center"/>
          </w:tcPr>
          <w:p w14:paraId="67B6BC7F">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提供有效的证明材料并加盖公章</w:t>
            </w:r>
          </w:p>
        </w:tc>
      </w:tr>
      <w:tr w14:paraId="3B96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2" w:hRule="atLeast"/>
          <w:jc w:val="center"/>
        </w:trPr>
        <w:tc>
          <w:tcPr>
            <w:tcW w:w="598" w:type="dxa"/>
            <w:noWrap w:val="0"/>
            <w:vAlign w:val="center"/>
          </w:tcPr>
          <w:p w14:paraId="43C51D07">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2</w:t>
            </w:r>
          </w:p>
        </w:tc>
        <w:tc>
          <w:tcPr>
            <w:tcW w:w="1165" w:type="dxa"/>
            <w:noWrap w:val="0"/>
            <w:vAlign w:val="center"/>
          </w:tcPr>
          <w:p w14:paraId="274DBF27">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安全</w:t>
            </w:r>
          </w:p>
          <w:p w14:paraId="3003259A">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保障</w:t>
            </w:r>
          </w:p>
          <w:p w14:paraId="5698BF4B">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（35分）</w:t>
            </w:r>
          </w:p>
        </w:tc>
        <w:tc>
          <w:tcPr>
            <w:tcW w:w="4987" w:type="dxa"/>
            <w:noWrap w:val="0"/>
            <w:vAlign w:val="center"/>
          </w:tcPr>
          <w:p w14:paraId="39B20A4F">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（1）</w:t>
            </w:r>
            <w:r>
              <w:rPr>
                <w:rFonts w:hint="default" w:ascii="Times New Roman" w:hAnsi="Times New Roman" w:eastAsia="方正仿宋简体" w:cs="Times New Roman"/>
                <w:i w:val="0"/>
                <w:iCs w:val="0"/>
                <w:color w:val="000000"/>
                <w:kern w:val="0"/>
                <w:sz w:val="24"/>
                <w:szCs w:val="24"/>
                <w:u w:val="none"/>
                <w:lang w:val="en-US" w:eastAsia="zh-CN" w:bidi="ar"/>
              </w:rPr>
              <w:t>设有专门的项目管理团队，实行关键岗位专人负责，计10分</w:t>
            </w:r>
            <w:r>
              <w:rPr>
                <w:rFonts w:hint="eastAsia" w:ascii="Times New Roman" w:hAnsi="Times New Roman" w:eastAsia="方正仿宋简体" w:cs="Times New Roman"/>
                <w:i w:val="0"/>
                <w:iCs w:val="0"/>
                <w:color w:val="000000"/>
                <w:kern w:val="0"/>
                <w:sz w:val="24"/>
                <w:szCs w:val="24"/>
                <w:u w:val="none"/>
                <w:lang w:val="en-US" w:eastAsia="zh-CN" w:bidi="ar"/>
              </w:rPr>
              <w:t>；（</w:t>
            </w:r>
            <w:r>
              <w:rPr>
                <w:rFonts w:hint="default" w:ascii="Times New Roman" w:hAnsi="Times New Roman" w:eastAsia="方正仿宋简体" w:cs="Times New Roman"/>
                <w:i w:val="0"/>
                <w:iCs w:val="0"/>
                <w:color w:val="000000"/>
                <w:kern w:val="0"/>
                <w:sz w:val="24"/>
                <w:szCs w:val="24"/>
                <w:u w:val="none"/>
                <w:lang w:val="en-US" w:eastAsia="zh-CN" w:bidi="ar"/>
              </w:rPr>
              <w:t>2</w:t>
            </w:r>
            <w:r>
              <w:rPr>
                <w:rFonts w:hint="eastAsia" w:ascii="Times New Roman" w:hAnsi="Times New Roman" w:eastAsia="方正仿宋简体" w:cs="Times New Roman"/>
                <w:i w:val="0"/>
                <w:iCs w:val="0"/>
                <w:color w:val="000000"/>
                <w:kern w:val="0"/>
                <w:sz w:val="24"/>
                <w:szCs w:val="24"/>
                <w:u w:val="none"/>
                <w:lang w:val="en-US" w:eastAsia="zh-CN" w:bidi="ar"/>
              </w:rPr>
              <w:t>）</w:t>
            </w:r>
            <w:r>
              <w:rPr>
                <w:rFonts w:hint="default" w:ascii="Times New Roman" w:hAnsi="Times New Roman" w:eastAsia="方正仿宋简体" w:cs="Times New Roman"/>
                <w:i w:val="0"/>
                <w:iCs w:val="0"/>
                <w:color w:val="000000"/>
                <w:kern w:val="0"/>
                <w:sz w:val="24"/>
                <w:szCs w:val="24"/>
                <w:u w:val="none"/>
                <w:lang w:val="en-US" w:eastAsia="zh-CN" w:bidi="ar"/>
              </w:rPr>
              <w:t>现有设施、设备、车辆安全可靠的，计10分</w:t>
            </w:r>
            <w:r>
              <w:rPr>
                <w:rFonts w:hint="eastAsia" w:ascii="Times New Roman" w:hAnsi="Times New Roman" w:eastAsia="方正仿宋简体" w:cs="Times New Roman"/>
                <w:i w:val="0"/>
                <w:iCs w:val="0"/>
                <w:color w:val="000000"/>
                <w:kern w:val="0"/>
                <w:sz w:val="24"/>
                <w:szCs w:val="24"/>
                <w:u w:val="none"/>
                <w:lang w:val="en-US" w:eastAsia="zh-CN" w:bidi="ar"/>
              </w:rPr>
              <w:t>（</w:t>
            </w:r>
            <w:r>
              <w:rPr>
                <w:rFonts w:hint="default" w:ascii="Times New Roman" w:hAnsi="Times New Roman" w:eastAsia="方正仿宋简体" w:cs="Times New Roman"/>
                <w:i w:val="0"/>
                <w:iCs w:val="0"/>
                <w:color w:val="000000"/>
                <w:kern w:val="0"/>
                <w:sz w:val="24"/>
                <w:szCs w:val="24"/>
                <w:u w:val="none"/>
                <w:lang w:val="en-US" w:eastAsia="zh-CN" w:bidi="ar"/>
              </w:rPr>
              <w:t>3）有切实可行的安全保障制度的，计10分（4）提交项目实施安全承诺书的，计5分。</w:t>
            </w:r>
          </w:p>
        </w:tc>
        <w:tc>
          <w:tcPr>
            <w:tcW w:w="528" w:type="dxa"/>
            <w:noWrap w:val="0"/>
            <w:vAlign w:val="center"/>
          </w:tcPr>
          <w:p w14:paraId="31E53F0B">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2525" w:type="dxa"/>
            <w:vMerge w:val="continue"/>
            <w:noWrap w:val="0"/>
            <w:vAlign w:val="center"/>
          </w:tcPr>
          <w:p w14:paraId="59BF0898">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r>
      <w:tr w14:paraId="3D7E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98" w:type="dxa"/>
            <w:noWrap w:val="0"/>
            <w:vAlign w:val="center"/>
          </w:tcPr>
          <w:p w14:paraId="516AD6BA">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3</w:t>
            </w:r>
          </w:p>
        </w:tc>
        <w:tc>
          <w:tcPr>
            <w:tcW w:w="1165" w:type="dxa"/>
            <w:noWrap w:val="0"/>
            <w:vAlign w:val="center"/>
          </w:tcPr>
          <w:p w14:paraId="74B07345">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售后</w:t>
            </w:r>
          </w:p>
          <w:p w14:paraId="29CF3F59">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服务</w:t>
            </w:r>
          </w:p>
          <w:p w14:paraId="2FA43A4E">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（30分）</w:t>
            </w:r>
          </w:p>
        </w:tc>
        <w:tc>
          <w:tcPr>
            <w:tcW w:w="4987" w:type="dxa"/>
            <w:noWrap w:val="0"/>
            <w:vAlign w:val="center"/>
          </w:tcPr>
          <w:p w14:paraId="3925988F">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售后服务承诺及时响应县农业农村局协调、服从安排、积极处理好各类矛盾纠纷，做好示范样板，提交可追溯台账，保障项目顺利实施的计30分</w:t>
            </w:r>
            <w:r>
              <w:rPr>
                <w:rFonts w:hint="eastAsia" w:ascii="Times New Roman" w:hAnsi="Times New Roman" w:eastAsia="方正仿宋简体" w:cs="Times New Roman"/>
                <w:i w:val="0"/>
                <w:iCs w:val="0"/>
                <w:color w:val="000000"/>
                <w:kern w:val="0"/>
                <w:sz w:val="24"/>
                <w:szCs w:val="24"/>
                <w:u w:val="none"/>
                <w:lang w:val="en-US" w:eastAsia="zh-CN" w:bidi="ar"/>
              </w:rPr>
              <w:t>；</w:t>
            </w:r>
            <w:r>
              <w:rPr>
                <w:rFonts w:hint="default" w:ascii="Times New Roman" w:hAnsi="Times New Roman" w:eastAsia="方正仿宋简体" w:cs="Times New Roman"/>
                <w:i w:val="0"/>
                <w:iCs w:val="0"/>
                <w:color w:val="000000"/>
                <w:kern w:val="0"/>
                <w:sz w:val="24"/>
                <w:szCs w:val="24"/>
                <w:u w:val="none"/>
                <w:lang w:val="en-US" w:eastAsia="zh-CN" w:bidi="ar"/>
              </w:rPr>
              <w:t>没有服务承诺的，计0分。</w:t>
            </w:r>
          </w:p>
        </w:tc>
        <w:tc>
          <w:tcPr>
            <w:tcW w:w="528" w:type="dxa"/>
            <w:noWrap w:val="0"/>
            <w:vAlign w:val="center"/>
          </w:tcPr>
          <w:p w14:paraId="3F74A67A">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2525" w:type="dxa"/>
            <w:vMerge w:val="continue"/>
            <w:noWrap w:val="0"/>
            <w:vAlign w:val="center"/>
          </w:tcPr>
          <w:p w14:paraId="46542E58">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r>
      <w:tr w14:paraId="173A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598" w:type="dxa"/>
            <w:noWrap w:val="0"/>
            <w:vAlign w:val="center"/>
          </w:tcPr>
          <w:p w14:paraId="2E2F4CEC">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4</w:t>
            </w:r>
          </w:p>
        </w:tc>
        <w:tc>
          <w:tcPr>
            <w:tcW w:w="1165" w:type="dxa"/>
            <w:noWrap w:val="0"/>
            <w:vAlign w:val="center"/>
          </w:tcPr>
          <w:p w14:paraId="77AC329C">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一票否决制</w:t>
            </w:r>
          </w:p>
        </w:tc>
        <w:tc>
          <w:tcPr>
            <w:tcW w:w="4987" w:type="dxa"/>
            <w:noWrap w:val="0"/>
            <w:vAlign w:val="center"/>
          </w:tcPr>
          <w:p w14:paraId="56CD4EEE">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申报主体的法人有违法违规行为，有非法融资、涉黑涉恶、行业通报批评或新闻媒体曝光等造成不良社会影响，有不良信用记录。</w:t>
            </w:r>
          </w:p>
        </w:tc>
        <w:tc>
          <w:tcPr>
            <w:tcW w:w="528" w:type="dxa"/>
            <w:noWrap w:val="0"/>
            <w:vAlign w:val="center"/>
          </w:tcPr>
          <w:p w14:paraId="670C85D7">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tc>
        <w:tc>
          <w:tcPr>
            <w:tcW w:w="2525" w:type="dxa"/>
            <w:noWrap w:val="0"/>
            <w:vAlign w:val="center"/>
          </w:tcPr>
          <w:p w14:paraId="755C034E">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提供当地公安部门出具的法人是否存在违法违规、涉黑涉恶等相关证明或申报主体信用报告。</w:t>
            </w:r>
          </w:p>
        </w:tc>
      </w:tr>
      <w:tr w14:paraId="1A2D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8" w:type="dxa"/>
            <w:noWrap w:val="0"/>
            <w:vAlign w:val="center"/>
          </w:tcPr>
          <w:p w14:paraId="6429858D">
            <w:pPr>
              <w:keepNext w:val="0"/>
              <w:keepLines w:val="0"/>
              <w:pageBreakBefore w:val="0"/>
              <w:widowControl/>
              <w:suppressLineNumbers w:val="0"/>
              <w:kinsoku/>
              <w:wordWrap/>
              <w:overflowPunct/>
              <w:topLinePunct w:val="0"/>
              <w:autoSpaceDE/>
              <w:autoSpaceDN/>
              <w:bidi w:val="0"/>
              <w:adjustRightInd w:val="0"/>
              <w:snapToGrid w:val="0"/>
              <w:spacing w:line="300" w:lineRule="atLeast"/>
              <w:ind w:firstLine="0" w:firstLineChars="0"/>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总计</w:t>
            </w:r>
          </w:p>
        </w:tc>
        <w:tc>
          <w:tcPr>
            <w:tcW w:w="1165" w:type="dxa"/>
            <w:noWrap w:val="0"/>
            <w:vAlign w:val="center"/>
          </w:tcPr>
          <w:p w14:paraId="1D879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方正仿宋简体" w:cs="Times New Roman"/>
                <w:color w:val="000000"/>
                <w:sz w:val="24"/>
                <w:szCs w:val="24"/>
                <w:highlight w:val="none"/>
                <w:lang w:val="en-US" w:eastAsia="zh-CN"/>
              </w:rPr>
            </w:pPr>
            <w:r>
              <w:rPr>
                <w:rFonts w:hint="default" w:ascii="Times New Roman" w:hAnsi="Times New Roman" w:eastAsia="方正仿宋简体" w:cs="Times New Roman"/>
                <w:color w:val="000000"/>
                <w:sz w:val="24"/>
                <w:szCs w:val="24"/>
                <w:highlight w:val="none"/>
                <w:lang w:val="en-US" w:eastAsia="zh-CN"/>
              </w:rPr>
              <w:t>100分</w:t>
            </w:r>
          </w:p>
        </w:tc>
        <w:tc>
          <w:tcPr>
            <w:tcW w:w="4987" w:type="dxa"/>
            <w:noWrap w:val="0"/>
            <w:vAlign w:val="center"/>
          </w:tcPr>
          <w:p w14:paraId="0AB6A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480" w:firstLineChars="200"/>
              <w:jc w:val="center"/>
              <w:textAlignment w:val="auto"/>
              <w:rPr>
                <w:rFonts w:hint="default" w:ascii="Times New Roman" w:hAnsi="Times New Roman" w:eastAsia="方正仿宋简体" w:cs="Times New Roman"/>
                <w:color w:val="000000"/>
                <w:sz w:val="24"/>
                <w:szCs w:val="24"/>
                <w:highlight w:val="none"/>
                <w:lang w:val="en-US" w:eastAsia="zh-CN"/>
              </w:rPr>
            </w:pPr>
          </w:p>
        </w:tc>
        <w:tc>
          <w:tcPr>
            <w:tcW w:w="528" w:type="dxa"/>
            <w:noWrap w:val="0"/>
            <w:vAlign w:val="center"/>
          </w:tcPr>
          <w:p w14:paraId="612442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Times New Roman" w:hAnsi="Times New Roman" w:eastAsia="方正仿宋简体" w:cs="Times New Roman"/>
                <w:color w:val="000000"/>
                <w:kern w:val="2"/>
                <w:sz w:val="24"/>
                <w:szCs w:val="24"/>
                <w:highlight w:val="none"/>
                <w:lang w:val="en-US" w:eastAsia="zh-CN" w:bidi="ar-SA"/>
              </w:rPr>
            </w:pPr>
          </w:p>
        </w:tc>
        <w:tc>
          <w:tcPr>
            <w:tcW w:w="2525" w:type="dxa"/>
            <w:noWrap w:val="0"/>
            <w:vAlign w:val="center"/>
          </w:tcPr>
          <w:p w14:paraId="57007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480" w:firstLineChars="200"/>
              <w:jc w:val="center"/>
              <w:textAlignment w:val="auto"/>
              <w:rPr>
                <w:rFonts w:hint="default" w:ascii="Times New Roman" w:hAnsi="Times New Roman" w:eastAsia="方正仿宋简体" w:cs="Times New Roman"/>
                <w:color w:val="000000"/>
                <w:sz w:val="24"/>
                <w:szCs w:val="24"/>
                <w:highlight w:val="none"/>
                <w:lang w:val="en-US" w:eastAsia="zh-CN"/>
              </w:rPr>
            </w:pPr>
          </w:p>
        </w:tc>
      </w:tr>
    </w:tbl>
    <w:p w14:paraId="5E78A4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YaHei">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7F2F4"/>
    <w:rsid w:val="4BF7F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adjustRightInd w:val="0"/>
      <w:snapToGrid w:val="0"/>
      <w:spacing w:line="579" w:lineRule="atLeast"/>
      <w:ind w:firstLine="200" w:firstLineChars="200"/>
      <w:jc w:val="left"/>
    </w:pPr>
    <w:rPr>
      <w:rFonts w:ascii="Times New Roman" w:hAnsi="Times New Roman" w:eastAsia="仿宋_GB2312" w:cs="Times New Roman"/>
      <w:kern w:val="2"/>
      <w:sz w:val="18"/>
      <w:szCs w:val="18"/>
      <w:lang w:val="en-US" w:eastAsia="zh-CN" w:bidi="ar-SA"/>
    </w:rPr>
  </w:style>
  <w:style w:type="table" w:styleId="4">
    <w:name w:val="Table Grid"/>
    <w:qFormat/>
    <w:uiPriority w:val="59"/>
    <w:pPr>
      <w:widowControl w:val="0"/>
      <w:jc w:val="both"/>
    </w:pPr>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2025-08-18T17:16:00Z</dcterms:created>
  <dc:creator>零</dc:creator>
  <cp:lastModifiedBy>零</cp:lastModifiedBy>
  <dcterms:modified xsi:type="dcterms:W3CDTF">2025-08-18T17:17:16Z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971CA5F4B9548FA177EFA268E238A73A_41</vt:lpwstr>
  </property>
</Properties>
</file>