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株洲市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文化市场综合行政执法支队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关于一批固定资产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报废处置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的公示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840"/>
        </w:tabs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为加强固定资产管理，我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支队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委托第三方服务机构于2024年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11至12月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月对我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支队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近固定资产进行了全面核实、清查。经整理后，现有一批固定资产，因使用年限过长、功能丧失、失去使用价值拟进行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报废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处置。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本次拟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报废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处置固定资产共计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项，资产账面原值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371463.4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元，账面净值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元，以上均为有实物资产（详见附件）。经我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支队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党委会讨论研究，现按照有关规定进行处置，特此公示。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公示期为五个工作日，有关单位或个人对公示事项如有异议，自公示之日起五个工作日内向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支队纪检部门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反映。（联系方式：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28682982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附件：株洲市文化市场综合行政执法支队国有资产报废清单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         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株洲市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文化市场综合行政执法支队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331" w:firstLineChars="1666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2025年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7796E"/>
    <w:rsid w:val="3EAB0813"/>
    <w:rsid w:val="7EF76EE9"/>
    <w:rsid w:val="D7FF2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文稿组</cp:lastModifiedBy>
  <dcterms:modified xsi:type="dcterms:W3CDTF">2025-08-14T08:47:08Z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ICV">
    <vt:lpwstr>E8FCA1DE03C4FAE20C329D68B0429E6B_43</vt:lpwstr>
  </property>
</Properties>
</file>