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b/>
          <w:bCs w:val="0"/>
          <w:sz w:val="32"/>
          <w:szCs w:val="32"/>
        </w:rPr>
      </w:pPr>
      <w:bookmarkStart w:id="17" w:name="_GoBack"/>
      <w:r>
        <w:rPr>
          <w:rFonts w:hint="default" w:ascii="Times New Roman" w:hAnsi="Times New Roman" w:eastAsia="方正小标宋_GBK" w:cs="Times New Roman"/>
          <w:b/>
          <w:bCs w:val="0"/>
          <w:sz w:val="32"/>
          <w:szCs w:val="32"/>
        </w:rPr>
        <w:t>株洲市《重大经济科技活动知识产权分析评议</w:t>
      </w:r>
    </w:p>
    <w:p>
      <w:pPr>
        <w:jc w:val="center"/>
        <w:rPr>
          <w:rFonts w:hint="default" w:ascii="Times New Roman" w:hAnsi="Times New Roman" w:eastAsia="方正小标宋_GBK" w:cs="Times New Roman"/>
          <w:b/>
          <w:bCs w:val="0"/>
          <w:sz w:val="32"/>
          <w:szCs w:val="32"/>
        </w:rPr>
      </w:pPr>
      <w:r>
        <w:rPr>
          <w:rFonts w:hint="default" w:ascii="Times New Roman" w:hAnsi="Times New Roman" w:eastAsia="方正小标宋_GBK" w:cs="Times New Roman"/>
          <w:b/>
          <w:bCs w:val="0"/>
          <w:sz w:val="32"/>
          <w:szCs w:val="32"/>
        </w:rPr>
        <w:t>技术规范》</w:t>
      </w:r>
      <w:r>
        <w:rPr>
          <w:rFonts w:hint="eastAsia" w:ascii="Times New Roman" w:hAnsi="Times New Roman" w:eastAsia="方正小标宋_GBK" w:cs="Times New Roman"/>
          <w:b/>
          <w:bCs w:val="0"/>
          <w:sz w:val="32"/>
          <w:szCs w:val="32"/>
          <w:lang w:eastAsia="zh-CN"/>
        </w:rPr>
        <w:t>（</w:t>
      </w:r>
      <w:r>
        <w:rPr>
          <w:rFonts w:hint="eastAsia" w:ascii="Times New Roman" w:hAnsi="Times New Roman" w:eastAsia="方正小标宋_GBK" w:cs="Times New Roman"/>
          <w:b/>
          <w:bCs w:val="0"/>
          <w:sz w:val="32"/>
          <w:szCs w:val="32"/>
          <w:lang w:val="en-US" w:eastAsia="zh-CN"/>
        </w:rPr>
        <w:t>征求意见稿</w:t>
      </w:r>
      <w:r>
        <w:rPr>
          <w:rFonts w:hint="eastAsia" w:ascii="Times New Roman" w:hAnsi="Times New Roman" w:eastAsia="方正小标宋_GBK" w:cs="Times New Roman"/>
          <w:b/>
          <w:bCs w:val="0"/>
          <w:sz w:val="32"/>
          <w:szCs w:val="32"/>
          <w:lang w:eastAsia="zh-CN"/>
        </w:rPr>
        <w:t>）</w:t>
      </w:r>
      <w:r>
        <w:rPr>
          <w:rFonts w:hint="eastAsia" w:ascii="Times New Roman" w:hAnsi="Times New Roman" w:eastAsia="方正小标宋_GBK" w:cs="Times New Roman"/>
          <w:b/>
          <w:bCs w:val="0"/>
          <w:sz w:val="32"/>
          <w:szCs w:val="32"/>
          <w:lang w:val="en-US" w:eastAsia="zh-CN"/>
        </w:rPr>
        <w:t>地方</w:t>
      </w:r>
      <w:r>
        <w:rPr>
          <w:rFonts w:hint="default" w:ascii="Times New Roman" w:hAnsi="Times New Roman" w:eastAsia="方正小标宋_GBK" w:cs="Times New Roman"/>
          <w:b/>
          <w:bCs w:val="0"/>
          <w:sz w:val="32"/>
          <w:szCs w:val="32"/>
        </w:rPr>
        <w:t>标准编制说明</w:t>
      </w:r>
    </w:p>
    <w:bookmarkEnd w:id="17"/>
    <w:p>
      <w:pPr>
        <w:spacing w:before="156" w:beforeLines="50" w:after="156" w:afterLines="50" w:line="540" w:lineRule="exac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一、任务和来源</w:t>
      </w:r>
    </w:p>
    <w:p>
      <w:pPr>
        <w:widowControl/>
        <w:spacing w:line="540" w:lineRule="exact"/>
        <w:ind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习近平总书记指出“创新是引领发展的第一动力，要强化知识产权创造、保护、运用”。2015年，国务院出台《国务院关于新形势下加快知识产权强国建设的若干意见》强调，我国要建立重大经济活动知识产权评议制度。2022年9月26日</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湖南省</w:t>
      </w:r>
      <w:r>
        <w:rPr>
          <w:rFonts w:hint="default" w:ascii="Times New Roman" w:hAnsi="Times New Roman" w:eastAsia="仿宋" w:cs="Times New Roman"/>
          <w:sz w:val="32"/>
          <w:szCs w:val="32"/>
        </w:rPr>
        <w:t>发布《湖南省知识产权保护和促进条例》</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将建立知识产权分析评议制度列入地方法规</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文件</w:t>
      </w:r>
      <w:r>
        <w:rPr>
          <w:rFonts w:hint="default" w:ascii="Times New Roman" w:hAnsi="Times New Roman" w:eastAsia="仿宋" w:cs="Times New Roman"/>
          <w:sz w:val="32"/>
          <w:szCs w:val="32"/>
        </w:rPr>
        <w:t>第四十二条规定</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财政资金投入数额较大以及对经济社会发展和公共利益具有较大影响的重大经济科技活动涉及知识产权的，项目主管单位应当组织开展知识产权分析评议，对项目涉及的知识产权状况、侵权风险等作出评价。鼓励企业、高等学校、科研机构建立知识产权分析评议制度，开展知识产权评议活动。</w:t>
      </w:r>
    </w:p>
    <w:p>
      <w:pPr>
        <w:widowControl/>
        <w:spacing w:line="540" w:lineRule="exact"/>
        <w:ind w:firstLine="640" w:firstLineChars="200"/>
        <w:jc w:val="both"/>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为加快株洲市知识产权强市建设，推动专利转化运用专项行动，</w:t>
      </w:r>
      <w:r>
        <w:rPr>
          <w:rFonts w:hint="default" w:ascii="Times New Roman" w:hAnsi="Times New Roman" w:eastAsia="仿宋" w:cs="Times New Roman"/>
          <w:sz w:val="32"/>
          <w:szCs w:val="32"/>
          <w:lang w:val="en-US" w:eastAsia="zh-CN"/>
        </w:rPr>
        <w:t>贯彻</w:t>
      </w:r>
      <w:r>
        <w:rPr>
          <w:rFonts w:hint="default" w:ascii="Times New Roman" w:hAnsi="Times New Roman" w:eastAsia="仿宋" w:cs="Times New Roman"/>
          <w:sz w:val="32"/>
          <w:szCs w:val="32"/>
        </w:rPr>
        <w:t>落实《株洲市知识产权强市建设行动方案(2024-2026年)》</w:t>
      </w:r>
      <w:r>
        <w:rPr>
          <w:rFonts w:hint="default" w:ascii="Times New Roman" w:hAnsi="Times New Roman" w:eastAsia="仿宋" w:cs="Times New Roman"/>
          <w:sz w:val="32"/>
          <w:szCs w:val="32"/>
          <w:lang w:val="en-US" w:eastAsia="zh-CN"/>
        </w:rPr>
        <w:t>重点任务——健全考核评价评估体系，着眼产业、科技和企业需求，坚持高质量导向，推进重大经济科技活动知识产权分析评议，株洲市开展了系列调研工作。研究发现，当前，业内知识产权分析评议主要定义为专利分析，并对专利分析的概念进行了扩展，明确了专利分析包括专利预警、专利导航等下位概念。评议方法存在“粗枝大叶”现象，评议流程更强调专利本身的检索、分析过程。由于评议方法和评议流程细节不具体，缺乏考虑具有相关资质的第三方单位和项目承担单位的参与性，且</w:t>
      </w:r>
      <w:r>
        <w:rPr>
          <w:rFonts w:hint="default" w:ascii="Times New Roman" w:hAnsi="Times New Roman" w:eastAsia="仿宋" w:cs="Times New Roman"/>
          <w:sz w:val="32"/>
          <w:szCs w:val="32"/>
        </w:rPr>
        <w:t>未考虑商业秘密等相关知识产权</w:t>
      </w:r>
      <w:r>
        <w:rPr>
          <w:rFonts w:hint="default" w:ascii="Times New Roman" w:hAnsi="Times New Roman" w:eastAsia="仿宋" w:cs="Times New Roman"/>
          <w:sz w:val="32"/>
          <w:szCs w:val="32"/>
          <w:lang w:val="en-US" w:eastAsia="zh-CN"/>
        </w:rPr>
        <w:t>要素</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得出的评议结论往往模棱两可，进而</w:t>
      </w:r>
      <w:r>
        <w:rPr>
          <w:rFonts w:hint="default" w:ascii="Times New Roman" w:hAnsi="Times New Roman" w:eastAsia="仿宋" w:cs="Times New Roman"/>
          <w:sz w:val="32"/>
          <w:szCs w:val="32"/>
        </w:rPr>
        <w:t>很难监督评议机构的评议过程</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导致评议报告结论的科学性不足</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与株洲实际的适配性有待提升。湖南省暂无出台相关分析评议地方标准</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株洲市</w:t>
      </w:r>
      <w:r>
        <w:rPr>
          <w:rFonts w:hint="default" w:ascii="Times New Roman" w:hAnsi="Times New Roman" w:eastAsia="仿宋" w:cs="Times New Roman"/>
          <w:sz w:val="32"/>
          <w:szCs w:val="32"/>
          <w:lang w:val="en-US" w:eastAsia="zh-CN"/>
        </w:rPr>
        <w:t>当前</w:t>
      </w:r>
      <w:r>
        <w:rPr>
          <w:rFonts w:hint="default" w:ascii="Times New Roman" w:hAnsi="Times New Roman" w:eastAsia="仿宋" w:cs="Times New Roman"/>
          <w:sz w:val="32"/>
          <w:szCs w:val="32"/>
        </w:rPr>
        <w:t>缺乏有效标准引领</w:t>
      </w:r>
      <w:r>
        <w:rPr>
          <w:rFonts w:hint="default" w:ascii="Times New Roman" w:hAnsi="Times New Roman" w:eastAsia="仿宋" w:cs="Times New Roman"/>
          <w:sz w:val="32"/>
          <w:szCs w:val="32"/>
          <w:lang w:eastAsia="zh-CN"/>
        </w:rPr>
        <w:t>。</w:t>
      </w:r>
    </w:p>
    <w:p>
      <w:pPr>
        <w:widowControl/>
        <w:spacing w:line="540" w:lineRule="exact"/>
        <w:ind w:firstLine="640" w:firstLineChars="200"/>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本标准编制的主要任务是充分考虑不同评议对象特点和商业秘密、专利等知识产权要素，将三类评分依据（含项目承担单位提供的证明材料、第三方单位提供的证明材料和项目评议单位提供的知识产权检索、分析结果）及对应明细材料适配到项目评议内容的评分指标，规范评议方法和评议流程，让评议标准更具有实操性和权威性，发挥</w:t>
      </w:r>
      <w:r>
        <w:rPr>
          <w:rFonts w:hint="default" w:ascii="Times New Roman" w:hAnsi="Times New Roman" w:eastAsia="仿宋" w:cs="Times New Roman"/>
          <w:sz w:val="32"/>
          <w:szCs w:val="32"/>
        </w:rPr>
        <w:t>知识产权标准在服务</w:t>
      </w:r>
      <w:r>
        <w:rPr>
          <w:rFonts w:hint="default" w:ascii="Times New Roman" w:hAnsi="Times New Roman" w:eastAsia="仿宋" w:cs="Times New Roman"/>
          <w:sz w:val="32"/>
          <w:szCs w:val="32"/>
          <w:lang w:val="en-US" w:eastAsia="zh-CN"/>
        </w:rPr>
        <w:t>株洲</w:t>
      </w:r>
      <w:r>
        <w:rPr>
          <w:rFonts w:hint="default" w:ascii="Times New Roman" w:hAnsi="Times New Roman" w:eastAsia="仿宋" w:cs="Times New Roman"/>
          <w:sz w:val="32"/>
          <w:szCs w:val="32"/>
        </w:rPr>
        <w:t>实体经济中的引领作用。</w:t>
      </w:r>
    </w:p>
    <w:p>
      <w:pPr>
        <w:widowControl/>
        <w:spacing w:line="540" w:lineRule="exact"/>
        <w:ind w:firstLine="632" w:firstLineChars="200"/>
        <w:jc w:val="both"/>
        <w:rPr>
          <w:rFonts w:hint="default" w:ascii="Times New Roman" w:hAnsi="Times New Roman" w:eastAsia="仿宋" w:cs="Times New Roman"/>
          <w:sz w:val="32"/>
          <w:szCs w:val="32"/>
        </w:rPr>
      </w:pPr>
      <w:r>
        <w:rPr>
          <w:rFonts w:hint="default" w:ascii="Times New Roman" w:hAnsi="Times New Roman" w:eastAsia="仿宋_GB2312" w:cs="Times New Roman"/>
          <w:spacing w:val="-2"/>
          <w:sz w:val="32"/>
          <w:szCs w:val="32"/>
        </w:rPr>
        <w:t>编制工作将基于株洲市重大经济科技活动中所涉及的</w:t>
      </w:r>
      <w:r>
        <w:rPr>
          <w:rFonts w:hint="default" w:ascii="Times New Roman" w:hAnsi="Times New Roman" w:eastAsia="仿宋_GB2312" w:cs="Times New Roman"/>
          <w:spacing w:val="-2"/>
          <w:sz w:val="32"/>
          <w:szCs w:val="32"/>
          <w:lang w:val="en-US" w:eastAsia="zh-CN"/>
        </w:rPr>
        <w:t>项目</w:t>
      </w:r>
      <w:r>
        <w:rPr>
          <w:rFonts w:hint="default" w:ascii="Times New Roman" w:hAnsi="Times New Roman" w:eastAsia="仿宋_GB2312" w:cs="Times New Roman"/>
          <w:spacing w:val="-2"/>
          <w:sz w:val="32"/>
          <w:szCs w:val="32"/>
        </w:rPr>
        <w:t>评议工作</w:t>
      </w:r>
      <w:r>
        <w:rPr>
          <w:rFonts w:hint="default" w:ascii="Times New Roman" w:hAnsi="Times New Roman" w:eastAsia="仿宋_GB2312" w:cs="Times New Roman"/>
          <w:spacing w:val="-2"/>
          <w:sz w:val="32"/>
          <w:szCs w:val="32"/>
          <w:lang w:val="en-US" w:eastAsia="zh-CN"/>
        </w:rPr>
        <w:t>实践经验</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lang w:val="en-US" w:eastAsia="zh-CN"/>
        </w:rPr>
        <w:t>结合</w:t>
      </w:r>
      <w:r>
        <w:rPr>
          <w:rFonts w:hint="default" w:ascii="Times New Roman" w:hAnsi="Times New Roman" w:eastAsia="仿宋_GB2312" w:cs="Times New Roman"/>
          <w:spacing w:val="-2"/>
          <w:sz w:val="32"/>
          <w:szCs w:val="32"/>
        </w:rPr>
        <w:t>湖南省地方标准《专利价值评估指南》</w:t>
      </w:r>
      <w:r>
        <w:rPr>
          <w:rFonts w:hint="default" w:ascii="Times New Roman" w:hAnsi="Times New Roman" w:eastAsia="仿宋_GB2312" w:cs="Times New Roman"/>
          <w:spacing w:val="-2"/>
          <w:sz w:val="32"/>
          <w:szCs w:val="32"/>
          <w:lang w:val="en-US" w:eastAsia="zh-CN"/>
        </w:rPr>
        <w:t>、株洲市</w:t>
      </w:r>
      <w:r>
        <w:rPr>
          <w:rFonts w:hint="default" w:ascii="Times New Roman" w:hAnsi="Times New Roman" w:eastAsia="仿宋" w:cs="Times New Roman"/>
          <w:sz w:val="32"/>
          <w:szCs w:val="32"/>
        </w:rPr>
        <w:t>知识产权质押融资工作中的专利评估应用</w:t>
      </w:r>
      <w:r>
        <w:rPr>
          <w:rFonts w:hint="default" w:ascii="Times New Roman" w:hAnsi="Times New Roman" w:eastAsia="仿宋" w:cs="Times New Roman"/>
          <w:sz w:val="32"/>
          <w:szCs w:val="32"/>
          <w:lang w:val="en-US" w:eastAsia="zh-CN"/>
        </w:rPr>
        <w:t>经验</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通过标准评议体系的理论创新、评议方法和评议流程创新</w:t>
      </w:r>
      <w:r>
        <w:rPr>
          <w:rFonts w:hint="default" w:ascii="Times New Roman" w:hAnsi="Times New Roman" w:eastAsia="仿宋" w:cs="Times New Roman"/>
          <w:sz w:val="32"/>
          <w:szCs w:val="32"/>
        </w:rPr>
        <w:t>形成</w:t>
      </w:r>
      <w:r>
        <w:rPr>
          <w:rFonts w:hint="default" w:ascii="Times New Roman" w:hAnsi="Times New Roman" w:eastAsia="仿宋" w:cs="Times New Roman"/>
          <w:sz w:val="32"/>
          <w:szCs w:val="32"/>
          <w:lang w:val="en-US" w:eastAsia="zh-CN"/>
        </w:rPr>
        <w:t>株洲市</w:t>
      </w:r>
      <w:r>
        <w:rPr>
          <w:rFonts w:hint="default" w:ascii="Times New Roman" w:hAnsi="Times New Roman" w:eastAsia="仿宋" w:cs="Times New Roman"/>
          <w:sz w:val="32"/>
          <w:szCs w:val="32"/>
        </w:rPr>
        <w:t>地方标准《重大经济科技活动知识产权分析评议技术规范》。</w:t>
      </w:r>
    </w:p>
    <w:p>
      <w:pPr>
        <w:tabs>
          <w:tab w:val="right" w:pos="8312"/>
        </w:tabs>
        <w:spacing w:before="156" w:beforeLines="50" w:after="156" w:afterLines="50" w:line="540" w:lineRule="exact"/>
        <w:rPr>
          <w:rFonts w:hint="default" w:ascii="Times New Roman" w:hAnsi="Times New Roman" w:eastAsia="仿宋" w:cs="Times New Roman"/>
          <w:b/>
          <w:bCs/>
          <w:sz w:val="32"/>
          <w:szCs w:val="32"/>
          <w:lang w:eastAsia="zh-CN"/>
        </w:rPr>
      </w:pPr>
      <w:r>
        <w:rPr>
          <w:rFonts w:hint="default" w:ascii="Times New Roman" w:hAnsi="Times New Roman" w:eastAsia="仿宋" w:cs="Times New Roman"/>
          <w:b/>
          <w:bCs/>
          <w:sz w:val="32"/>
          <w:szCs w:val="32"/>
        </w:rPr>
        <w:t>二、标准制定的目的和意义</w:t>
      </w:r>
      <w:r>
        <w:rPr>
          <w:rFonts w:hint="default" w:ascii="Times New Roman" w:hAnsi="Times New Roman" w:eastAsia="仿宋" w:cs="Times New Roman"/>
          <w:b/>
          <w:bCs/>
          <w:sz w:val="32"/>
          <w:szCs w:val="32"/>
          <w:lang w:eastAsia="zh-CN"/>
        </w:rPr>
        <w:tab/>
      </w:r>
    </w:p>
    <w:p>
      <w:pPr>
        <w:numPr>
          <w:ilvl w:val="0"/>
          <w:numId w:val="0"/>
        </w:numPr>
        <w:spacing w:line="54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本标准制定将有助于提升株洲市在全国知识产权领域的影响力。通过制定具有普适性和权威性的地方标准，株洲市将在知识产权分析评议领域树立起自己的技术规范标杆，成为全国极少数拥有自身知识产权评议技术标准的城市，为株洲市乃至全国范围内的知识产权工作提供了有力支撑。</w:t>
      </w:r>
    </w:p>
    <w:p>
      <w:pPr>
        <w:numPr>
          <w:ilvl w:val="0"/>
          <w:numId w:val="0"/>
        </w:numPr>
        <w:spacing w:line="54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本标准制定将有助于推动株洲市的产业升级和经济高质量发展。通过建立重大经济科技活动知识产权分析评议体系，制定科学合理的评议内容、评议方法和标准化的评议流程，为评议相关各方提供知识产权创造、运用、保护和管理方向指引，有利于筛选高价值、低风险项目，识别企业重大项目的创新能力水平，促进地区产业结构优化升级，实现经济高质量发展。</w:t>
      </w:r>
    </w:p>
    <w:p>
      <w:pPr>
        <w:numPr>
          <w:ilvl w:val="0"/>
          <w:numId w:val="0"/>
        </w:numPr>
        <w:spacing w:line="54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本标准制定将促进株洲市知识产权分析评议工作的规范化。由于全国各地产业发展水平不尽相同，知识产权评议的需求各异，现存标准与株洲市产业实际情况往往存在较大不适配性，标准呼应了技术创新主体、服务机构、政府等单位的评议需求，定量与定性相结合的评议结论有利于提高工作效率，减少人为干预，进一步保障知识产权工作的公正、公平和科学性。</w:t>
      </w:r>
    </w:p>
    <w:p>
      <w:pPr>
        <w:spacing w:before="156" w:beforeLines="50" w:after="156" w:afterLines="50" w:line="540" w:lineRule="exac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三、编制原则和依据</w:t>
      </w:r>
    </w:p>
    <w:p>
      <w:pPr>
        <w:spacing w:line="540" w:lineRule="exact"/>
        <w:ind w:firstLine="642" w:firstLineChars="200"/>
        <w:outlineLvl w:val="1"/>
        <w:rPr>
          <w:rFonts w:hint="default" w:ascii="Times New Roman" w:hAnsi="Times New Roman" w:eastAsia="仿宋" w:cs="Times New Roman"/>
          <w:b/>
          <w:bCs/>
          <w:kern w:val="0"/>
          <w:sz w:val="32"/>
          <w:szCs w:val="32"/>
          <w:lang w:val="en-US" w:eastAsia="zh-CN"/>
        </w:rPr>
      </w:pPr>
      <w:r>
        <w:rPr>
          <w:rFonts w:hint="default" w:ascii="Times New Roman" w:hAnsi="Times New Roman" w:eastAsia="仿宋" w:cs="Times New Roman"/>
          <w:b/>
          <w:bCs/>
          <w:kern w:val="0"/>
          <w:sz w:val="32"/>
          <w:szCs w:val="32"/>
          <w:lang w:eastAsia="zh-CN"/>
        </w:rPr>
        <w:t>（</w:t>
      </w:r>
      <w:r>
        <w:rPr>
          <w:rFonts w:hint="default" w:ascii="Times New Roman" w:hAnsi="Times New Roman" w:eastAsia="仿宋" w:cs="Times New Roman"/>
          <w:b/>
          <w:bCs/>
          <w:kern w:val="0"/>
          <w:sz w:val="32"/>
          <w:szCs w:val="32"/>
          <w:lang w:val="en-US" w:eastAsia="zh-CN"/>
        </w:rPr>
        <w:t>一</w:t>
      </w:r>
      <w:r>
        <w:rPr>
          <w:rFonts w:hint="default" w:ascii="Times New Roman" w:hAnsi="Times New Roman" w:eastAsia="仿宋" w:cs="Times New Roman"/>
          <w:b/>
          <w:bCs/>
          <w:kern w:val="0"/>
          <w:sz w:val="32"/>
          <w:szCs w:val="32"/>
          <w:lang w:eastAsia="zh-CN"/>
        </w:rPr>
        <w:t>）</w:t>
      </w:r>
      <w:r>
        <w:rPr>
          <w:rFonts w:hint="default" w:ascii="Times New Roman" w:hAnsi="Times New Roman" w:eastAsia="仿宋" w:cs="Times New Roman"/>
          <w:b/>
          <w:bCs/>
          <w:kern w:val="0"/>
          <w:sz w:val="32"/>
          <w:szCs w:val="32"/>
          <w:lang w:val="en-US" w:eastAsia="zh-CN"/>
        </w:rPr>
        <w:t>编制原则</w:t>
      </w:r>
    </w:p>
    <w:p>
      <w:pPr>
        <w:spacing w:line="540" w:lineRule="exact"/>
        <w:ind w:firstLine="642" w:firstLineChars="200"/>
        <w:outlineLvl w:val="1"/>
        <w:rPr>
          <w:rFonts w:hint="default" w:ascii="Times New Roman" w:hAnsi="Times New Roman" w:eastAsia="仿宋" w:cs="Times New Roman"/>
          <w:b w:val="0"/>
          <w:bCs w:val="0"/>
          <w:kern w:val="0"/>
          <w:sz w:val="32"/>
          <w:szCs w:val="32"/>
          <w:lang w:val="en-US" w:eastAsia="zh-CN"/>
        </w:rPr>
      </w:pPr>
      <w:r>
        <w:rPr>
          <w:rFonts w:hint="default" w:ascii="Times New Roman" w:hAnsi="Times New Roman" w:eastAsia="仿宋" w:cs="Times New Roman"/>
          <w:b/>
          <w:bCs/>
          <w:sz w:val="32"/>
          <w:szCs w:val="32"/>
          <w:lang w:val="en-US" w:eastAsia="zh-CN"/>
        </w:rPr>
        <w:t>1.客观公正、科学规范。</w:t>
      </w:r>
      <w:r>
        <w:rPr>
          <w:rFonts w:hint="default" w:ascii="Times New Roman" w:hAnsi="Times New Roman" w:eastAsia="仿宋" w:cs="Times New Roman"/>
          <w:sz w:val="32"/>
          <w:szCs w:val="32"/>
        </w:rPr>
        <w:t>按照GB/T</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1.1-2020《标准化工作导则 第1部分：标准化文件的结构和起草规则》要求进行编写。</w:t>
      </w:r>
      <w:r>
        <w:rPr>
          <w:rFonts w:hint="default" w:ascii="Times New Roman" w:hAnsi="Times New Roman" w:eastAsia="仿宋" w:cs="Times New Roman"/>
          <w:sz w:val="32"/>
          <w:szCs w:val="32"/>
          <w:lang w:val="en-US" w:eastAsia="zh-CN"/>
        </w:rPr>
        <w:t>本文件所参照的其他标准均为现行有效标准，标准编制过程中设置的评议内容、评议指标和评议方法等内容符合国家及有关部门法规及文件的规定</w:t>
      </w:r>
      <w:r>
        <w:rPr>
          <w:rFonts w:hint="default" w:ascii="Times New Roman" w:hAnsi="Times New Roman" w:eastAsia="仿宋" w:cs="Times New Roman"/>
          <w:b w:val="0"/>
          <w:bCs w:val="0"/>
          <w:kern w:val="0"/>
          <w:sz w:val="32"/>
          <w:szCs w:val="32"/>
          <w:lang w:val="en-US" w:eastAsia="zh-CN"/>
        </w:rPr>
        <w:t>。</w:t>
      </w:r>
    </w:p>
    <w:p>
      <w:pPr>
        <w:spacing w:line="540" w:lineRule="exact"/>
        <w:ind w:firstLine="642" w:firstLineChars="200"/>
        <w:outlineLvl w:val="1"/>
        <w:rPr>
          <w:rFonts w:hint="default" w:ascii="Times New Roman" w:hAnsi="Times New Roman" w:eastAsia="仿宋" w:cs="Times New Roman"/>
          <w:b w:val="0"/>
          <w:bCs w:val="0"/>
          <w:kern w:val="0"/>
          <w:sz w:val="32"/>
          <w:szCs w:val="32"/>
          <w:lang w:val="en-US" w:eastAsia="zh-CN"/>
        </w:rPr>
      </w:pPr>
      <w:r>
        <w:rPr>
          <w:rFonts w:hint="default" w:ascii="Times New Roman" w:hAnsi="Times New Roman" w:eastAsia="仿宋" w:cs="Times New Roman"/>
          <w:b/>
          <w:bCs/>
          <w:kern w:val="0"/>
          <w:sz w:val="32"/>
          <w:szCs w:val="32"/>
          <w:lang w:val="en-US" w:eastAsia="zh-CN"/>
        </w:rPr>
        <w:t>2.紧扣需求、注重实效。</w:t>
      </w:r>
      <w:r>
        <w:rPr>
          <w:rFonts w:hint="default" w:ascii="Times New Roman" w:hAnsi="Times New Roman" w:eastAsia="仿宋" w:cs="Times New Roman"/>
          <w:b w:val="0"/>
          <w:bCs w:val="0"/>
          <w:kern w:val="0"/>
          <w:sz w:val="32"/>
          <w:szCs w:val="32"/>
          <w:lang w:val="en-US" w:eastAsia="zh-CN"/>
        </w:rPr>
        <w:t>编制标准前期开展了大量国内外知识产权分析评议现状调研，围绕株洲重大经济科技活动需求特点开展分析，坚持需求导向，根据不同项目特点开展分类评议，评议流程上注重评议内容得分、评</w:t>
      </w:r>
      <w:r>
        <w:rPr>
          <w:rFonts w:hint="eastAsia" w:ascii="Times New Roman" w:hAnsi="Times New Roman" w:eastAsia="仿宋" w:cs="Times New Roman"/>
          <w:b w:val="0"/>
          <w:bCs w:val="0"/>
          <w:kern w:val="0"/>
          <w:sz w:val="32"/>
          <w:szCs w:val="32"/>
          <w:lang w:val="en-US" w:eastAsia="zh-CN"/>
        </w:rPr>
        <w:t>分</w:t>
      </w:r>
      <w:r>
        <w:rPr>
          <w:rFonts w:hint="default" w:ascii="Times New Roman" w:hAnsi="Times New Roman" w:eastAsia="仿宋" w:cs="Times New Roman"/>
          <w:b w:val="0"/>
          <w:bCs w:val="0"/>
          <w:kern w:val="0"/>
          <w:sz w:val="32"/>
          <w:szCs w:val="32"/>
          <w:lang w:val="en-US" w:eastAsia="zh-CN"/>
        </w:rPr>
        <w:t>权重和综合评分、知识产权风险等级等判定方法的前后逻辑关系，项目评议意见判定方法上注重评议的实际效果。</w:t>
      </w:r>
    </w:p>
    <w:p>
      <w:pPr>
        <w:spacing w:line="540" w:lineRule="exact"/>
        <w:ind w:firstLine="642" w:firstLineChars="200"/>
        <w:outlineLvl w:val="1"/>
        <w:rPr>
          <w:rFonts w:hint="default" w:ascii="Times New Roman" w:hAnsi="Times New Roman" w:eastAsia="仿宋" w:cs="Times New Roman"/>
          <w:b/>
          <w:bCs/>
          <w:kern w:val="0"/>
          <w:sz w:val="32"/>
          <w:szCs w:val="32"/>
          <w:lang w:val="en-US" w:eastAsia="zh-CN"/>
        </w:rPr>
      </w:pPr>
      <w:r>
        <w:rPr>
          <w:rFonts w:hint="default" w:ascii="Times New Roman" w:hAnsi="Times New Roman" w:eastAsia="仿宋" w:cs="Times New Roman"/>
          <w:b/>
          <w:bCs/>
          <w:kern w:val="0"/>
          <w:sz w:val="32"/>
          <w:szCs w:val="32"/>
          <w:lang w:eastAsia="zh-CN"/>
        </w:rPr>
        <w:t>（</w:t>
      </w:r>
      <w:r>
        <w:rPr>
          <w:rFonts w:hint="default" w:ascii="Times New Roman" w:hAnsi="Times New Roman" w:eastAsia="仿宋" w:cs="Times New Roman"/>
          <w:b/>
          <w:bCs/>
          <w:kern w:val="0"/>
          <w:sz w:val="32"/>
          <w:szCs w:val="32"/>
          <w:lang w:val="en-US" w:eastAsia="zh-CN"/>
        </w:rPr>
        <w:t>二</w:t>
      </w:r>
      <w:r>
        <w:rPr>
          <w:rFonts w:hint="default" w:ascii="Times New Roman" w:hAnsi="Times New Roman" w:eastAsia="仿宋" w:cs="Times New Roman"/>
          <w:b/>
          <w:bCs/>
          <w:kern w:val="0"/>
          <w:sz w:val="32"/>
          <w:szCs w:val="32"/>
          <w:lang w:eastAsia="zh-CN"/>
        </w:rPr>
        <w:t>）</w:t>
      </w:r>
      <w:r>
        <w:rPr>
          <w:rFonts w:hint="default" w:ascii="Times New Roman" w:hAnsi="Times New Roman" w:eastAsia="仿宋" w:cs="Times New Roman"/>
          <w:b/>
          <w:bCs/>
          <w:kern w:val="0"/>
          <w:sz w:val="32"/>
          <w:szCs w:val="32"/>
          <w:lang w:val="en-US" w:eastAsia="zh-CN"/>
        </w:rPr>
        <w:t>编制依据</w:t>
      </w:r>
    </w:p>
    <w:p>
      <w:pPr>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在</w:t>
      </w:r>
      <w:r>
        <w:rPr>
          <w:rFonts w:hint="default" w:ascii="Times New Roman" w:hAnsi="Times New Roman" w:eastAsia="仿宋" w:cs="Times New Roman"/>
          <w:sz w:val="32"/>
          <w:szCs w:val="32"/>
        </w:rPr>
        <w:t>国家</w:t>
      </w:r>
      <w:r>
        <w:rPr>
          <w:rFonts w:hint="default" w:ascii="Times New Roman" w:hAnsi="Times New Roman" w:eastAsia="仿宋" w:cs="Times New Roman"/>
          <w:sz w:val="32"/>
          <w:szCs w:val="32"/>
          <w:lang w:val="en-US" w:eastAsia="zh-CN"/>
        </w:rPr>
        <w:t>层面，主要</w:t>
      </w:r>
      <w:r>
        <w:rPr>
          <w:rFonts w:hint="default" w:ascii="Times New Roman" w:hAnsi="Times New Roman" w:eastAsia="仿宋" w:cs="Times New Roman"/>
          <w:sz w:val="32"/>
          <w:szCs w:val="32"/>
        </w:rPr>
        <w:t>依据中共中央、国务院印发的《知识产权强国建设纲要(2021-2035年)》</w:t>
      </w:r>
      <w:r>
        <w:rPr>
          <w:rFonts w:hint="default" w:ascii="Times New Roman" w:hAnsi="Times New Roman" w:eastAsia="仿宋" w:cs="Times New Roman"/>
          <w:sz w:val="32"/>
          <w:szCs w:val="32"/>
          <w:lang w:val="en-US" w:eastAsia="zh-CN"/>
        </w:rPr>
        <w:t>和国家知识产权局发布的</w:t>
      </w:r>
      <w:r>
        <w:rPr>
          <w:rFonts w:hint="default" w:ascii="Times New Roman" w:hAnsi="Times New Roman" w:eastAsia="仿宋" w:cs="Times New Roman"/>
          <w:sz w:val="32"/>
          <w:szCs w:val="32"/>
        </w:rPr>
        <w:t>《知识产权分析评议工作指南》</w:t>
      </w:r>
      <w:r>
        <w:rPr>
          <w:rFonts w:hint="default" w:ascii="Times New Roman" w:hAnsi="Times New Roman" w:eastAsia="仿宋" w:cs="Times New Roman"/>
          <w:sz w:val="32"/>
          <w:szCs w:val="32"/>
          <w:lang w:val="en-US" w:eastAsia="zh-CN"/>
        </w:rPr>
        <w:t>等文件精神</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在湖南省及株洲市层面，主要依据</w:t>
      </w:r>
      <w:r>
        <w:rPr>
          <w:rFonts w:hint="default" w:ascii="Times New Roman" w:hAnsi="Times New Roman" w:eastAsia="仿宋" w:cs="Times New Roman"/>
          <w:sz w:val="32"/>
          <w:szCs w:val="32"/>
        </w:rPr>
        <w:t>湖南省市场监督管理局、湖南省发展和改革委员会印发的《湖南省“十四五”知识产权事业发展规划》</w:t>
      </w:r>
      <w:r>
        <w:rPr>
          <w:rFonts w:hint="default" w:ascii="Times New Roman" w:hAnsi="Times New Roman" w:eastAsia="仿宋" w:cs="Times New Roman"/>
          <w:sz w:val="32"/>
          <w:szCs w:val="32"/>
          <w:lang w:eastAsia="zh-CN"/>
        </w:rPr>
        <w:t>、湖南省第十三届人民代表大会常务委员会</w:t>
      </w:r>
      <w:r>
        <w:rPr>
          <w:rFonts w:hint="default" w:ascii="Times New Roman" w:hAnsi="Times New Roman" w:eastAsia="仿宋" w:cs="Times New Roman"/>
          <w:sz w:val="32"/>
          <w:szCs w:val="32"/>
          <w:lang w:val="en-US" w:eastAsia="zh-CN"/>
        </w:rPr>
        <w:t>发布的</w:t>
      </w:r>
      <w:r>
        <w:rPr>
          <w:rFonts w:hint="default" w:ascii="Times New Roman" w:hAnsi="Times New Roman" w:eastAsia="仿宋" w:cs="Times New Roman"/>
          <w:sz w:val="32"/>
          <w:szCs w:val="32"/>
        </w:rPr>
        <w:t>《湖南省知识产权保护和促进条例》</w:t>
      </w:r>
      <w:r>
        <w:rPr>
          <w:rFonts w:hint="default" w:ascii="Times New Roman" w:hAnsi="Times New Roman" w:eastAsia="仿宋" w:cs="Times New Roman"/>
          <w:sz w:val="32"/>
          <w:szCs w:val="32"/>
          <w:lang w:eastAsia="zh-CN"/>
        </w:rPr>
        <w:t>、株洲市市场监督管理局</w:t>
      </w:r>
      <w:r>
        <w:rPr>
          <w:rFonts w:hint="default" w:ascii="Times New Roman" w:hAnsi="Times New Roman" w:eastAsia="仿宋" w:cs="Times New Roman"/>
          <w:sz w:val="32"/>
          <w:szCs w:val="32"/>
          <w:lang w:val="en-US" w:eastAsia="zh-CN"/>
        </w:rPr>
        <w:t>发布的</w:t>
      </w:r>
      <w:r>
        <w:rPr>
          <w:rFonts w:hint="default" w:ascii="Times New Roman" w:hAnsi="Times New Roman" w:eastAsia="仿宋" w:cs="Times New Roman"/>
          <w:sz w:val="32"/>
          <w:szCs w:val="32"/>
        </w:rPr>
        <w:t>《株洲市实施知识产权战略行动计划(2021-2025年)》和《株洲市知识产权强市建设行动方案（2024-2026年）》等文件</w:t>
      </w:r>
      <w:r>
        <w:rPr>
          <w:rFonts w:hint="default" w:ascii="Times New Roman" w:hAnsi="Times New Roman" w:eastAsia="仿宋" w:cs="Times New Roman"/>
          <w:sz w:val="32"/>
          <w:szCs w:val="32"/>
          <w:lang w:val="en-US" w:eastAsia="zh-CN"/>
        </w:rPr>
        <w:t>精神</w:t>
      </w:r>
      <w:r>
        <w:rPr>
          <w:rFonts w:hint="default" w:ascii="Times New Roman" w:hAnsi="Times New Roman" w:eastAsia="仿宋" w:cs="Times New Roman"/>
          <w:sz w:val="32"/>
          <w:szCs w:val="32"/>
        </w:rPr>
        <w:t>。</w:t>
      </w:r>
    </w:p>
    <w:p>
      <w:pPr>
        <w:spacing w:before="156" w:beforeLines="50" w:after="156" w:afterLines="50" w:line="540" w:lineRule="exac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四、我国有关法律法规和标准关系的情况说明</w:t>
      </w:r>
    </w:p>
    <w:p>
      <w:pPr>
        <w:numPr>
          <w:ilvl w:val="0"/>
          <w:numId w:val="0"/>
        </w:numPr>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本文件的编写严格遵循《中华人民共和国标准化法》</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《湖南省知识产权保护和促进条例》等我国有关的法律法规、部门规章和文件的规定及要求。标准编写遵循GB/T</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1.1-2020《标准化工作导则 第1部分：标准化文件的结构和起草规则》要求。在技术内容的选取上，结合参考了众多的</w:t>
      </w:r>
      <w:r>
        <w:rPr>
          <w:rFonts w:hint="default" w:ascii="Times New Roman" w:hAnsi="Times New Roman" w:eastAsia="仿宋" w:cs="Times New Roman"/>
          <w:sz w:val="32"/>
          <w:szCs w:val="32"/>
          <w:lang w:val="en-US" w:eastAsia="zh-CN"/>
        </w:rPr>
        <w:t>现存标准、指南和管理办法</w:t>
      </w:r>
      <w:r>
        <w:rPr>
          <w:rFonts w:hint="default" w:ascii="Times New Roman" w:hAnsi="Times New Roman" w:eastAsia="仿宋" w:cs="Times New Roman"/>
          <w:sz w:val="32"/>
          <w:szCs w:val="32"/>
        </w:rPr>
        <w:t>文件</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追求规范性技术要素和技术指标选取科学合理、有据可依。规范性引用文件包括：</w:t>
      </w:r>
    </w:p>
    <w:p>
      <w:pPr>
        <w:pStyle w:val="16"/>
        <w:spacing w:line="540" w:lineRule="exact"/>
        <w:ind w:firstLine="640"/>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GB/T 37286-2019 知识产权分析评议服务 服务规范</w:t>
      </w:r>
    </w:p>
    <w:p>
      <w:pPr>
        <w:spacing w:before="156" w:beforeLines="50" w:after="156" w:afterLines="50" w:line="540" w:lineRule="exac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五、编制过程</w:t>
      </w:r>
    </w:p>
    <w:p>
      <w:pPr>
        <w:spacing w:line="540" w:lineRule="exact"/>
        <w:ind w:firstLine="642" w:firstLineChars="200"/>
        <w:outlineLvl w:val="1"/>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（一）前期调研</w:t>
      </w:r>
    </w:p>
    <w:p>
      <w:pPr>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rPr>
        <w:t>月，株洲市市场监督管理局牵头启动了标准预研工作，湖南省知识产权交易中心和湖南省标准化协会筹划成立了标准起草组，并制定了工作计划，明确了起草组成员和分工，通过调研、会议座谈和搜集资料等方式，全面整理和分析专利价值评估相关政策法规、国家、行业、地方标准等文件，经多次研究、讨论，初步确定了标准主要框架，向株洲市市场监督管理局申请立项。（起草单位成员名单见表1）</w:t>
      </w:r>
    </w:p>
    <w:p>
      <w:pPr>
        <w:adjustRightInd w:val="0"/>
        <w:snapToGrid w:val="0"/>
        <w:spacing w:line="540" w:lineRule="exact"/>
        <w:ind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表1 起草组成员名单</w:t>
      </w:r>
    </w:p>
    <w:tbl>
      <w:tblPr>
        <w:tblStyle w:val="8"/>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169"/>
        <w:gridCol w:w="3521"/>
        <w:gridCol w:w="2556"/>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19"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序号</w:t>
            </w:r>
          </w:p>
        </w:tc>
        <w:tc>
          <w:tcPr>
            <w:tcW w:w="1169"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姓名</w:t>
            </w:r>
          </w:p>
        </w:tc>
        <w:tc>
          <w:tcPr>
            <w:tcW w:w="3521"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单位</w:t>
            </w:r>
          </w:p>
        </w:tc>
        <w:tc>
          <w:tcPr>
            <w:tcW w:w="2556"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专业</w:t>
            </w:r>
          </w:p>
        </w:tc>
        <w:tc>
          <w:tcPr>
            <w:tcW w:w="2065"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项目任务分工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19"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val="en-US" w:eastAsia="zh-CN"/>
              </w:rPr>
              <w:t>1</w:t>
            </w:r>
          </w:p>
        </w:tc>
        <w:tc>
          <w:tcPr>
            <w:tcW w:w="1169"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吴  勤</w:t>
            </w:r>
          </w:p>
        </w:tc>
        <w:tc>
          <w:tcPr>
            <w:tcW w:w="3521"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湖南省知识产权交易中心有限公司</w:t>
            </w:r>
          </w:p>
        </w:tc>
        <w:tc>
          <w:tcPr>
            <w:tcW w:w="2556"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position w:val="6"/>
                <w:sz w:val="28"/>
                <w:szCs w:val="28"/>
                <w:lang w:val="en-US" w:eastAsia="zh-CN"/>
              </w:rPr>
              <w:t>知识产权</w:t>
            </w:r>
            <w:r>
              <w:rPr>
                <w:rFonts w:hint="default" w:ascii="Times New Roman" w:hAnsi="Times New Roman" w:eastAsia="仿宋" w:cs="Times New Roman"/>
                <w:position w:val="6"/>
                <w:sz w:val="28"/>
                <w:szCs w:val="28"/>
              </w:rPr>
              <w:t>战略研究</w:t>
            </w:r>
          </w:p>
        </w:tc>
        <w:tc>
          <w:tcPr>
            <w:tcW w:w="2065"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标准总</w:t>
            </w:r>
            <w:r>
              <w:rPr>
                <w:rFonts w:hint="default" w:ascii="Times New Roman" w:hAnsi="Times New Roman" w:eastAsia="仿宋" w:cs="Times New Roman"/>
                <w:sz w:val="28"/>
                <w:szCs w:val="28"/>
              </w:rPr>
              <w:t>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19" w:type="dxa"/>
            <w:shd w:val="clear" w:color="auto" w:fill="auto"/>
            <w:vAlign w:val="center"/>
          </w:tcPr>
          <w:p>
            <w:pPr>
              <w:adjustRightInd w:val="0"/>
              <w:snapToGrid w:val="0"/>
              <w:spacing w:line="500" w:lineRule="exact"/>
              <w:jc w:val="center"/>
              <w:rPr>
                <w:rFonts w:hint="default" w:ascii="Times New Roman" w:hAnsi="Times New Roman" w:eastAsia="仿宋" w:cs="Times New Roman"/>
                <w:kern w:val="2"/>
                <w:sz w:val="28"/>
                <w:szCs w:val="28"/>
                <w:lang w:val="en-US" w:eastAsia="zh-CN" w:bidi="ar-SA"/>
              </w:rPr>
            </w:pPr>
            <w:r>
              <w:rPr>
                <w:rFonts w:hint="eastAsia" w:ascii="Times New Roman" w:hAnsi="Times New Roman" w:eastAsia="仿宋" w:cs="Times New Roman"/>
                <w:sz w:val="28"/>
                <w:szCs w:val="28"/>
                <w:lang w:val="en-US" w:eastAsia="zh-CN"/>
              </w:rPr>
              <w:t>2</w:t>
            </w:r>
          </w:p>
        </w:tc>
        <w:tc>
          <w:tcPr>
            <w:tcW w:w="1169" w:type="dxa"/>
            <w:shd w:val="clear" w:color="auto" w:fill="auto"/>
            <w:vAlign w:val="center"/>
          </w:tcPr>
          <w:p>
            <w:pPr>
              <w:adjustRightInd w:val="0"/>
              <w:snapToGrid w:val="0"/>
              <w:spacing w:line="500" w:lineRule="exact"/>
              <w:jc w:val="center"/>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sz w:val="28"/>
                <w:szCs w:val="28"/>
              </w:rPr>
              <w:t>甄  彧</w:t>
            </w:r>
          </w:p>
        </w:tc>
        <w:tc>
          <w:tcPr>
            <w:tcW w:w="3521" w:type="dxa"/>
            <w:shd w:val="clear" w:color="auto" w:fill="auto"/>
            <w:vAlign w:val="center"/>
          </w:tcPr>
          <w:p>
            <w:pPr>
              <w:adjustRightInd w:val="0"/>
              <w:snapToGrid w:val="0"/>
              <w:spacing w:line="500" w:lineRule="exact"/>
              <w:jc w:val="center"/>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sz w:val="28"/>
                <w:szCs w:val="28"/>
              </w:rPr>
              <w:t>湖南省知识产权交易中心有限公司</w:t>
            </w:r>
          </w:p>
        </w:tc>
        <w:tc>
          <w:tcPr>
            <w:tcW w:w="2556" w:type="dxa"/>
            <w:shd w:val="clear" w:color="auto" w:fill="auto"/>
            <w:vAlign w:val="center"/>
          </w:tcPr>
          <w:p>
            <w:pPr>
              <w:adjustRightInd w:val="0"/>
              <w:snapToGrid w:val="0"/>
              <w:spacing w:line="500" w:lineRule="exact"/>
              <w:jc w:val="center"/>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position w:val="6"/>
                <w:sz w:val="28"/>
                <w:szCs w:val="28"/>
              </w:rPr>
              <w:t>知识产权咨询研究</w:t>
            </w:r>
          </w:p>
        </w:tc>
        <w:tc>
          <w:tcPr>
            <w:tcW w:w="2065" w:type="dxa"/>
            <w:shd w:val="clear" w:color="auto" w:fill="auto"/>
            <w:vAlign w:val="center"/>
          </w:tcPr>
          <w:p>
            <w:pPr>
              <w:adjustRightInd w:val="0"/>
              <w:snapToGrid w:val="0"/>
              <w:spacing w:line="500" w:lineRule="exact"/>
              <w:jc w:val="center"/>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sz w:val="28"/>
                <w:szCs w:val="28"/>
                <w:lang w:val="en-US" w:eastAsia="zh-CN"/>
              </w:rPr>
              <w:t>标准</w:t>
            </w:r>
            <w:r>
              <w:rPr>
                <w:rFonts w:hint="default" w:ascii="Times New Roman" w:hAnsi="Times New Roman" w:eastAsia="仿宋" w:cs="Times New Roman"/>
                <w:sz w:val="28"/>
                <w:szCs w:val="28"/>
              </w:rPr>
              <w:t>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819" w:type="dxa"/>
            <w:shd w:val="clear" w:color="auto" w:fill="auto"/>
            <w:vAlign w:val="center"/>
          </w:tcPr>
          <w:p>
            <w:pPr>
              <w:adjustRightInd w:val="0"/>
              <w:snapToGrid w:val="0"/>
              <w:spacing w:line="500" w:lineRule="exact"/>
              <w:jc w:val="center"/>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sz w:val="28"/>
                <w:szCs w:val="28"/>
                <w:lang w:val="en-US" w:eastAsia="zh-CN"/>
              </w:rPr>
              <w:t>3</w:t>
            </w:r>
          </w:p>
        </w:tc>
        <w:tc>
          <w:tcPr>
            <w:tcW w:w="1169" w:type="dxa"/>
            <w:shd w:val="clear" w:color="auto" w:fill="auto"/>
            <w:vAlign w:val="center"/>
          </w:tcPr>
          <w:p>
            <w:pPr>
              <w:adjustRightInd w:val="0"/>
              <w:snapToGrid w:val="0"/>
              <w:spacing w:line="500" w:lineRule="exact"/>
              <w:jc w:val="center"/>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sz w:val="28"/>
                <w:szCs w:val="28"/>
              </w:rPr>
              <w:t>李文龙</w:t>
            </w:r>
          </w:p>
        </w:tc>
        <w:tc>
          <w:tcPr>
            <w:tcW w:w="3521" w:type="dxa"/>
            <w:shd w:val="clear" w:color="auto" w:fill="auto"/>
            <w:vAlign w:val="center"/>
          </w:tcPr>
          <w:p>
            <w:pPr>
              <w:adjustRightInd w:val="0"/>
              <w:snapToGrid w:val="0"/>
              <w:spacing w:line="500" w:lineRule="exact"/>
              <w:jc w:val="center"/>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sz w:val="28"/>
                <w:szCs w:val="28"/>
              </w:rPr>
              <w:t>湖南省知识产权交易中心有限公司</w:t>
            </w:r>
          </w:p>
        </w:tc>
        <w:tc>
          <w:tcPr>
            <w:tcW w:w="2556" w:type="dxa"/>
            <w:shd w:val="clear" w:color="auto" w:fill="auto"/>
            <w:vAlign w:val="center"/>
          </w:tcPr>
          <w:p>
            <w:pPr>
              <w:adjustRightInd w:val="0"/>
              <w:snapToGrid w:val="0"/>
              <w:spacing w:line="500" w:lineRule="exact"/>
              <w:jc w:val="center"/>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position w:val="6"/>
                <w:sz w:val="28"/>
                <w:szCs w:val="28"/>
              </w:rPr>
              <w:t>知识产权运营研究</w:t>
            </w:r>
          </w:p>
        </w:tc>
        <w:tc>
          <w:tcPr>
            <w:tcW w:w="2065" w:type="dxa"/>
            <w:shd w:val="clear" w:color="auto" w:fill="auto"/>
            <w:vAlign w:val="center"/>
          </w:tcPr>
          <w:p>
            <w:pPr>
              <w:adjustRightInd w:val="0"/>
              <w:snapToGrid w:val="0"/>
              <w:spacing w:line="500" w:lineRule="exact"/>
              <w:jc w:val="center"/>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sz w:val="28"/>
                <w:szCs w:val="28"/>
              </w:rPr>
              <w:t>标准研制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819"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4</w:t>
            </w:r>
          </w:p>
        </w:tc>
        <w:tc>
          <w:tcPr>
            <w:tcW w:w="1169"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谢志军</w:t>
            </w:r>
          </w:p>
        </w:tc>
        <w:tc>
          <w:tcPr>
            <w:tcW w:w="3521"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rPr>
              <w:t>株洲市市场监督管理局</w:t>
            </w:r>
          </w:p>
        </w:tc>
        <w:tc>
          <w:tcPr>
            <w:tcW w:w="2556" w:type="dxa"/>
            <w:shd w:val="clear" w:color="auto" w:fill="auto"/>
            <w:vAlign w:val="center"/>
          </w:tcPr>
          <w:p>
            <w:pPr>
              <w:adjustRightInd w:val="0"/>
              <w:snapToGrid w:val="0"/>
              <w:spacing w:line="500" w:lineRule="exact"/>
              <w:jc w:val="center"/>
              <w:rPr>
                <w:rFonts w:hint="default" w:ascii="Times New Roman" w:hAnsi="Times New Roman" w:eastAsia="仿宋" w:cs="Times New Roman"/>
                <w:position w:val="6"/>
                <w:sz w:val="28"/>
                <w:szCs w:val="28"/>
              </w:rPr>
            </w:pPr>
            <w:r>
              <w:rPr>
                <w:rFonts w:hint="default" w:ascii="Times New Roman" w:hAnsi="Times New Roman" w:eastAsia="仿宋" w:cs="Times New Roman"/>
                <w:position w:val="6"/>
                <w:sz w:val="28"/>
                <w:szCs w:val="28"/>
              </w:rPr>
              <w:t>知识产权运营研究</w:t>
            </w:r>
          </w:p>
        </w:tc>
        <w:tc>
          <w:tcPr>
            <w:tcW w:w="2065"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标准研制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819"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5</w:t>
            </w:r>
          </w:p>
        </w:tc>
        <w:tc>
          <w:tcPr>
            <w:tcW w:w="1169"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张征良</w:t>
            </w:r>
          </w:p>
        </w:tc>
        <w:tc>
          <w:tcPr>
            <w:tcW w:w="3521"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株洲市市场监督管理局</w:t>
            </w:r>
          </w:p>
        </w:tc>
        <w:tc>
          <w:tcPr>
            <w:tcW w:w="2556" w:type="dxa"/>
            <w:shd w:val="clear" w:color="auto" w:fill="auto"/>
            <w:vAlign w:val="center"/>
          </w:tcPr>
          <w:p>
            <w:pPr>
              <w:adjustRightInd w:val="0"/>
              <w:snapToGrid w:val="0"/>
              <w:spacing w:line="500" w:lineRule="exact"/>
              <w:jc w:val="center"/>
              <w:rPr>
                <w:rFonts w:hint="default" w:ascii="Times New Roman" w:hAnsi="Times New Roman" w:eastAsia="仿宋" w:cs="Times New Roman"/>
                <w:position w:val="6"/>
                <w:sz w:val="28"/>
                <w:szCs w:val="28"/>
              </w:rPr>
            </w:pPr>
            <w:r>
              <w:rPr>
                <w:rFonts w:hint="default" w:ascii="Times New Roman" w:hAnsi="Times New Roman" w:eastAsia="仿宋" w:cs="Times New Roman"/>
                <w:position w:val="6"/>
                <w:sz w:val="28"/>
                <w:szCs w:val="28"/>
              </w:rPr>
              <w:t>知识产权运营研究</w:t>
            </w:r>
          </w:p>
        </w:tc>
        <w:tc>
          <w:tcPr>
            <w:tcW w:w="2065"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标准研制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19"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lang w:eastAsia="zh-CN"/>
              </w:rPr>
            </w:pPr>
            <w:r>
              <w:rPr>
                <w:rFonts w:hint="eastAsia" w:ascii="Times New Roman" w:hAnsi="Times New Roman" w:eastAsia="仿宋" w:cs="Times New Roman"/>
                <w:sz w:val="28"/>
                <w:szCs w:val="28"/>
                <w:lang w:val="en-US" w:eastAsia="zh-CN"/>
              </w:rPr>
              <w:t>6</w:t>
            </w:r>
          </w:p>
        </w:tc>
        <w:tc>
          <w:tcPr>
            <w:tcW w:w="1169"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颜璐</w:t>
            </w:r>
          </w:p>
        </w:tc>
        <w:tc>
          <w:tcPr>
            <w:tcW w:w="3521"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株洲市知识产权保护中心</w:t>
            </w:r>
          </w:p>
        </w:tc>
        <w:tc>
          <w:tcPr>
            <w:tcW w:w="2556"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position w:val="6"/>
                <w:sz w:val="28"/>
                <w:szCs w:val="28"/>
                <w:lang w:val="en-US" w:eastAsia="zh-CN"/>
              </w:rPr>
              <w:t>知识产权</w:t>
            </w:r>
            <w:r>
              <w:rPr>
                <w:rFonts w:hint="default" w:ascii="Times New Roman" w:hAnsi="Times New Roman" w:eastAsia="仿宋" w:cs="Times New Roman"/>
                <w:position w:val="6"/>
                <w:sz w:val="28"/>
                <w:szCs w:val="28"/>
              </w:rPr>
              <w:t>分析研究</w:t>
            </w:r>
          </w:p>
        </w:tc>
        <w:tc>
          <w:tcPr>
            <w:tcW w:w="2065"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标准研制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19" w:type="dxa"/>
            <w:shd w:val="clear" w:color="auto" w:fill="auto"/>
            <w:vAlign w:val="center"/>
          </w:tcPr>
          <w:p>
            <w:pPr>
              <w:adjustRightInd w:val="0"/>
              <w:snapToGrid w:val="0"/>
              <w:spacing w:line="500" w:lineRule="exact"/>
              <w:jc w:val="center"/>
              <w:rPr>
                <w:rFonts w:hint="default" w:ascii="Times New Roman" w:hAnsi="Times New Roman" w:eastAsia="仿宋" w:cs="Times New Roman"/>
                <w:kern w:val="2"/>
                <w:sz w:val="28"/>
                <w:szCs w:val="28"/>
                <w:lang w:val="en-US" w:eastAsia="zh-CN" w:bidi="ar-SA"/>
              </w:rPr>
            </w:pPr>
            <w:r>
              <w:rPr>
                <w:rFonts w:hint="eastAsia" w:ascii="Times New Roman" w:hAnsi="Times New Roman" w:eastAsia="仿宋" w:cs="Times New Roman"/>
                <w:sz w:val="28"/>
                <w:szCs w:val="28"/>
                <w:lang w:val="en-US" w:eastAsia="zh-CN"/>
              </w:rPr>
              <w:t>7</w:t>
            </w:r>
          </w:p>
        </w:tc>
        <w:tc>
          <w:tcPr>
            <w:tcW w:w="1169"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rPr>
              <w:t>吴利梅</w:t>
            </w:r>
          </w:p>
        </w:tc>
        <w:tc>
          <w:tcPr>
            <w:tcW w:w="3521"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rPr>
              <w:t>湖南省知识产权交易中心有限公司</w:t>
            </w:r>
          </w:p>
        </w:tc>
        <w:tc>
          <w:tcPr>
            <w:tcW w:w="2556" w:type="dxa"/>
            <w:shd w:val="clear" w:color="auto" w:fill="auto"/>
            <w:vAlign w:val="center"/>
          </w:tcPr>
          <w:p>
            <w:pPr>
              <w:adjustRightInd w:val="0"/>
              <w:snapToGrid w:val="0"/>
              <w:spacing w:line="500" w:lineRule="exact"/>
              <w:jc w:val="center"/>
              <w:rPr>
                <w:rFonts w:hint="default" w:ascii="Times New Roman" w:hAnsi="Times New Roman" w:eastAsia="仿宋" w:cs="Times New Roman"/>
                <w:position w:val="6"/>
                <w:sz w:val="28"/>
                <w:szCs w:val="28"/>
                <w:lang w:val="en-US" w:eastAsia="zh-CN"/>
              </w:rPr>
            </w:pPr>
            <w:r>
              <w:rPr>
                <w:rFonts w:hint="default" w:ascii="Times New Roman" w:hAnsi="Times New Roman" w:eastAsia="仿宋" w:cs="Times New Roman"/>
                <w:position w:val="6"/>
                <w:sz w:val="28"/>
                <w:szCs w:val="28"/>
                <w:lang w:val="en-US" w:eastAsia="zh-CN"/>
              </w:rPr>
              <w:t>知识产权运营</w:t>
            </w:r>
            <w:r>
              <w:rPr>
                <w:rFonts w:hint="default" w:ascii="Times New Roman" w:hAnsi="Times New Roman" w:eastAsia="仿宋" w:cs="Times New Roman"/>
                <w:position w:val="6"/>
                <w:sz w:val="28"/>
                <w:szCs w:val="28"/>
              </w:rPr>
              <w:t>研究</w:t>
            </w:r>
          </w:p>
        </w:tc>
        <w:tc>
          <w:tcPr>
            <w:tcW w:w="2065"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标准研制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19" w:type="dxa"/>
            <w:shd w:val="clear" w:color="auto" w:fill="auto"/>
            <w:vAlign w:val="center"/>
          </w:tcPr>
          <w:p>
            <w:pPr>
              <w:adjustRightInd w:val="0"/>
              <w:snapToGrid w:val="0"/>
              <w:spacing w:line="500" w:lineRule="exact"/>
              <w:jc w:val="center"/>
              <w:rPr>
                <w:rFonts w:hint="default"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t>8</w:t>
            </w:r>
          </w:p>
        </w:tc>
        <w:tc>
          <w:tcPr>
            <w:tcW w:w="1169" w:type="dxa"/>
            <w:shd w:val="clear" w:color="auto" w:fill="auto"/>
            <w:vAlign w:val="center"/>
          </w:tcPr>
          <w:p>
            <w:pPr>
              <w:adjustRightInd w:val="0"/>
              <w:snapToGrid w:val="0"/>
              <w:spacing w:line="500" w:lineRule="exact"/>
              <w:jc w:val="center"/>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sz w:val="28"/>
                <w:szCs w:val="28"/>
              </w:rPr>
              <w:t>刘  逾</w:t>
            </w:r>
          </w:p>
        </w:tc>
        <w:tc>
          <w:tcPr>
            <w:tcW w:w="3521" w:type="dxa"/>
            <w:shd w:val="clear" w:color="auto" w:fill="auto"/>
            <w:vAlign w:val="center"/>
          </w:tcPr>
          <w:p>
            <w:pPr>
              <w:adjustRightInd w:val="0"/>
              <w:snapToGrid w:val="0"/>
              <w:spacing w:line="500" w:lineRule="exact"/>
              <w:jc w:val="center"/>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sz w:val="28"/>
                <w:szCs w:val="28"/>
              </w:rPr>
              <w:t>湖南省知识产权交易中心有限公司</w:t>
            </w:r>
          </w:p>
        </w:tc>
        <w:tc>
          <w:tcPr>
            <w:tcW w:w="2556" w:type="dxa"/>
            <w:shd w:val="clear" w:color="auto" w:fill="auto"/>
            <w:vAlign w:val="center"/>
          </w:tcPr>
          <w:p>
            <w:pPr>
              <w:adjustRightInd w:val="0"/>
              <w:snapToGrid w:val="0"/>
              <w:spacing w:line="500" w:lineRule="exact"/>
              <w:jc w:val="center"/>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position w:val="6"/>
                <w:sz w:val="28"/>
                <w:szCs w:val="28"/>
                <w:lang w:val="en-US" w:eastAsia="zh-CN"/>
              </w:rPr>
              <w:t>知识产权运营</w:t>
            </w:r>
            <w:r>
              <w:rPr>
                <w:rFonts w:hint="default" w:ascii="Times New Roman" w:hAnsi="Times New Roman" w:eastAsia="仿宋" w:cs="Times New Roman"/>
                <w:position w:val="6"/>
                <w:sz w:val="28"/>
                <w:szCs w:val="28"/>
              </w:rPr>
              <w:t>研究</w:t>
            </w:r>
          </w:p>
        </w:tc>
        <w:tc>
          <w:tcPr>
            <w:tcW w:w="2065" w:type="dxa"/>
            <w:shd w:val="clear" w:color="auto" w:fill="auto"/>
            <w:vAlign w:val="center"/>
          </w:tcPr>
          <w:p>
            <w:pPr>
              <w:adjustRightInd w:val="0"/>
              <w:snapToGrid w:val="0"/>
              <w:spacing w:line="500" w:lineRule="exact"/>
              <w:jc w:val="center"/>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sz w:val="28"/>
                <w:szCs w:val="28"/>
              </w:rPr>
              <w:t>标准研制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19"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9</w:t>
            </w:r>
          </w:p>
        </w:tc>
        <w:tc>
          <w:tcPr>
            <w:tcW w:w="1169"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任  恒</w:t>
            </w:r>
          </w:p>
        </w:tc>
        <w:tc>
          <w:tcPr>
            <w:tcW w:w="3521"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湖南省知识产权交易中心有限公司</w:t>
            </w:r>
          </w:p>
        </w:tc>
        <w:tc>
          <w:tcPr>
            <w:tcW w:w="2556"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lang w:eastAsia="zh-CN"/>
              </w:rPr>
            </w:pPr>
            <w:r>
              <w:rPr>
                <w:rFonts w:hint="default" w:ascii="Times New Roman" w:hAnsi="Times New Roman" w:eastAsia="仿宋" w:cs="Times New Roman"/>
                <w:position w:val="6"/>
                <w:sz w:val="28"/>
                <w:szCs w:val="28"/>
              </w:rPr>
              <w:t>知识产权</w:t>
            </w:r>
            <w:r>
              <w:rPr>
                <w:rFonts w:hint="default" w:ascii="Times New Roman" w:hAnsi="Times New Roman" w:eastAsia="仿宋" w:cs="Times New Roman"/>
                <w:position w:val="6"/>
                <w:sz w:val="28"/>
                <w:szCs w:val="28"/>
                <w:lang w:val="en-US" w:eastAsia="zh-CN"/>
              </w:rPr>
              <w:t>政策</w:t>
            </w:r>
            <w:r>
              <w:rPr>
                <w:rFonts w:hint="default" w:ascii="Times New Roman" w:hAnsi="Times New Roman" w:eastAsia="仿宋" w:cs="Times New Roman"/>
                <w:position w:val="6"/>
                <w:sz w:val="28"/>
                <w:szCs w:val="28"/>
              </w:rPr>
              <w:t>研究</w:t>
            </w:r>
          </w:p>
        </w:tc>
        <w:tc>
          <w:tcPr>
            <w:tcW w:w="2065"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标准研制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19" w:type="dxa"/>
            <w:shd w:val="clear" w:color="auto" w:fill="auto"/>
            <w:vAlign w:val="center"/>
          </w:tcPr>
          <w:p>
            <w:pPr>
              <w:adjustRightInd w:val="0"/>
              <w:snapToGrid w:val="0"/>
              <w:spacing w:line="500" w:lineRule="exact"/>
              <w:jc w:val="center"/>
              <w:rPr>
                <w:rFonts w:hint="default" w:ascii="Times New Roman" w:hAnsi="Times New Roman" w:eastAsia="仿宋" w:cs="Times New Roman"/>
                <w:kern w:val="2"/>
                <w:sz w:val="28"/>
                <w:szCs w:val="28"/>
                <w:lang w:val="en-US" w:eastAsia="zh-CN" w:bidi="ar-SA"/>
              </w:rPr>
            </w:pPr>
            <w:r>
              <w:rPr>
                <w:rFonts w:hint="eastAsia" w:ascii="Times New Roman" w:hAnsi="Times New Roman" w:eastAsia="仿宋" w:cs="Times New Roman"/>
                <w:sz w:val="28"/>
                <w:szCs w:val="28"/>
                <w:lang w:val="en-US" w:eastAsia="zh-CN"/>
              </w:rPr>
              <w:t>10</w:t>
            </w:r>
          </w:p>
        </w:tc>
        <w:tc>
          <w:tcPr>
            <w:tcW w:w="1169" w:type="dxa"/>
            <w:shd w:val="clear" w:color="auto" w:fill="auto"/>
            <w:vAlign w:val="center"/>
          </w:tcPr>
          <w:p>
            <w:pPr>
              <w:adjustRightInd w:val="0"/>
              <w:snapToGrid w:val="0"/>
              <w:spacing w:line="500" w:lineRule="exact"/>
              <w:jc w:val="center"/>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sz w:val="28"/>
                <w:szCs w:val="28"/>
              </w:rPr>
              <w:t>易嘉霖</w:t>
            </w:r>
          </w:p>
        </w:tc>
        <w:tc>
          <w:tcPr>
            <w:tcW w:w="3521" w:type="dxa"/>
            <w:shd w:val="clear" w:color="auto" w:fill="auto"/>
            <w:vAlign w:val="center"/>
          </w:tcPr>
          <w:p>
            <w:pPr>
              <w:adjustRightInd w:val="0"/>
              <w:snapToGrid w:val="0"/>
              <w:spacing w:line="500" w:lineRule="exact"/>
              <w:jc w:val="center"/>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sz w:val="28"/>
                <w:szCs w:val="28"/>
              </w:rPr>
              <w:t>湖南省知识产权交易中心有限公司</w:t>
            </w:r>
          </w:p>
        </w:tc>
        <w:tc>
          <w:tcPr>
            <w:tcW w:w="2556" w:type="dxa"/>
            <w:shd w:val="clear" w:color="auto" w:fill="auto"/>
            <w:vAlign w:val="center"/>
          </w:tcPr>
          <w:p>
            <w:pPr>
              <w:adjustRightInd w:val="0"/>
              <w:snapToGrid w:val="0"/>
              <w:spacing w:line="500" w:lineRule="exact"/>
              <w:jc w:val="center"/>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position w:val="6"/>
                <w:sz w:val="28"/>
                <w:szCs w:val="28"/>
                <w:lang w:val="en-US" w:eastAsia="zh-CN"/>
              </w:rPr>
              <w:t>知识产权</w:t>
            </w:r>
            <w:r>
              <w:rPr>
                <w:rFonts w:hint="default" w:ascii="Times New Roman" w:hAnsi="Times New Roman" w:eastAsia="仿宋" w:cs="Times New Roman"/>
                <w:position w:val="6"/>
                <w:sz w:val="28"/>
                <w:szCs w:val="28"/>
              </w:rPr>
              <w:t>分析研究</w:t>
            </w:r>
          </w:p>
        </w:tc>
        <w:tc>
          <w:tcPr>
            <w:tcW w:w="2065" w:type="dxa"/>
            <w:shd w:val="clear" w:color="auto" w:fill="auto"/>
            <w:vAlign w:val="center"/>
          </w:tcPr>
          <w:p>
            <w:pPr>
              <w:adjustRightInd w:val="0"/>
              <w:snapToGrid w:val="0"/>
              <w:spacing w:line="500" w:lineRule="exact"/>
              <w:jc w:val="center"/>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sz w:val="28"/>
                <w:szCs w:val="28"/>
              </w:rPr>
              <w:t>标准研制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19"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11</w:t>
            </w:r>
          </w:p>
        </w:tc>
        <w:tc>
          <w:tcPr>
            <w:tcW w:w="1169"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李万辉</w:t>
            </w:r>
          </w:p>
        </w:tc>
        <w:tc>
          <w:tcPr>
            <w:tcW w:w="3521"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湖南省知识产权交易中心有限公司</w:t>
            </w:r>
          </w:p>
        </w:tc>
        <w:tc>
          <w:tcPr>
            <w:tcW w:w="2556"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position w:val="6"/>
                <w:sz w:val="28"/>
                <w:szCs w:val="28"/>
                <w:lang w:val="en-US" w:eastAsia="zh-CN"/>
              </w:rPr>
              <w:t>知识产权政策</w:t>
            </w:r>
            <w:r>
              <w:rPr>
                <w:rFonts w:hint="default" w:ascii="Times New Roman" w:hAnsi="Times New Roman" w:eastAsia="仿宋" w:cs="Times New Roman"/>
                <w:position w:val="6"/>
                <w:sz w:val="28"/>
                <w:szCs w:val="28"/>
              </w:rPr>
              <w:t>研究</w:t>
            </w:r>
          </w:p>
        </w:tc>
        <w:tc>
          <w:tcPr>
            <w:tcW w:w="2065" w:type="dxa"/>
            <w:shd w:val="clear" w:color="auto" w:fill="auto"/>
            <w:vAlign w:val="center"/>
          </w:tcPr>
          <w:p>
            <w:pPr>
              <w:adjustRightInd w:val="0"/>
              <w:snapToGrid w:val="0"/>
              <w:spacing w:line="5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标准研制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19" w:type="dxa"/>
            <w:shd w:val="clear" w:color="auto" w:fill="auto"/>
            <w:vAlign w:val="center"/>
          </w:tcPr>
          <w:p>
            <w:pPr>
              <w:adjustRightInd w:val="0"/>
              <w:snapToGrid w:val="0"/>
              <w:spacing w:line="500" w:lineRule="exact"/>
              <w:jc w:val="center"/>
              <w:rPr>
                <w:rFonts w:hint="default" w:ascii="Times New Roman" w:hAnsi="Times New Roman" w:eastAsia="仿宋" w:cs="Times New Roman"/>
                <w:kern w:val="2"/>
                <w:sz w:val="28"/>
                <w:szCs w:val="28"/>
                <w:lang w:val="en-US" w:eastAsia="zh-CN" w:bidi="ar-SA"/>
              </w:rPr>
            </w:pPr>
            <w:r>
              <w:rPr>
                <w:rFonts w:hint="eastAsia" w:ascii="Times New Roman" w:hAnsi="Times New Roman" w:eastAsia="仿宋" w:cs="Times New Roman"/>
                <w:sz w:val="28"/>
                <w:szCs w:val="28"/>
                <w:lang w:val="en-US" w:eastAsia="zh-CN"/>
              </w:rPr>
              <w:t>12</w:t>
            </w:r>
          </w:p>
        </w:tc>
        <w:tc>
          <w:tcPr>
            <w:tcW w:w="1169" w:type="dxa"/>
            <w:shd w:val="clear" w:color="auto" w:fill="auto"/>
            <w:vAlign w:val="center"/>
          </w:tcPr>
          <w:p>
            <w:pPr>
              <w:adjustRightInd w:val="0"/>
              <w:snapToGrid w:val="0"/>
              <w:spacing w:line="500" w:lineRule="exact"/>
              <w:jc w:val="center"/>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sz w:val="28"/>
                <w:szCs w:val="28"/>
              </w:rPr>
              <w:t>黄艾娜</w:t>
            </w:r>
          </w:p>
        </w:tc>
        <w:tc>
          <w:tcPr>
            <w:tcW w:w="3521" w:type="dxa"/>
            <w:shd w:val="clear" w:color="auto" w:fill="auto"/>
            <w:vAlign w:val="center"/>
          </w:tcPr>
          <w:p>
            <w:pPr>
              <w:adjustRightInd w:val="0"/>
              <w:snapToGrid w:val="0"/>
              <w:spacing w:line="500" w:lineRule="exact"/>
              <w:jc w:val="center"/>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sz w:val="28"/>
                <w:szCs w:val="28"/>
              </w:rPr>
              <w:t>湖南省标准化协会</w:t>
            </w:r>
          </w:p>
        </w:tc>
        <w:tc>
          <w:tcPr>
            <w:tcW w:w="2556" w:type="dxa"/>
            <w:shd w:val="clear" w:color="auto" w:fill="auto"/>
            <w:vAlign w:val="center"/>
          </w:tcPr>
          <w:p>
            <w:pPr>
              <w:adjustRightInd w:val="0"/>
              <w:snapToGrid w:val="0"/>
              <w:spacing w:line="500" w:lineRule="exact"/>
              <w:jc w:val="center"/>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sz w:val="28"/>
                <w:szCs w:val="28"/>
                <w:lang w:val="en-US" w:eastAsia="zh-CN"/>
              </w:rPr>
              <w:t>知识产权</w:t>
            </w:r>
            <w:r>
              <w:rPr>
                <w:rFonts w:hint="default" w:ascii="Times New Roman" w:hAnsi="Times New Roman" w:eastAsia="仿宋" w:cs="Times New Roman"/>
                <w:sz w:val="28"/>
                <w:szCs w:val="28"/>
              </w:rPr>
              <w:t>标准化研究</w:t>
            </w:r>
          </w:p>
        </w:tc>
        <w:tc>
          <w:tcPr>
            <w:tcW w:w="2065" w:type="dxa"/>
            <w:shd w:val="clear" w:color="auto" w:fill="auto"/>
            <w:vAlign w:val="center"/>
          </w:tcPr>
          <w:p>
            <w:pPr>
              <w:adjustRightInd w:val="0"/>
              <w:snapToGrid w:val="0"/>
              <w:spacing w:line="500" w:lineRule="exact"/>
              <w:jc w:val="center"/>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sz w:val="28"/>
                <w:szCs w:val="28"/>
              </w:rPr>
              <w:t>标准研制</w:t>
            </w:r>
          </w:p>
        </w:tc>
      </w:tr>
    </w:tbl>
    <w:p>
      <w:pPr>
        <w:spacing w:line="540" w:lineRule="exact"/>
        <w:ind w:firstLine="642" w:firstLineChars="200"/>
        <w:outlineLvl w:val="1"/>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（二）标准起草</w:t>
      </w:r>
    </w:p>
    <w:p>
      <w:pPr>
        <w:spacing w:line="540" w:lineRule="exact"/>
        <w:ind w:firstLine="632" w:firstLineChars="200"/>
        <w:rPr>
          <w:rFonts w:hint="default" w:ascii="Times New Roman" w:hAnsi="Times New Roman" w:eastAsia="仿宋" w:cs="Times New Roman"/>
          <w:spacing w:val="-2"/>
          <w:sz w:val="32"/>
          <w:szCs w:val="32"/>
        </w:rPr>
      </w:pPr>
      <w:r>
        <w:rPr>
          <w:rFonts w:hint="default" w:ascii="Times New Roman" w:hAnsi="Times New Roman" w:eastAsia="仿宋" w:cs="Times New Roman"/>
          <w:spacing w:val="-2"/>
          <w:sz w:val="32"/>
          <w:szCs w:val="32"/>
        </w:rPr>
        <w:t>202</w:t>
      </w:r>
      <w:r>
        <w:rPr>
          <w:rFonts w:hint="default" w:ascii="Times New Roman" w:hAnsi="Times New Roman" w:eastAsia="仿宋" w:cs="Times New Roman"/>
          <w:spacing w:val="-2"/>
          <w:sz w:val="32"/>
          <w:szCs w:val="32"/>
          <w:lang w:val="en-US" w:eastAsia="zh-CN"/>
        </w:rPr>
        <w:t>4</w:t>
      </w:r>
      <w:r>
        <w:rPr>
          <w:rFonts w:hint="default" w:ascii="Times New Roman" w:hAnsi="Times New Roman" w:eastAsia="仿宋" w:cs="Times New Roman"/>
          <w:spacing w:val="-2"/>
          <w:sz w:val="32"/>
          <w:szCs w:val="32"/>
        </w:rPr>
        <w:t>年</w:t>
      </w:r>
      <w:r>
        <w:rPr>
          <w:rFonts w:hint="eastAsia" w:ascii="Times New Roman" w:hAnsi="Times New Roman" w:eastAsia="仿宋" w:cs="Times New Roman"/>
          <w:spacing w:val="-2"/>
          <w:sz w:val="32"/>
          <w:szCs w:val="32"/>
          <w:lang w:val="en-US" w:eastAsia="zh-CN"/>
        </w:rPr>
        <w:t>12</w:t>
      </w:r>
      <w:r>
        <w:rPr>
          <w:rFonts w:hint="default" w:ascii="Times New Roman" w:hAnsi="Times New Roman" w:eastAsia="仿宋" w:cs="Times New Roman"/>
          <w:spacing w:val="-2"/>
          <w:sz w:val="32"/>
          <w:szCs w:val="32"/>
        </w:rPr>
        <w:t>月</w:t>
      </w:r>
      <w:r>
        <w:rPr>
          <w:rFonts w:hint="default" w:ascii="Times New Roman" w:hAnsi="Times New Roman" w:eastAsia="仿宋" w:cs="Times New Roman"/>
          <w:spacing w:val="-2"/>
          <w:sz w:val="32"/>
          <w:szCs w:val="32"/>
          <w:lang w:val="en-US" w:eastAsia="zh-CN"/>
        </w:rPr>
        <w:t>1</w:t>
      </w:r>
      <w:r>
        <w:rPr>
          <w:rFonts w:hint="eastAsia" w:ascii="Times New Roman" w:hAnsi="Times New Roman" w:eastAsia="仿宋" w:cs="Times New Roman"/>
          <w:spacing w:val="-2"/>
          <w:sz w:val="32"/>
          <w:szCs w:val="32"/>
          <w:lang w:val="en-US" w:eastAsia="zh-CN"/>
        </w:rPr>
        <w:t>3</w:t>
      </w:r>
      <w:r>
        <w:rPr>
          <w:rFonts w:hint="default" w:ascii="Times New Roman" w:hAnsi="Times New Roman" w:eastAsia="仿宋" w:cs="Times New Roman"/>
          <w:spacing w:val="-2"/>
          <w:sz w:val="32"/>
          <w:szCs w:val="32"/>
        </w:rPr>
        <w:t>日</w:t>
      </w:r>
      <w:r>
        <w:rPr>
          <w:rFonts w:hint="eastAsia" w:ascii="Times New Roman" w:hAnsi="Times New Roman" w:eastAsia="仿宋" w:cs="Times New Roman"/>
          <w:spacing w:val="-2"/>
          <w:sz w:val="32"/>
          <w:szCs w:val="32"/>
          <w:lang w:eastAsia="zh-CN"/>
        </w:rPr>
        <w:t>，</w:t>
      </w:r>
      <w:r>
        <w:rPr>
          <w:rFonts w:hint="eastAsia" w:ascii="仿宋" w:hAnsi="仿宋" w:eastAsia="仿宋" w:cs="仿宋"/>
          <w:spacing w:val="-2"/>
          <w:sz w:val="32"/>
          <w:szCs w:val="32"/>
        </w:rPr>
        <w:t>湖南省市场监督管理局发布</w:t>
      </w:r>
      <w:r>
        <w:rPr>
          <w:rFonts w:hint="eastAsia" w:ascii="仿宋" w:hAnsi="仿宋" w:eastAsia="仿宋" w:cs="仿宋"/>
          <w:spacing w:val="-2"/>
          <w:sz w:val="32"/>
          <w:szCs w:val="32"/>
          <w:lang w:eastAsia="zh-CN"/>
        </w:rPr>
        <w:t>《</w:t>
      </w:r>
      <w:r>
        <w:rPr>
          <w:rFonts w:hint="default" w:ascii="Times New Roman" w:hAnsi="Times New Roman" w:eastAsia="仿宋" w:cs="Times New Roman"/>
          <w:spacing w:val="-2"/>
          <w:sz w:val="32"/>
          <w:szCs w:val="32"/>
        </w:rPr>
        <w:t>湖南省市场监督管理局关于2024年第二批设区的市地方标准制定项目立项的批复</w:t>
      </w:r>
      <w:r>
        <w:rPr>
          <w:rFonts w:hint="eastAsia" w:ascii="Times New Roman" w:hAnsi="Times New Roman" w:eastAsia="仿宋" w:cs="Times New Roman"/>
          <w:spacing w:val="-2"/>
          <w:sz w:val="32"/>
          <w:szCs w:val="32"/>
          <w:lang w:eastAsia="zh-CN"/>
        </w:rPr>
        <w:t>》，</w:t>
      </w:r>
      <w:r>
        <w:rPr>
          <w:rFonts w:hint="eastAsia" w:ascii="Times New Roman" w:hAnsi="Times New Roman" w:eastAsia="仿宋" w:cs="Times New Roman"/>
          <w:spacing w:val="-2"/>
          <w:sz w:val="32"/>
          <w:szCs w:val="32"/>
          <w:lang w:val="en-US" w:eastAsia="zh-CN"/>
        </w:rPr>
        <w:t>株洲市地方标准</w:t>
      </w:r>
      <w:r>
        <w:rPr>
          <w:rFonts w:hint="eastAsia" w:ascii="Times New Roman" w:hAnsi="Times New Roman" w:eastAsia="仿宋" w:cs="Times New Roman"/>
          <w:spacing w:val="-2"/>
          <w:sz w:val="32"/>
          <w:szCs w:val="32"/>
          <w:lang w:eastAsia="zh-CN"/>
        </w:rPr>
        <w:t>《</w:t>
      </w:r>
      <w:r>
        <w:rPr>
          <w:rFonts w:hint="default" w:ascii="Times New Roman" w:hAnsi="Times New Roman" w:eastAsia="仿宋" w:cs="Times New Roman"/>
          <w:spacing w:val="-2"/>
          <w:sz w:val="32"/>
          <w:szCs w:val="32"/>
        </w:rPr>
        <w:t>重大经济科技活动知识产权分析评议技术规范</w:t>
      </w:r>
      <w:r>
        <w:rPr>
          <w:rFonts w:hint="eastAsia" w:ascii="Times New Roman" w:hAnsi="Times New Roman" w:eastAsia="仿宋" w:cs="Times New Roman"/>
          <w:spacing w:val="-2"/>
          <w:sz w:val="32"/>
          <w:szCs w:val="32"/>
          <w:lang w:eastAsia="zh-CN"/>
        </w:rPr>
        <w:t>》</w:t>
      </w:r>
      <w:r>
        <w:rPr>
          <w:rFonts w:hint="default" w:ascii="Times New Roman" w:hAnsi="Times New Roman" w:eastAsia="仿宋" w:cs="Times New Roman"/>
          <w:spacing w:val="-2"/>
          <w:sz w:val="32"/>
          <w:szCs w:val="32"/>
        </w:rPr>
        <w:t>获批立项</w:t>
      </w:r>
      <w:r>
        <w:rPr>
          <w:rFonts w:hint="default" w:ascii="Times New Roman" w:hAnsi="Times New Roman" w:eastAsia="仿宋" w:cs="Times New Roman"/>
          <w:spacing w:val="-2"/>
          <w:sz w:val="32"/>
          <w:szCs w:val="32"/>
          <w:lang w:val="en-US" w:eastAsia="zh-CN"/>
        </w:rPr>
        <w:t>。项目</w:t>
      </w:r>
      <w:r>
        <w:rPr>
          <w:rFonts w:hint="default" w:ascii="Times New Roman" w:hAnsi="Times New Roman" w:eastAsia="仿宋" w:cs="Times New Roman"/>
          <w:spacing w:val="-2"/>
          <w:sz w:val="32"/>
          <w:szCs w:val="32"/>
        </w:rPr>
        <w:t>获批立项</w:t>
      </w:r>
      <w:r>
        <w:rPr>
          <w:rFonts w:hint="default" w:ascii="Times New Roman" w:hAnsi="Times New Roman" w:eastAsia="仿宋" w:cs="Times New Roman"/>
          <w:spacing w:val="-2"/>
          <w:sz w:val="32"/>
          <w:szCs w:val="32"/>
          <w:lang w:val="en-US" w:eastAsia="zh-CN"/>
        </w:rPr>
        <w:t>后</w:t>
      </w:r>
      <w:r>
        <w:rPr>
          <w:rFonts w:hint="default" w:ascii="Times New Roman" w:hAnsi="Times New Roman" w:eastAsia="仿宋" w:cs="Times New Roman"/>
          <w:spacing w:val="-2"/>
          <w:sz w:val="32"/>
          <w:szCs w:val="32"/>
        </w:rPr>
        <w:t>标准起草组确定工作任务和具体实施方案，并组织开展前期调研，根据收集的资料和调研报告，参考《中华人民共和国标准化法》、《知识产权分析评议工作指南》和《湖南省知识产权保护和促进条例》</w:t>
      </w:r>
      <w:r>
        <w:rPr>
          <w:rFonts w:hint="default" w:ascii="Times New Roman" w:hAnsi="Times New Roman" w:eastAsia="仿宋" w:cs="Times New Roman"/>
          <w:spacing w:val="-2"/>
          <w:sz w:val="32"/>
          <w:szCs w:val="32"/>
          <w:lang w:val="en-US" w:eastAsia="zh-CN"/>
        </w:rPr>
        <w:t>和</w:t>
      </w:r>
      <w:r>
        <w:rPr>
          <w:rFonts w:hint="default" w:ascii="Times New Roman" w:hAnsi="Times New Roman" w:eastAsia="仿宋" w:cs="Times New Roman"/>
          <w:spacing w:val="-2"/>
          <w:sz w:val="32"/>
          <w:szCs w:val="32"/>
        </w:rPr>
        <w:t>GB/T 37286-2019《知识产权分析评议服务</w:t>
      </w:r>
      <w:r>
        <w:rPr>
          <w:rFonts w:hint="default" w:ascii="Times New Roman" w:hAnsi="Times New Roman" w:eastAsia="仿宋" w:cs="Times New Roman"/>
          <w:spacing w:val="-2"/>
          <w:sz w:val="32"/>
          <w:szCs w:val="32"/>
          <w:lang w:val="en-US" w:eastAsia="zh-CN"/>
        </w:rPr>
        <w:t xml:space="preserve"> </w:t>
      </w:r>
      <w:r>
        <w:rPr>
          <w:rFonts w:hint="default" w:ascii="Times New Roman" w:hAnsi="Times New Roman" w:eastAsia="仿宋" w:cs="Times New Roman"/>
          <w:spacing w:val="-2"/>
          <w:sz w:val="32"/>
          <w:szCs w:val="32"/>
        </w:rPr>
        <w:t>服务规范》</w:t>
      </w:r>
      <w:r>
        <w:rPr>
          <w:rFonts w:hint="default" w:ascii="Times New Roman" w:hAnsi="Times New Roman" w:eastAsia="仿宋" w:cs="Times New Roman"/>
          <w:spacing w:val="-2"/>
          <w:sz w:val="32"/>
          <w:szCs w:val="32"/>
          <w:lang w:val="en-US" w:eastAsia="zh-CN"/>
        </w:rPr>
        <w:t>等文件</w:t>
      </w:r>
      <w:r>
        <w:rPr>
          <w:rFonts w:hint="default" w:ascii="Times New Roman" w:hAnsi="Times New Roman" w:eastAsia="仿宋" w:cs="Times New Roman"/>
          <w:spacing w:val="-2"/>
          <w:sz w:val="32"/>
          <w:szCs w:val="32"/>
        </w:rPr>
        <w:t>，结合株洲市重大经济科技活动中所涉及的项目评议工作实践经验</w:t>
      </w:r>
      <w:r>
        <w:rPr>
          <w:rFonts w:hint="default" w:ascii="Times New Roman" w:hAnsi="Times New Roman" w:eastAsia="仿宋" w:cs="Times New Roman"/>
          <w:spacing w:val="-2"/>
          <w:sz w:val="32"/>
          <w:szCs w:val="32"/>
          <w:lang w:val="en-US" w:eastAsia="zh-CN"/>
        </w:rPr>
        <w:t>和</w:t>
      </w:r>
      <w:r>
        <w:rPr>
          <w:rFonts w:hint="default" w:ascii="Times New Roman" w:hAnsi="Times New Roman" w:eastAsia="仿宋" w:cs="Times New Roman"/>
          <w:spacing w:val="-2"/>
          <w:sz w:val="32"/>
          <w:szCs w:val="32"/>
        </w:rPr>
        <w:t>湖南省地方标准《专利价值评估指南》</w:t>
      </w:r>
      <w:r>
        <w:rPr>
          <w:rFonts w:hint="default" w:ascii="Times New Roman" w:hAnsi="Times New Roman" w:eastAsia="仿宋" w:cs="Times New Roman"/>
          <w:spacing w:val="-2"/>
          <w:sz w:val="32"/>
          <w:szCs w:val="32"/>
          <w:lang w:val="en-US" w:eastAsia="zh-CN"/>
        </w:rPr>
        <w:t>、</w:t>
      </w:r>
      <w:r>
        <w:rPr>
          <w:rFonts w:hint="default" w:ascii="Times New Roman" w:hAnsi="Times New Roman" w:eastAsia="仿宋" w:cs="Times New Roman"/>
          <w:spacing w:val="-2"/>
          <w:sz w:val="32"/>
          <w:szCs w:val="32"/>
        </w:rPr>
        <w:t>株洲市知识产权质押融资工作中的专利评估应用经验，经反复讨论修改,形成了</w:t>
      </w:r>
      <w:r>
        <w:rPr>
          <w:rFonts w:hint="default" w:ascii="Times New Roman" w:hAnsi="Times New Roman" w:eastAsia="仿宋" w:cs="Times New Roman"/>
          <w:spacing w:val="-2"/>
          <w:sz w:val="32"/>
          <w:szCs w:val="32"/>
          <w:lang w:val="en-US" w:eastAsia="zh-CN"/>
        </w:rPr>
        <w:t>株洲市</w:t>
      </w:r>
      <w:r>
        <w:rPr>
          <w:rFonts w:hint="default" w:ascii="Times New Roman" w:hAnsi="Times New Roman" w:eastAsia="仿宋" w:cs="Times New Roman"/>
          <w:spacing w:val="-2"/>
          <w:sz w:val="32"/>
          <w:szCs w:val="32"/>
        </w:rPr>
        <w:t>地方标准《重大经济科技活动知识产权分析评议技术规范》标准草案。</w:t>
      </w:r>
    </w:p>
    <w:p>
      <w:pPr>
        <w:spacing w:line="540" w:lineRule="exact"/>
        <w:ind w:firstLine="642" w:firstLineChars="200"/>
        <w:outlineLvl w:val="1"/>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（三）标准讨论</w:t>
      </w:r>
    </w:p>
    <w:p>
      <w:pPr>
        <w:spacing w:line="540" w:lineRule="exact"/>
        <w:ind w:firstLine="632" w:firstLineChars="200"/>
        <w:rPr>
          <w:rFonts w:hint="default" w:ascii="Times New Roman" w:hAnsi="Times New Roman" w:eastAsia="仿宋" w:cs="Times New Roman"/>
          <w:spacing w:val="-2"/>
          <w:sz w:val="32"/>
          <w:szCs w:val="32"/>
        </w:rPr>
      </w:pPr>
      <w:r>
        <w:rPr>
          <w:rFonts w:hint="eastAsia" w:ascii="Times New Roman" w:hAnsi="Times New Roman" w:eastAsia="仿宋" w:cs="Times New Roman"/>
          <w:spacing w:val="-2"/>
          <w:sz w:val="32"/>
          <w:szCs w:val="32"/>
          <w:lang w:val="en-US" w:eastAsia="zh-CN"/>
        </w:rPr>
        <w:t>2024年</w:t>
      </w:r>
      <w:r>
        <w:rPr>
          <w:rFonts w:hint="default" w:ascii="Times New Roman" w:hAnsi="Times New Roman" w:eastAsia="仿宋" w:cs="Times New Roman"/>
          <w:spacing w:val="-2"/>
          <w:sz w:val="32"/>
          <w:szCs w:val="32"/>
          <w:lang w:val="en-US" w:eastAsia="zh-CN"/>
        </w:rPr>
        <w:t>11</w:t>
      </w:r>
      <w:r>
        <w:rPr>
          <w:rFonts w:hint="default" w:ascii="Times New Roman" w:hAnsi="Times New Roman" w:eastAsia="仿宋" w:cs="Times New Roman"/>
          <w:spacing w:val="-2"/>
          <w:sz w:val="32"/>
          <w:szCs w:val="32"/>
        </w:rPr>
        <w:t>月</w:t>
      </w:r>
      <w:r>
        <w:rPr>
          <w:rFonts w:hint="default" w:ascii="Times New Roman" w:hAnsi="Times New Roman" w:eastAsia="仿宋" w:cs="Times New Roman"/>
          <w:spacing w:val="-2"/>
          <w:sz w:val="32"/>
          <w:szCs w:val="32"/>
          <w:lang w:val="en-US" w:eastAsia="zh-CN"/>
        </w:rPr>
        <w:t>18</w:t>
      </w:r>
      <w:r>
        <w:rPr>
          <w:rFonts w:hint="default" w:ascii="Times New Roman" w:hAnsi="Times New Roman" w:eastAsia="仿宋" w:cs="Times New Roman"/>
          <w:spacing w:val="-2"/>
          <w:sz w:val="32"/>
          <w:szCs w:val="32"/>
        </w:rPr>
        <w:t>日，起草组组织专家召开讨论会，对标准</w:t>
      </w:r>
      <w:r>
        <w:rPr>
          <w:rFonts w:hint="default" w:ascii="Times New Roman" w:hAnsi="Times New Roman" w:eastAsia="仿宋" w:cs="Times New Roman"/>
          <w:spacing w:val="-2"/>
          <w:sz w:val="32"/>
          <w:szCs w:val="32"/>
          <w:lang w:val="en-US" w:eastAsia="zh-CN"/>
        </w:rPr>
        <w:t>目录</w:t>
      </w:r>
      <w:r>
        <w:rPr>
          <w:rFonts w:hint="default" w:ascii="Times New Roman" w:hAnsi="Times New Roman" w:eastAsia="仿宋" w:cs="Times New Roman"/>
          <w:spacing w:val="-2"/>
          <w:sz w:val="32"/>
          <w:szCs w:val="32"/>
        </w:rPr>
        <w:t>、标准范围、</w:t>
      </w:r>
      <w:r>
        <w:rPr>
          <w:rFonts w:hint="default" w:ascii="Times New Roman" w:hAnsi="Times New Roman" w:eastAsia="仿宋" w:cs="Times New Roman"/>
          <w:spacing w:val="-2"/>
          <w:sz w:val="32"/>
          <w:szCs w:val="32"/>
          <w:lang w:val="en-US" w:eastAsia="zh-CN"/>
        </w:rPr>
        <w:t>评议对象、评议</w:t>
      </w:r>
      <w:r>
        <w:rPr>
          <w:rFonts w:hint="default" w:ascii="Times New Roman" w:hAnsi="Times New Roman" w:eastAsia="仿宋" w:cs="Times New Roman"/>
          <w:spacing w:val="-2"/>
          <w:sz w:val="32"/>
          <w:szCs w:val="32"/>
        </w:rPr>
        <w:t>方法、</w:t>
      </w:r>
      <w:r>
        <w:rPr>
          <w:rFonts w:hint="default" w:ascii="Times New Roman" w:hAnsi="Times New Roman" w:eastAsia="仿宋" w:cs="Times New Roman"/>
          <w:spacing w:val="-2"/>
          <w:sz w:val="32"/>
          <w:szCs w:val="32"/>
          <w:lang w:val="en-US" w:eastAsia="zh-CN"/>
        </w:rPr>
        <w:t>评议</w:t>
      </w:r>
      <w:r>
        <w:rPr>
          <w:rFonts w:hint="default" w:ascii="Times New Roman" w:hAnsi="Times New Roman" w:eastAsia="仿宋" w:cs="Times New Roman"/>
          <w:spacing w:val="-2"/>
          <w:sz w:val="32"/>
          <w:szCs w:val="32"/>
        </w:rPr>
        <w:t>体系</w:t>
      </w:r>
      <w:r>
        <w:rPr>
          <w:rFonts w:hint="default" w:ascii="Times New Roman" w:hAnsi="Times New Roman" w:eastAsia="仿宋" w:cs="Times New Roman"/>
          <w:spacing w:val="-2"/>
          <w:sz w:val="32"/>
          <w:szCs w:val="32"/>
          <w:lang w:val="en-US" w:eastAsia="zh-CN"/>
        </w:rPr>
        <w:t>和评议流程等</w:t>
      </w:r>
      <w:r>
        <w:rPr>
          <w:rFonts w:hint="default" w:ascii="Times New Roman" w:hAnsi="Times New Roman" w:eastAsia="仿宋" w:cs="Times New Roman"/>
          <w:spacing w:val="-2"/>
          <w:sz w:val="32"/>
          <w:szCs w:val="32"/>
        </w:rPr>
        <w:t>进行了全面讨论，经讨论修改形成</w:t>
      </w:r>
      <w:r>
        <w:rPr>
          <w:rFonts w:hint="default" w:ascii="Times New Roman" w:hAnsi="Times New Roman" w:eastAsia="仿宋" w:cs="Times New Roman"/>
          <w:spacing w:val="-2"/>
          <w:sz w:val="32"/>
          <w:szCs w:val="32"/>
          <w:lang w:val="en-US" w:eastAsia="zh-CN"/>
        </w:rPr>
        <w:t>株洲市</w:t>
      </w:r>
      <w:r>
        <w:rPr>
          <w:rFonts w:hint="default" w:ascii="Times New Roman" w:hAnsi="Times New Roman" w:eastAsia="仿宋" w:cs="Times New Roman"/>
          <w:spacing w:val="-2"/>
          <w:sz w:val="32"/>
          <w:szCs w:val="32"/>
        </w:rPr>
        <w:t>地方标准《重大经济科技活动知识产权分析评议技术规范》讨论稿。于</w:t>
      </w:r>
      <w:r>
        <w:rPr>
          <w:rFonts w:hint="eastAsia" w:ascii="Times New Roman" w:hAnsi="Times New Roman" w:eastAsia="仿宋" w:cs="Times New Roman"/>
          <w:spacing w:val="-2"/>
          <w:sz w:val="32"/>
          <w:szCs w:val="32"/>
          <w:lang w:val="en-US" w:eastAsia="zh-CN"/>
        </w:rPr>
        <w:t>2024年</w:t>
      </w:r>
      <w:r>
        <w:rPr>
          <w:rFonts w:hint="default" w:ascii="Times New Roman" w:hAnsi="Times New Roman" w:eastAsia="仿宋" w:cs="Times New Roman"/>
          <w:spacing w:val="-2"/>
          <w:sz w:val="32"/>
          <w:szCs w:val="32"/>
        </w:rPr>
        <w:t>1</w:t>
      </w:r>
      <w:r>
        <w:rPr>
          <w:rFonts w:hint="default" w:ascii="Times New Roman" w:hAnsi="Times New Roman" w:eastAsia="仿宋" w:cs="Times New Roman"/>
          <w:spacing w:val="-2"/>
          <w:sz w:val="32"/>
          <w:szCs w:val="32"/>
          <w:lang w:val="en-US" w:eastAsia="zh-CN"/>
        </w:rPr>
        <w:t>1</w:t>
      </w:r>
      <w:r>
        <w:rPr>
          <w:rFonts w:hint="default" w:ascii="Times New Roman" w:hAnsi="Times New Roman" w:eastAsia="仿宋" w:cs="Times New Roman"/>
          <w:spacing w:val="-2"/>
          <w:sz w:val="32"/>
          <w:szCs w:val="32"/>
        </w:rPr>
        <w:t>月</w:t>
      </w:r>
      <w:r>
        <w:rPr>
          <w:rFonts w:hint="default" w:ascii="Times New Roman" w:hAnsi="Times New Roman" w:eastAsia="仿宋" w:cs="Times New Roman"/>
          <w:spacing w:val="-2"/>
          <w:sz w:val="32"/>
          <w:szCs w:val="32"/>
          <w:lang w:val="en-US" w:eastAsia="zh-CN"/>
        </w:rPr>
        <w:t>26</w:t>
      </w:r>
      <w:r>
        <w:rPr>
          <w:rFonts w:hint="default" w:ascii="Times New Roman" w:hAnsi="Times New Roman" w:eastAsia="仿宋" w:cs="Times New Roman"/>
          <w:spacing w:val="-2"/>
          <w:sz w:val="32"/>
          <w:szCs w:val="32"/>
        </w:rPr>
        <w:t>日函询起草组全部成员，根据收到的反馈意见进行修改，形成《重大经济科技活动知识产权分析评议技术规范》</w:t>
      </w:r>
      <w:r>
        <w:rPr>
          <w:rFonts w:hint="default" w:ascii="Times New Roman" w:hAnsi="Times New Roman" w:eastAsia="仿宋" w:cs="Times New Roman"/>
          <w:spacing w:val="-2"/>
          <w:sz w:val="32"/>
          <w:szCs w:val="32"/>
          <w:lang w:val="en-US" w:eastAsia="zh-CN"/>
        </w:rPr>
        <w:t>标准</w:t>
      </w:r>
      <w:r>
        <w:rPr>
          <w:rFonts w:hint="default" w:ascii="Times New Roman" w:hAnsi="Times New Roman" w:eastAsia="仿宋" w:cs="Times New Roman"/>
          <w:spacing w:val="-2"/>
          <w:sz w:val="32"/>
          <w:szCs w:val="32"/>
        </w:rPr>
        <w:t>和</w:t>
      </w:r>
      <w:r>
        <w:rPr>
          <w:rFonts w:hint="default" w:ascii="Times New Roman" w:hAnsi="Times New Roman" w:eastAsia="仿宋" w:cs="Times New Roman"/>
          <w:spacing w:val="-2"/>
          <w:sz w:val="32"/>
          <w:szCs w:val="32"/>
          <w:lang w:val="en-US" w:eastAsia="zh-CN"/>
        </w:rPr>
        <w:t>标准</w:t>
      </w:r>
      <w:r>
        <w:rPr>
          <w:rFonts w:hint="default" w:ascii="Times New Roman" w:hAnsi="Times New Roman" w:eastAsia="仿宋" w:cs="Times New Roman"/>
          <w:spacing w:val="-2"/>
          <w:sz w:val="32"/>
          <w:szCs w:val="32"/>
        </w:rPr>
        <w:t>编制说明。</w:t>
      </w:r>
    </w:p>
    <w:p>
      <w:pPr>
        <w:spacing w:before="156" w:beforeLines="50" w:after="156" w:afterLines="50" w:line="540" w:lineRule="exac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六、标准主要技术内容说明</w:t>
      </w:r>
    </w:p>
    <w:p>
      <w:pPr>
        <w:pStyle w:val="16"/>
        <w:spacing w:line="540" w:lineRule="exact"/>
        <w:ind w:firstLine="632"/>
        <w:rPr>
          <w:rFonts w:hint="default" w:ascii="Times New Roman" w:hAnsi="Times New Roman" w:eastAsia="仿宋" w:cs="Times New Roman"/>
          <w:spacing w:val="-2"/>
          <w:kern w:val="2"/>
          <w:sz w:val="32"/>
          <w:szCs w:val="32"/>
        </w:rPr>
      </w:pPr>
      <w:r>
        <w:rPr>
          <w:rFonts w:hint="default" w:ascii="Times New Roman" w:hAnsi="Times New Roman" w:eastAsia="仿宋" w:cs="Times New Roman"/>
          <w:spacing w:val="-2"/>
          <w:kern w:val="2"/>
          <w:sz w:val="32"/>
          <w:szCs w:val="32"/>
        </w:rPr>
        <w:t>本文件编写在主要规范性技术要素的选择上全面对标分析国家相关法律、法规和文件要求，立足工作实践，坚持适用</w:t>
      </w:r>
      <w:r>
        <w:rPr>
          <w:rFonts w:hint="default" w:ascii="Times New Roman" w:hAnsi="Times New Roman" w:eastAsia="仿宋" w:cs="Times New Roman"/>
          <w:spacing w:val="-2"/>
          <w:kern w:val="2"/>
          <w:sz w:val="32"/>
          <w:szCs w:val="32"/>
          <w:lang w:val="en-US" w:eastAsia="zh-CN"/>
        </w:rPr>
        <w:t>株洲市实际需求</w:t>
      </w:r>
      <w:r>
        <w:rPr>
          <w:rFonts w:hint="default" w:ascii="Times New Roman" w:hAnsi="Times New Roman" w:eastAsia="仿宋" w:cs="Times New Roman"/>
          <w:spacing w:val="-2"/>
          <w:kern w:val="2"/>
          <w:sz w:val="32"/>
          <w:szCs w:val="32"/>
        </w:rPr>
        <w:t>原则，精心研究使标准规范</w:t>
      </w:r>
      <w:r>
        <w:rPr>
          <w:rFonts w:hint="default" w:ascii="Times New Roman" w:hAnsi="Times New Roman" w:eastAsia="仿宋" w:cs="Times New Roman"/>
          <w:spacing w:val="-2"/>
          <w:kern w:val="2"/>
          <w:sz w:val="32"/>
          <w:szCs w:val="32"/>
          <w:lang w:val="en-US" w:eastAsia="zh-CN"/>
        </w:rPr>
        <w:t>客观公正、</w:t>
      </w:r>
      <w:r>
        <w:rPr>
          <w:rFonts w:hint="default" w:ascii="Times New Roman" w:hAnsi="Times New Roman" w:eastAsia="仿宋" w:cs="Times New Roman"/>
          <w:spacing w:val="-2"/>
          <w:kern w:val="2"/>
          <w:sz w:val="32"/>
          <w:szCs w:val="32"/>
        </w:rPr>
        <w:t>系统全面</w:t>
      </w:r>
      <w:r>
        <w:rPr>
          <w:rFonts w:hint="default" w:ascii="Times New Roman" w:hAnsi="Times New Roman" w:eastAsia="仿宋" w:cs="Times New Roman"/>
          <w:spacing w:val="-2"/>
          <w:kern w:val="2"/>
          <w:sz w:val="32"/>
          <w:szCs w:val="32"/>
          <w:lang w:val="en-US" w:eastAsia="zh-CN"/>
        </w:rPr>
        <w:t>和</w:t>
      </w:r>
      <w:r>
        <w:rPr>
          <w:rFonts w:hint="default" w:ascii="Times New Roman" w:hAnsi="Times New Roman" w:eastAsia="仿宋" w:cs="Times New Roman"/>
          <w:spacing w:val="-2"/>
          <w:kern w:val="2"/>
          <w:sz w:val="32"/>
          <w:szCs w:val="32"/>
        </w:rPr>
        <w:t>可操作性强，对</w:t>
      </w:r>
      <w:r>
        <w:rPr>
          <w:rFonts w:hint="default" w:ascii="Times New Roman" w:hAnsi="Times New Roman" w:eastAsia="仿宋" w:cs="Times New Roman"/>
          <w:spacing w:val="-2"/>
          <w:sz w:val="32"/>
          <w:szCs w:val="32"/>
        </w:rPr>
        <w:t>重大经济科技活动知识产权分析评议</w:t>
      </w:r>
      <w:r>
        <w:rPr>
          <w:rFonts w:hint="default" w:ascii="Times New Roman" w:hAnsi="Times New Roman" w:eastAsia="仿宋" w:cs="Times New Roman"/>
          <w:spacing w:val="-2"/>
          <w:kern w:val="2"/>
          <w:sz w:val="32"/>
          <w:szCs w:val="32"/>
        </w:rPr>
        <w:t>提供了总体原则、评议对象、评议内容、评议方法和评议流程等方面的指导。本文件包括</w:t>
      </w:r>
      <w:r>
        <w:rPr>
          <w:rFonts w:hint="default" w:ascii="Times New Roman" w:hAnsi="Times New Roman" w:eastAsia="仿宋" w:cs="Times New Roman"/>
          <w:spacing w:val="-2"/>
          <w:kern w:val="2"/>
          <w:sz w:val="32"/>
          <w:szCs w:val="32"/>
          <w:lang w:val="en-US" w:eastAsia="zh-CN"/>
        </w:rPr>
        <w:t>8</w:t>
      </w:r>
      <w:r>
        <w:rPr>
          <w:rFonts w:hint="default" w:ascii="Times New Roman" w:hAnsi="Times New Roman" w:eastAsia="仿宋" w:cs="Times New Roman"/>
          <w:spacing w:val="-2"/>
          <w:kern w:val="2"/>
          <w:sz w:val="32"/>
          <w:szCs w:val="32"/>
        </w:rPr>
        <w:t>章、</w:t>
      </w:r>
      <w:r>
        <w:rPr>
          <w:rFonts w:hint="default" w:ascii="Times New Roman" w:hAnsi="Times New Roman" w:eastAsia="仿宋" w:cs="Times New Roman"/>
          <w:spacing w:val="-2"/>
          <w:kern w:val="2"/>
          <w:sz w:val="32"/>
          <w:szCs w:val="32"/>
          <w:lang w:val="en-US" w:eastAsia="zh-CN"/>
        </w:rPr>
        <w:t>1</w:t>
      </w:r>
      <w:r>
        <w:rPr>
          <w:rFonts w:hint="default" w:ascii="Times New Roman" w:hAnsi="Times New Roman" w:eastAsia="仿宋" w:cs="Times New Roman"/>
          <w:spacing w:val="-2"/>
          <w:kern w:val="2"/>
          <w:sz w:val="32"/>
          <w:szCs w:val="32"/>
        </w:rPr>
        <w:t>个资料性附录</w:t>
      </w:r>
      <w:r>
        <w:rPr>
          <w:rFonts w:hint="default" w:ascii="Times New Roman" w:hAnsi="Times New Roman" w:eastAsia="仿宋" w:cs="Times New Roman"/>
          <w:spacing w:val="-2"/>
          <w:kern w:val="2"/>
          <w:sz w:val="32"/>
          <w:szCs w:val="32"/>
          <w:lang w:val="en-US" w:eastAsia="zh-CN"/>
        </w:rPr>
        <w:t>和2个规范性</w:t>
      </w:r>
      <w:r>
        <w:rPr>
          <w:rFonts w:hint="default" w:ascii="Times New Roman" w:hAnsi="Times New Roman" w:eastAsia="仿宋" w:cs="Times New Roman"/>
          <w:spacing w:val="-2"/>
          <w:kern w:val="2"/>
          <w:sz w:val="32"/>
          <w:szCs w:val="32"/>
        </w:rPr>
        <w:t>附录。</w:t>
      </w:r>
    </w:p>
    <w:p>
      <w:pPr>
        <w:spacing w:line="540" w:lineRule="exact"/>
        <w:ind w:firstLine="642" w:firstLineChars="200"/>
        <w:outlineLvl w:val="1"/>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（一）范围</w:t>
      </w:r>
    </w:p>
    <w:p>
      <w:pPr>
        <w:spacing w:line="540" w:lineRule="exact"/>
        <w:ind w:firstLine="632" w:firstLineChars="200"/>
        <w:outlineLvl w:val="1"/>
        <w:rPr>
          <w:rFonts w:hint="default" w:ascii="Times New Roman" w:hAnsi="Times New Roman" w:eastAsia="仿宋" w:cs="Times New Roman"/>
          <w:spacing w:val="-2"/>
          <w:sz w:val="32"/>
          <w:szCs w:val="32"/>
        </w:rPr>
      </w:pPr>
      <w:bookmarkStart w:id="0" w:name="_Toc149232130"/>
      <w:bookmarkStart w:id="1" w:name="_Toc26986772"/>
      <w:bookmarkStart w:id="2" w:name="_Toc149298717"/>
      <w:bookmarkStart w:id="3" w:name="_Toc26718931"/>
      <w:bookmarkStart w:id="4" w:name="_Toc149297626"/>
      <w:bookmarkStart w:id="5" w:name="_Toc26986531"/>
      <w:bookmarkStart w:id="6" w:name="_Toc97191424"/>
      <w:bookmarkStart w:id="7" w:name="_Toc147995610"/>
      <w:r>
        <w:rPr>
          <w:rFonts w:hint="default" w:ascii="Times New Roman" w:hAnsi="Times New Roman" w:eastAsia="仿宋" w:cs="Times New Roman"/>
          <w:spacing w:val="-2"/>
          <w:sz w:val="32"/>
          <w:szCs w:val="32"/>
        </w:rPr>
        <w:t>本文件规定了重大经济科技活动知识产权分析评议的总体原则、评议对象、评议内容、评议方法和评议流程。</w:t>
      </w:r>
    </w:p>
    <w:p>
      <w:pPr>
        <w:spacing w:line="540" w:lineRule="exact"/>
        <w:ind w:firstLine="632" w:firstLineChars="200"/>
        <w:outlineLvl w:val="1"/>
        <w:rPr>
          <w:rFonts w:hint="default" w:ascii="Times New Roman" w:hAnsi="Times New Roman" w:eastAsia="仿宋" w:cs="Times New Roman"/>
          <w:spacing w:val="-2"/>
          <w:sz w:val="32"/>
          <w:szCs w:val="32"/>
        </w:rPr>
      </w:pPr>
      <w:r>
        <w:rPr>
          <w:rFonts w:hint="default" w:ascii="Times New Roman" w:hAnsi="Times New Roman" w:eastAsia="仿宋" w:cs="Times New Roman"/>
          <w:spacing w:val="-2"/>
          <w:sz w:val="32"/>
          <w:szCs w:val="32"/>
        </w:rPr>
        <w:t>本文件适用于财政资金公共管理活动（产业发展项目、科技创新项目和人才引进项目）、民营资金商业管理活动（贸易运营项目、技术创新项目和战略决策项目）的知识产权分析评议工作。</w:t>
      </w:r>
    </w:p>
    <w:p>
      <w:pPr>
        <w:spacing w:line="540" w:lineRule="exact"/>
        <w:ind w:firstLine="642" w:firstLineChars="200"/>
        <w:outlineLvl w:val="1"/>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（二）规范性引用文件</w:t>
      </w:r>
      <w:bookmarkEnd w:id="0"/>
      <w:bookmarkEnd w:id="1"/>
      <w:bookmarkEnd w:id="2"/>
      <w:bookmarkEnd w:id="3"/>
      <w:bookmarkEnd w:id="4"/>
      <w:bookmarkEnd w:id="5"/>
      <w:bookmarkEnd w:id="6"/>
      <w:bookmarkEnd w:id="7"/>
    </w:p>
    <w:p>
      <w:pPr>
        <w:spacing w:line="540" w:lineRule="exact"/>
        <w:ind w:firstLine="632" w:firstLineChars="200"/>
        <w:outlineLvl w:val="1"/>
        <w:rPr>
          <w:rFonts w:hint="default" w:ascii="Times New Roman" w:hAnsi="Times New Roman" w:eastAsia="仿宋" w:cs="Times New Roman"/>
          <w:spacing w:val="-2"/>
          <w:sz w:val="32"/>
          <w:szCs w:val="32"/>
        </w:rPr>
      </w:pPr>
      <w:r>
        <w:rPr>
          <w:rFonts w:hint="default" w:ascii="Times New Roman" w:hAnsi="Times New Roman" w:eastAsia="仿宋" w:cs="Times New Roman"/>
          <w:spacing w:val="-2"/>
          <w:sz w:val="32"/>
          <w:szCs w:val="32"/>
        </w:rPr>
        <w:t>GB/T 37286-2019知识产权分析评议服务</w:t>
      </w:r>
      <w:r>
        <w:rPr>
          <w:rFonts w:hint="default" w:ascii="Times New Roman" w:hAnsi="Times New Roman" w:eastAsia="仿宋" w:cs="Times New Roman"/>
          <w:spacing w:val="-2"/>
          <w:sz w:val="32"/>
          <w:szCs w:val="32"/>
          <w:lang w:val="en-US" w:eastAsia="zh-CN"/>
        </w:rPr>
        <w:t xml:space="preserve"> </w:t>
      </w:r>
      <w:r>
        <w:rPr>
          <w:rFonts w:hint="default" w:ascii="Times New Roman" w:hAnsi="Times New Roman" w:eastAsia="仿宋" w:cs="Times New Roman"/>
          <w:spacing w:val="-2"/>
          <w:sz w:val="32"/>
          <w:szCs w:val="32"/>
        </w:rPr>
        <w:t>服务规范</w:t>
      </w:r>
    </w:p>
    <w:p>
      <w:pPr>
        <w:spacing w:line="540" w:lineRule="exact"/>
        <w:ind w:firstLine="642" w:firstLineChars="200"/>
        <w:outlineLvl w:val="1"/>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（三）术语和定义</w:t>
      </w:r>
    </w:p>
    <w:p>
      <w:pPr>
        <w:pStyle w:val="16"/>
        <w:spacing w:line="540" w:lineRule="exact"/>
        <w:ind w:firstLine="632"/>
        <w:rPr>
          <w:rFonts w:hint="default" w:ascii="Times New Roman" w:hAnsi="Times New Roman" w:eastAsia="仿宋" w:cs="Times New Roman"/>
          <w:spacing w:val="-2"/>
          <w:kern w:val="2"/>
          <w:sz w:val="32"/>
          <w:szCs w:val="32"/>
        </w:rPr>
      </w:pPr>
      <w:r>
        <w:rPr>
          <w:rFonts w:hint="default" w:ascii="Times New Roman" w:hAnsi="Times New Roman" w:eastAsia="仿宋" w:cs="Times New Roman"/>
          <w:spacing w:val="-2"/>
          <w:sz w:val="32"/>
          <w:szCs w:val="32"/>
        </w:rPr>
        <w:t>GB/T 37286-2019</w:t>
      </w:r>
      <w:r>
        <w:rPr>
          <w:rFonts w:hint="default" w:ascii="Times New Roman" w:hAnsi="Times New Roman" w:eastAsia="仿宋" w:cs="Times New Roman"/>
          <w:spacing w:val="-2"/>
          <w:kern w:val="2"/>
          <w:sz w:val="32"/>
          <w:szCs w:val="32"/>
        </w:rPr>
        <w:t>界定的术语和定义适用于本文件，同时参考现行国家、行业、外省地方标准及相关政策文件，对“知识产权综合评分”</w:t>
      </w:r>
      <w:r>
        <w:rPr>
          <w:rFonts w:hint="default" w:ascii="Times New Roman" w:hAnsi="Times New Roman" w:eastAsia="仿宋" w:cs="Times New Roman"/>
          <w:spacing w:val="-2"/>
          <w:kern w:val="2"/>
          <w:sz w:val="32"/>
          <w:szCs w:val="32"/>
          <w:lang w:eastAsia="zh-CN"/>
        </w:rPr>
        <w:t>、</w:t>
      </w:r>
      <w:r>
        <w:rPr>
          <w:rFonts w:hint="default" w:ascii="Times New Roman" w:hAnsi="Times New Roman" w:eastAsia="仿宋" w:cs="Times New Roman"/>
          <w:spacing w:val="-2"/>
          <w:kern w:val="2"/>
          <w:sz w:val="32"/>
          <w:szCs w:val="32"/>
        </w:rPr>
        <w:t>“知识产权风险等级”</w:t>
      </w:r>
      <w:r>
        <w:rPr>
          <w:rFonts w:hint="default" w:ascii="Times New Roman" w:hAnsi="Times New Roman" w:eastAsia="仿宋" w:cs="Times New Roman"/>
          <w:spacing w:val="-2"/>
          <w:kern w:val="2"/>
          <w:sz w:val="32"/>
          <w:szCs w:val="32"/>
          <w:lang w:val="en-US" w:eastAsia="zh-CN"/>
        </w:rPr>
        <w:t>和</w:t>
      </w:r>
      <w:r>
        <w:rPr>
          <w:rFonts w:hint="default" w:ascii="Times New Roman" w:hAnsi="Times New Roman" w:eastAsia="仿宋" w:cs="Times New Roman"/>
          <w:spacing w:val="-2"/>
          <w:kern w:val="2"/>
          <w:sz w:val="32"/>
          <w:szCs w:val="32"/>
        </w:rPr>
        <w:t>“知识产权评议意见”进行了定义：</w:t>
      </w:r>
    </w:p>
    <w:p>
      <w:pPr>
        <w:spacing w:line="540" w:lineRule="exact"/>
        <w:ind w:firstLine="634" w:firstLineChars="200"/>
        <w:outlineLvl w:val="1"/>
        <w:rPr>
          <w:rFonts w:hint="default" w:ascii="Times New Roman" w:hAnsi="Times New Roman" w:eastAsia="仿宋" w:cs="Times New Roman"/>
          <w:spacing w:val="-2"/>
          <w:kern w:val="2"/>
          <w:sz w:val="32"/>
          <w:szCs w:val="32"/>
          <w:lang w:val="en-US" w:eastAsia="zh-CN" w:bidi="ar-SA"/>
        </w:rPr>
      </w:pPr>
      <w:r>
        <w:rPr>
          <w:rFonts w:hint="default" w:ascii="Times New Roman" w:hAnsi="Times New Roman" w:eastAsia="仿宋" w:cs="Times New Roman"/>
          <w:b/>
          <w:bCs/>
          <w:spacing w:val="-2"/>
          <w:kern w:val="2"/>
          <w:sz w:val="32"/>
          <w:szCs w:val="32"/>
          <w:lang w:val="en-US" w:eastAsia="zh-CN" w:bidi="ar-SA"/>
        </w:rPr>
        <w:t>知识产权综合评分。</w:t>
      </w:r>
      <w:r>
        <w:rPr>
          <w:rFonts w:hint="default" w:ascii="Times New Roman" w:hAnsi="Times New Roman" w:eastAsia="仿宋" w:cs="Times New Roman"/>
          <w:spacing w:val="-2"/>
          <w:kern w:val="2"/>
          <w:sz w:val="32"/>
          <w:szCs w:val="32"/>
          <w:lang w:val="en-US" w:eastAsia="zh-CN" w:bidi="ar-SA"/>
        </w:rPr>
        <w:t>通过对评议内容开展评分及加权计算后得到项目知识产权评议的定量结论。</w:t>
      </w:r>
    </w:p>
    <w:p>
      <w:pPr>
        <w:spacing w:line="540" w:lineRule="exact"/>
        <w:ind w:firstLine="634" w:firstLineChars="200"/>
        <w:outlineLvl w:val="1"/>
        <w:rPr>
          <w:rFonts w:hint="default" w:ascii="Times New Roman" w:hAnsi="Times New Roman" w:eastAsia="仿宋" w:cs="Times New Roman"/>
          <w:spacing w:val="-2"/>
          <w:kern w:val="2"/>
          <w:sz w:val="32"/>
          <w:szCs w:val="32"/>
          <w:lang w:val="en-US" w:eastAsia="zh-CN" w:bidi="ar-SA"/>
        </w:rPr>
      </w:pPr>
      <w:r>
        <w:rPr>
          <w:rFonts w:hint="default" w:ascii="Times New Roman" w:hAnsi="Times New Roman" w:eastAsia="仿宋" w:cs="Times New Roman"/>
          <w:b/>
          <w:bCs/>
          <w:spacing w:val="-2"/>
          <w:kern w:val="2"/>
          <w:sz w:val="32"/>
          <w:szCs w:val="32"/>
          <w:lang w:val="en-US" w:eastAsia="zh-CN" w:bidi="ar-SA"/>
        </w:rPr>
        <w:t>知识产权风险等级。</w:t>
      </w:r>
      <w:r>
        <w:rPr>
          <w:rFonts w:hint="default" w:ascii="Times New Roman" w:hAnsi="Times New Roman" w:eastAsia="仿宋" w:cs="Times New Roman"/>
          <w:spacing w:val="-2"/>
          <w:kern w:val="2"/>
          <w:sz w:val="32"/>
          <w:szCs w:val="32"/>
          <w:lang w:val="en-US" w:eastAsia="zh-CN" w:bidi="ar-SA"/>
        </w:rPr>
        <w:t>根据知识产权综合评分判定结果给出项目知识产权风险的定性结论。</w:t>
      </w:r>
    </w:p>
    <w:p>
      <w:pPr>
        <w:spacing w:line="540" w:lineRule="exact"/>
        <w:ind w:firstLine="634" w:firstLineChars="200"/>
        <w:outlineLvl w:val="1"/>
        <w:rPr>
          <w:rFonts w:hint="default" w:ascii="Times New Roman" w:hAnsi="Times New Roman" w:eastAsia="仿宋" w:cs="Times New Roman"/>
          <w:spacing w:val="-2"/>
          <w:kern w:val="2"/>
          <w:sz w:val="32"/>
          <w:szCs w:val="32"/>
          <w:lang w:val="en-US" w:eastAsia="zh-CN" w:bidi="ar-SA"/>
        </w:rPr>
      </w:pPr>
      <w:r>
        <w:rPr>
          <w:rFonts w:hint="default" w:ascii="Times New Roman" w:hAnsi="Times New Roman" w:eastAsia="仿宋" w:cs="Times New Roman"/>
          <w:b/>
          <w:bCs/>
          <w:spacing w:val="-2"/>
          <w:kern w:val="2"/>
          <w:sz w:val="32"/>
          <w:szCs w:val="32"/>
          <w:lang w:val="en-US" w:eastAsia="zh-CN" w:bidi="ar-SA"/>
        </w:rPr>
        <w:t>知识产权评议意见。</w:t>
      </w:r>
      <w:r>
        <w:rPr>
          <w:rFonts w:hint="default" w:ascii="Times New Roman" w:hAnsi="Times New Roman" w:eastAsia="仿宋" w:cs="Times New Roman"/>
          <w:spacing w:val="-2"/>
          <w:kern w:val="2"/>
          <w:sz w:val="32"/>
          <w:szCs w:val="32"/>
          <w:lang w:val="en-US" w:eastAsia="zh-CN" w:bidi="ar-SA"/>
        </w:rPr>
        <w:t>根据知识产权风险等级判定结果给出的具体项目推进建议。</w:t>
      </w:r>
    </w:p>
    <w:p>
      <w:pPr>
        <w:spacing w:line="540" w:lineRule="exact"/>
        <w:ind w:firstLine="642" w:firstLineChars="200"/>
        <w:outlineLvl w:val="1"/>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（四）总体原则</w:t>
      </w:r>
    </w:p>
    <w:p>
      <w:pPr>
        <w:pStyle w:val="14"/>
        <w:keepNext w:val="0"/>
        <w:keepLines w:val="0"/>
        <w:pageBreakBefore w:val="0"/>
        <w:widowControl/>
        <w:numPr>
          <w:ilvl w:val="0"/>
          <w:numId w:val="0"/>
        </w:numPr>
        <w:kinsoku/>
        <w:wordWrap/>
        <w:overflowPunct/>
        <w:topLinePunct w:val="0"/>
        <w:autoSpaceDE/>
        <w:autoSpaceDN/>
        <w:bidi w:val="0"/>
        <w:adjustRightInd/>
        <w:snapToGrid/>
        <w:spacing w:beforeLines="0" w:afterLines="0" w:line="540" w:lineRule="exact"/>
        <w:ind w:firstLine="632" w:firstLineChars="200"/>
        <w:textAlignment w:val="auto"/>
        <w:rPr>
          <w:rFonts w:hint="default" w:ascii="Times New Roman" w:hAnsi="Times New Roman" w:eastAsia="仿宋" w:cs="Times New Roman"/>
          <w:spacing w:val="-2"/>
          <w:kern w:val="2"/>
          <w:sz w:val="32"/>
          <w:szCs w:val="32"/>
        </w:rPr>
      </w:pPr>
      <w:bookmarkStart w:id="8" w:name="_Toc149297629"/>
      <w:bookmarkStart w:id="9" w:name="_Toc149298720"/>
      <w:bookmarkStart w:id="10" w:name="_Toc149232133"/>
      <w:r>
        <w:rPr>
          <w:rFonts w:hint="default" w:ascii="Times New Roman" w:hAnsi="Times New Roman" w:eastAsia="仿宋" w:cs="Times New Roman"/>
          <w:spacing w:val="-2"/>
          <w:kern w:val="2"/>
          <w:sz w:val="32"/>
          <w:szCs w:val="32"/>
        </w:rPr>
        <w:t>参考</w:t>
      </w:r>
      <w:r>
        <w:rPr>
          <w:rFonts w:hint="default" w:ascii="Times New Roman" w:hAnsi="Times New Roman" w:eastAsia="仿宋" w:cs="Times New Roman"/>
          <w:spacing w:val="-2"/>
          <w:sz w:val="32"/>
          <w:szCs w:val="32"/>
        </w:rPr>
        <w:t>GB/T 37286-2019</w:t>
      </w:r>
      <w:r>
        <w:rPr>
          <w:rFonts w:hint="default" w:ascii="Times New Roman" w:hAnsi="Times New Roman" w:eastAsia="仿宋" w:cs="Times New Roman"/>
          <w:spacing w:val="-2"/>
          <w:kern w:val="2"/>
          <w:sz w:val="32"/>
          <w:szCs w:val="32"/>
        </w:rPr>
        <w:t>，分别从“</w:t>
      </w:r>
      <w:bookmarkEnd w:id="8"/>
      <w:bookmarkEnd w:id="9"/>
      <w:bookmarkEnd w:id="10"/>
      <w:r>
        <w:rPr>
          <w:rFonts w:hint="default" w:ascii="Times New Roman" w:hAnsi="Times New Roman" w:eastAsia="仿宋" w:cs="Times New Roman"/>
          <w:spacing w:val="-2"/>
          <w:kern w:val="2"/>
          <w:sz w:val="32"/>
          <w:szCs w:val="32"/>
        </w:rPr>
        <w:t>客观公正原则”、“全面准确原则”、“定性定量相结合原则”</w:t>
      </w:r>
      <w:r>
        <w:rPr>
          <w:rFonts w:hint="default" w:ascii="Times New Roman" w:hAnsi="Times New Roman" w:eastAsia="仿宋" w:cs="Times New Roman"/>
          <w:spacing w:val="-2"/>
          <w:kern w:val="2"/>
          <w:sz w:val="32"/>
          <w:szCs w:val="32"/>
          <w:lang w:val="en-US" w:eastAsia="zh-CN"/>
        </w:rPr>
        <w:t>和“保密性原则”四</w:t>
      </w:r>
      <w:r>
        <w:rPr>
          <w:rFonts w:hint="default" w:ascii="Times New Roman" w:hAnsi="Times New Roman" w:eastAsia="仿宋" w:cs="Times New Roman"/>
          <w:spacing w:val="-2"/>
          <w:kern w:val="2"/>
          <w:sz w:val="32"/>
          <w:szCs w:val="32"/>
        </w:rPr>
        <w:t>个方面给出了重大经济科技活动知识产权分析评议的总体原则：</w:t>
      </w:r>
    </w:p>
    <w:p>
      <w:pPr>
        <w:pStyle w:val="16"/>
        <w:keepNext w:val="0"/>
        <w:keepLines w:val="0"/>
        <w:pageBreakBefore w:val="0"/>
        <w:widowControl/>
        <w:kinsoku/>
        <w:wordWrap/>
        <w:overflowPunct/>
        <w:topLinePunct w:val="0"/>
        <w:bidi w:val="0"/>
        <w:adjustRightInd/>
        <w:snapToGrid/>
        <w:spacing w:line="540" w:lineRule="exact"/>
        <w:ind w:firstLine="640"/>
        <w:textAlignment w:val="auto"/>
        <w:rPr>
          <w:rFonts w:hint="default" w:ascii="Times New Roman" w:hAnsi="Times New Roman" w:eastAsia="仿宋" w:cs="Times New Roman"/>
          <w:spacing w:val="-2"/>
          <w:kern w:val="2"/>
          <w:sz w:val="32"/>
          <w:szCs w:val="32"/>
        </w:rPr>
      </w:pPr>
      <w:r>
        <w:rPr>
          <w:rFonts w:hint="default" w:ascii="Times New Roman" w:hAnsi="Times New Roman" w:eastAsia="仿宋" w:cs="Times New Roman"/>
          <w:b/>
          <w:bCs/>
          <w:sz w:val="32"/>
          <w:szCs w:val="32"/>
        </w:rPr>
        <w:t>1.</w:t>
      </w:r>
      <w:r>
        <w:rPr>
          <w:rFonts w:hint="default" w:ascii="Times New Roman" w:hAnsi="Times New Roman" w:eastAsia="仿宋" w:cs="Times New Roman"/>
          <w:b/>
          <w:bCs/>
          <w:spacing w:val="-2"/>
          <w:kern w:val="2"/>
          <w:sz w:val="32"/>
          <w:szCs w:val="32"/>
        </w:rPr>
        <w:t>客观公正原则</w:t>
      </w:r>
      <w:r>
        <w:rPr>
          <w:rFonts w:hint="default" w:ascii="Times New Roman" w:hAnsi="Times New Roman" w:eastAsia="仿宋" w:cs="Times New Roman"/>
          <w:b/>
          <w:bCs/>
          <w:spacing w:val="-2"/>
          <w:kern w:val="2"/>
          <w:sz w:val="32"/>
          <w:szCs w:val="32"/>
          <w:lang w:eastAsia="zh-CN"/>
        </w:rPr>
        <w:t>。</w:t>
      </w:r>
      <w:r>
        <w:rPr>
          <w:rFonts w:hint="default" w:ascii="Times New Roman" w:hAnsi="Times New Roman" w:eastAsia="仿宋" w:cs="Times New Roman"/>
          <w:spacing w:val="-2"/>
          <w:kern w:val="2"/>
          <w:sz w:val="32"/>
          <w:szCs w:val="32"/>
        </w:rPr>
        <w:t>基于客观事实和数据，进行独立、公正的分析和评价，不受任何利益相关方的影响。</w:t>
      </w:r>
    </w:p>
    <w:p>
      <w:pPr>
        <w:pStyle w:val="14"/>
        <w:keepNext w:val="0"/>
        <w:keepLines w:val="0"/>
        <w:pageBreakBefore w:val="0"/>
        <w:widowControl/>
        <w:numPr>
          <w:ilvl w:val="0"/>
          <w:numId w:val="0"/>
        </w:numPr>
        <w:kinsoku/>
        <w:wordWrap/>
        <w:overflowPunct/>
        <w:topLinePunct w:val="0"/>
        <w:autoSpaceDE/>
        <w:autoSpaceDN/>
        <w:bidi w:val="0"/>
        <w:adjustRightInd/>
        <w:snapToGrid/>
        <w:spacing w:beforeLines="0" w:afterLines="0" w:line="540" w:lineRule="exact"/>
        <w:ind w:firstLine="642" w:firstLineChars="200"/>
        <w:textAlignment w:val="auto"/>
        <w:rPr>
          <w:rFonts w:hint="default" w:ascii="Times New Roman" w:hAnsi="Times New Roman" w:eastAsia="仿宋" w:cs="Times New Roman"/>
          <w:kern w:val="2"/>
          <w:sz w:val="32"/>
          <w:szCs w:val="32"/>
        </w:rPr>
      </w:pPr>
      <w:bookmarkStart w:id="11" w:name="_Toc149298721"/>
      <w:bookmarkStart w:id="12" w:name="_Toc149232134"/>
      <w:bookmarkStart w:id="13" w:name="_Toc149297630"/>
      <w:r>
        <w:rPr>
          <w:rFonts w:hint="default" w:ascii="Times New Roman" w:hAnsi="Times New Roman" w:eastAsia="仿宋" w:cs="Times New Roman"/>
          <w:b/>
          <w:bCs/>
          <w:kern w:val="2"/>
          <w:sz w:val="32"/>
          <w:szCs w:val="32"/>
        </w:rPr>
        <w:t>2.</w:t>
      </w:r>
      <w:bookmarkEnd w:id="11"/>
      <w:bookmarkEnd w:id="12"/>
      <w:bookmarkEnd w:id="13"/>
      <w:r>
        <w:rPr>
          <w:rFonts w:hint="default" w:ascii="Times New Roman" w:hAnsi="Times New Roman" w:eastAsia="仿宋" w:cs="Times New Roman"/>
          <w:b/>
          <w:bCs/>
          <w:spacing w:val="-2"/>
          <w:kern w:val="2"/>
          <w:sz w:val="32"/>
          <w:szCs w:val="32"/>
        </w:rPr>
        <w:t>全面准确原则。</w:t>
      </w:r>
      <w:r>
        <w:rPr>
          <w:rFonts w:hint="default" w:ascii="Times New Roman" w:hAnsi="Times New Roman" w:eastAsia="仿宋" w:cs="Times New Roman"/>
          <w:spacing w:val="-2"/>
          <w:kern w:val="2"/>
          <w:sz w:val="32"/>
          <w:szCs w:val="32"/>
        </w:rPr>
        <w:t>对项目涉及的知识产权进行全面检索和分析，确保信息的准确性和完整性。</w:t>
      </w:r>
    </w:p>
    <w:p>
      <w:pPr>
        <w:pStyle w:val="14"/>
        <w:keepNext w:val="0"/>
        <w:keepLines w:val="0"/>
        <w:pageBreakBefore w:val="0"/>
        <w:widowControl/>
        <w:numPr>
          <w:ilvl w:val="0"/>
          <w:numId w:val="0"/>
        </w:numPr>
        <w:kinsoku/>
        <w:wordWrap/>
        <w:overflowPunct/>
        <w:topLinePunct w:val="0"/>
        <w:autoSpaceDE/>
        <w:autoSpaceDN/>
        <w:bidi w:val="0"/>
        <w:adjustRightInd/>
        <w:snapToGrid/>
        <w:spacing w:beforeLines="0" w:afterLines="0" w:line="540" w:lineRule="exact"/>
        <w:ind w:firstLine="642" w:firstLineChars="200"/>
        <w:textAlignment w:val="auto"/>
        <w:rPr>
          <w:rFonts w:hint="default" w:ascii="Times New Roman" w:hAnsi="Times New Roman" w:eastAsia="仿宋" w:cs="Times New Roman"/>
          <w:spacing w:val="-2"/>
          <w:kern w:val="2"/>
          <w:sz w:val="32"/>
          <w:szCs w:val="32"/>
        </w:rPr>
      </w:pPr>
      <w:bookmarkStart w:id="14" w:name="_Toc149298722"/>
      <w:bookmarkStart w:id="15" w:name="_Toc149232135"/>
      <w:bookmarkStart w:id="16" w:name="_Toc149297631"/>
      <w:r>
        <w:rPr>
          <w:rFonts w:hint="default" w:ascii="Times New Roman" w:hAnsi="Times New Roman" w:eastAsia="仿宋" w:cs="Times New Roman"/>
          <w:b/>
          <w:bCs/>
          <w:kern w:val="2"/>
          <w:sz w:val="32"/>
          <w:szCs w:val="32"/>
        </w:rPr>
        <w:t>3.</w:t>
      </w:r>
      <w:bookmarkEnd w:id="14"/>
      <w:bookmarkEnd w:id="15"/>
      <w:bookmarkEnd w:id="16"/>
      <w:r>
        <w:rPr>
          <w:rFonts w:hint="default" w:ascii="Times New Roman" w:hAnsi="Times New Roman" w:eastAsia="仿宋" w:cs="Times New Roman"/>
          <w:b/>
          <w:bCs/>
          <w:spacing w:val="-2"/>
          <w:kern w:val="2"/>
          <w:sz w:val="32"/>
          <w:szCs w:val="32"/>
        </w:rPr>
        <w:t>定性定量相结合原则。</w:t>
      </w:r>
      <w:r>
        <w:rPr>
          <w:rFonts w:hint="default" w:ascii="Times New Roman" w:hAnsi="Times New Roman" w:eastAsia="仿宋" w:cs="Times New Roman"/>
          <w:spacing w:val="-2"/>
          <w:kern w:val="2"/>
          <w:sz w:val="32"/>
          <w:szCs w:val="32"/>
        </w:rPr>
        <w:t>根据评议内容开展评议流程，基于统计分析结果形成定量的知识产权综合评分和定性的知识产权评议意见。</w:t>
      </w:r>
    </w:p>
    <w:p>
      <w:pPr>
        <w:pStyle w:val="16"/>
        <w:keepNext w:val="0"/>
        <w:keepLines w:val="0"/>
        <w:pageBreakBefore w:val="0"/>
        <w:widowControl/>
        <w:kinsoku/>
        <w:wordWrap/>
        <w:overflowPunct/>
        <w:topLinePunct w:val="0"/>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b/>
          <w:spacing w:val="-2"/>
          <w:kern w:val="2"/>
          <w:sz w:val="32"/>
          <w:szCs w:val="32"/>
          <w:lang w:val="en-US" w:eastAsia="zh-CN" w:bidi="ar-SA"/>
        </w:rPr>
        <w:t>4.保密性原则。</w:t>
      </w:r>
      <w:r>
        <w:rPr>
          <w:rFonts w:hint="default" w:ascii="Times New Roman" w:hAnsi="Times New Roman" w:eastAsia="仿宋" w:cs="Times New Roman"/>
          <w:spacing w:val="-2"/>
          <w:kern w:val="2"/>
          <w:sz w:val="32"/>
          <w:szCs w:val="32"/>
          <w:lang w:val="en-US" w:eastAsia="zh-CN"/>
        </w:rPr>
        <w:t>参与评议各个环节的相关人员应对评议项目内容严格保密。</w:t>
      </w:r>
    </w:p>
    <w:p>
      <w:pPr>
        <w:spacing w:line="540" w:lineRule="exact"/>
        <w:ind w:firstLine="642" w:firstLineChars="200"/>
        <w:outlineLvl w:val="1"/>
        <w:rPr>
          <w:rFonts w:hint="default" w:ascii="Times New Roman" w:hAnsi="Times New Roman" w:eastAsia="仿宋" w:cs="Times New Roman"/>
          <w:b/>
          <w:bCs/>
          <w:kern w:val="0"/>
          <w:sz w:val="32"/>
          <w:szCs w:val="32"/>
          <w:lang w:eastAsia="zh-CN"/>
        </w:rPr>
      </w:pPr>
      <w:r>
        <w:rPr>
          <w:rFonts w:hint="default" w:ascii="Times New Roman" w:hAnsi="Times New Roman" w:eastAsia="仿宋" w:cs="Times New Roman"/>
          <w:b/>
          <w:bCs/>
          <w:kern w:val="0"/>
          <w:sz w:val="32"/>
          <w:szCs w:val="32"/>
        </w:rPr>
        <w:t>（五）评议</w:t>
      </w:r>
      <w:r>
        <w:rPr>
          <w:rFonts w:hint="default" w:ascii="Times New Roman" w:hAnsi="Times New Roman" w:eastAsia="仿宋" w:cs="Times New Roman"/>
          <w:b/>
          <w:bCs/>
          <w:kern w:val="0"/>
          <w:sz w:val="32"/>
          <w:szCs w:val="32"/>
          <w:lang w:val="en-US" w:eastAsia="zh-CN"/>
        </w:rPr>
        <w:t>对象</w:t>
      </w:r>
    </w:p>
    <w:p>
      <w:pPr>
        <w:pStyle w:val="30"/>
        <w:numPr>
          <w:ilvl w:val="0"/>
          <w:numId w:val="0"/>
        </w:numPr>
        <w:spacing w:line="540" w:lineRule="exact"/>
        <w:ind w:firstLine="632" w:firstLineChars="200"/>
        <w:rPr>
          <w:rFonts w:hint="default" w:ascii="Times New Roman" w:hAnsi="Times New Roman" w:eastAsia="仿宋" w:cs="Times New Roman"/>
          <w:spacing w:val="-2"/>
          <w:kern w:val="2"/>
          <w:sz w:val="32"/>
          <w:szCs w:val="32"/>
          <w:lang w:val="en-US" w:eastAsia="zh-CN"/>
        </w:rPr>
      </w:pPr>
      <w:r>
        <w:rPr>
          <w:rFonts w:hint="default" w:ascii="Times New Roman" w:hAnsi="Times New Roman" w:eastAsia="仿宋" w:cs="Times New Roman"/>
          <w:spacing w:val="-2"/>
          <w:kern w:val="2"/>
          <w:sz w:val="32"/>
          <w:szCs w:val="32"/>
          <w:lang w:val="en-US" w:eastAsia="zh-CN"/>
        </w:rPr>
        <w:t>充分考虑评议对象特点和实际应用场景，将评议对象分为财政</w:t>
      </w:r>
      <w:r>
        <w:rPr>
          <w:rFonts w:hint="default" w:ascii="Times New Roman" w:hAnsi="Times New Roman" w:eastAsia="仿宋" w:cs="Times New Roman"/>
          <w:spacing w:val="-2"/>
          <w:kern w:val="2"/>
          <w:sz w:val="32"/>
          <w:szCs w:val="32"/>
        </w:rPr>
        <w:t>资金</w:t>
      </w:r>
      <w:r>
        <w:rPr>
          <w:rFonts w:hint="default" w:ascii="Times New Roman" w:hAnsi="Times New Roman" w:eastAsia="仿宋" w:cs="Times New Roman"/>
          <w:spacing w:val="-2"/>
          <w:kern w:val="2"/>
          <w:sz w:val="32"/>
          <w:szCs w:val="32"/>
          <w:lang w:val="en-US" w:eastAsia="zh-CN"/>
        </w:rPr>
        <w:t>资助下的</w:t>
      </w:r>
      <w:r>
        <w:rPr>
          <w:rFonts w:hint="default" w:ascii="Times New Roman" w:hAnsi="Times New Roman" w:eastAsia="仿宋" w:cs="Times New Roman"/>
          <w:spacing w:val="-2"/>
          <w:kern w:val="2"/>
          <w:sz w:val="32"/>
          <w:szCs w:val="32"/>
        </w:rPr>
        <w:t>公共管理活动</w:t>
      </w:r>
      <w:r>
        <w:rPr>
          <w:rFonts w:hint="default" w:ascii="Times New Roman" w:hAnsi="Times New Roman" w:eastAsia="仿宋" w:cs="Times New Roman"/>
          <w:spacing w:val="-2"/>
          <w:kern w:val="2"/>
          <w:sz w:val="32"/>
          <w:szCs w:val="32"/>
          <w:lang w:eastAsia="zh-CN"/>
        </w:rPr>
        <w:t>（</w:t>
      </w:r>
      <w:r>
        <w:rPr>
          <w:rFonts w:hint="default" w:ascii="Times New Roman" w:hAnsi="Times New Roman" w:eastAsia="仿宋" w:cs="Times New Roman"/>
          <w:spacing w:val="-2"/>
          <w:kern w:val="2"/>
          <w:sz w:val="32"/>
          <w:szCs w:val="32"/>
          <w:lang w:val="en-US" w:eastAsia="zh-CN"/>
        </w:rPr>
        <w:t>适用单位类型一般是政府、高校院所等</w:t>
      </w:r>
      <w:r>
        <w:rPr>
          <w:rFonts w:hint="default" w:ascii="Times New Roman" w:hAnsi="Times New Roman" w:eastAsia="仿宋" w:cs="Times New Roman"/>
          <w:spacing w:val="-2"/>
          <w:kern w:val="2"/>
          <w:sz w:val="32"/>
          <w:szCs w:val="32"/>
          <w:lang w:eastAsia="zh-CN"/>
        </w:rPr>
        <w:t>）</w:t>
      </w:r>
      <w:r>
        <w:rPr>
          <w:rFonts w:hint="default" w:ascii="Times New Roman" w:hAnsi="Times New Roman" w:eastAsia="仿宋" w:cs="Times New Roman"/>
          <w:spacing w:val="-2"/>
          <w:kern w:val="2"/>
          <w:sz w:val="32"/>
          <w:szCs w:val="32"/>
          <w:lang w:val="en-US" w:eastAsia="zh-CN"/>
        </w:rPr>
        <w:t>和</w:t>
      </w:r>
      <w:r>
        <w:rPr>
          <w:rFonts w:hint="default" w:ascii="Times New Roman" w:hAnsi="Times New Roman" w:eastAsia="仿宋" w:cs="Times New Roman"/>
          <w:spacing w:val="-2"/>
          <w:kern w:val="2"/>
          <w:sz w:val="32"/>
          <w:szCs w:val="32"/>
        </w:rPr>
        <w:t>民营资金</w:t>
      </w:r>
      <w:r>
        <w:rPr>
          <w:rFonts w:hint="default" w:ascii="Times New Roman" w:hAnsi="Times New Roman" w:eastAsia="仿宋" w:cs="Times New Roman"/>
          <w:spacing w:val="-2"/>
          <w:kern w:val="2"/>
          <w:sz w:val="32"/>
          <w:szCs w:val="32"/>
          <w:lang w:val="en-US" w:eastAsia="zh-CN"/>
        </w:rPr>
        <w:t>资助下的</w:t>
      </w:r>
      <w:r>
        <w:rPr>
          <w:rFonts w:hint="default" w:ascii="Times New Roman" w:hAnsi="Times New Roman" w:eastAsia="仿宋" w:cs="Times New Roman"/>
          <w:spacing w:val="-2"/>
          <w:kern w:val="2"/>
          <w:sz w:val="32"/>
          <w:szCs w:val="32"/>
        </w:rPr>
        <w:t>商业管理活动</w:t>
      </w:r>
      <w:r>
        <w:rPr>
          <w:rFonts w:hint="default" w:ascii="Times New Roman" w:hAnsi="Times New Roman" w:eastAsia="仿宋" w:cs="Times New Roman"/>
          <w:spacing w:val="-2"/>
          <w:kern w:val="2"/>
          <w:sz w:val="32"/>
          <w:szCs w:val="32"/>
          <w:lang w:eastAsia="zh-CN"/>
        </w:rPr>
        <w:t>（</w:t>
      </w:r>
      <w:r>
        <w:rPr>
          <w:rFonts w:hint="default" w:ascii="Times New Roman" w:hAnsi="Times New Roman" w:eastAsia="仿宋" w:cs="Times New Roman"/>
          <w:spacing w:val="-2"/>
          <w:kern w:val="2"/>
          <w:sz w:val="32"/>
          <w:szCs w:val="32"/>
          <w:lang w:val="en-US" w:eastAsia="zh-CN"/>
        </w:rPr>
        <w:t>适用单位类型一般是企业、民间组织等</w:t>
      </w:r>
      <w:r>
        <w:rPr>
          <w:rFonts w:hint="default" w:ascii="Times New Roman" w:hAnsi="Times New Roman" w:eastAsia="仿宋" w:cs="Times New Roman"/>
          <w:spacing w:val="-2"/>
          <w:kern w:val="2"/>
          <w:sz w:val="32"/>
          <w:szCs w:val="32"/>
          <w:lang w:eastAsia="zh-CN"/>
        </w:rPr>
        <w:t>）</w:t>
      </w:r>
      <w:r>
        <w:rPr>
          <w:rFonts w:hint="default" w:ascii="Times New Roman" w:hAnsi="Times New Roman" w:eastAsia="仿宋" w:cs="Times New Roman"/>
          <w:spacing w:val="-2"/>
          <w:kern w:val="2"/>
          <w:sz w:val="32"/>
          <w:szCs w:val="32"/>
          <w:lang w:val="en-US" w:eastAsia="zh-CN"/>
        </w:rPr>
        <w:t>两大类重大经济科技活动</w:t>
      </w:r>
      <w:r>
        <w:rPr>
          <w:rFonts w:hint="default" w:ascii="Times New Roman" w:hAnsi="Times New Roman" w:eastAsia="仿宋" w:cs="Times New Roman"/>
          <w:spacing w:val="-2"/>
          <w:kern w:val="2"/>
          <w:sz w:val="32"/>
          <w:szCs w:val="32"/>
          <w:lang w:eastAsia="zh-CN"/>
        </w:rPr>
        <w:t>，</w:t>
      </w:r>
      <w:r>
        <w:rPr>
          <w:rFonts w:hint="default" w:ascii="Times New Roman" w:hAnsi="Times New Roman" w:eastAsia="仿宋" w:cs="Times New Roman"/>
          <w:spacing w:val="-2"/>
          <w:kern w:val="2"/>
          <w:sz w:val="32"/>
          <w:szCs w:val="32"/>
          <w:lang w:val="en-US" w:eastAsia="zh-CN"/>
        </w:rPr>
        <w:t>进一步细分到6类项目。</w:t>
      </w:r>
    </w:p>
    <w:p>
      <w:pPr>
        <w:pStyle w:val="30"/>
        <w:numPr>
          <w:ilvl w:val="0"/>
          <w:numId w:val="0"/>
        </w:numPr>
        <w:spacing w:line="540" w:lineRule="exact"/>
        <w:ind w:firstLine="634" w:firstLineChars="200"/>
        <w:rPr>
          <w:rFonts w:hint="default" w:ascii="Times New Roman" w:hAnsi="Times New Roman" w:eastAsia="仿宋" w:cs="Times New Roman"/>
          <w:b/>
          <w:bCs/>
          <w:spacing w:val="-2"/>
          <w:kern w:val="2"/>
          <w:sz w:val="32"/>
          <w:szCs w:val="32"/>
        </w:rPr>
      </w:pPr>
      <w:r>
        <w:rPr>
          <w:rFonts w:hint="default" w:ascii="Times New Roman" w:hAnsi="Times New Roman" w:eastAsia="仿宋" w:cs="Times New Roman"/>
          <w:b/>
          <w:bCs/>
          <w:spacing w:val="-2"/>
          <w:kern w:val="2"/>
          <w:sz w:val="32"/>
          <w:szCs w:val="32"/>
          <w:lang w:val="en-US" w:eastAsia="zh-CN"/>
        </w:rPr>
        <w:t>1.</w:t>
      </w:r>
      <w:r>
        <w:rPr>
          <w:rFonts w:hint="default" w:ascii="Times New Roman" w:hAnsi="Times New Roman" w:eastAsia="仿宋" w:cs="Times New Roman"/>
          <w:b/>
          <w:bCs/>
          <w:spacing w:val="-2"/>
          <w:kern w:val="2"/>
          <w:sz w:val="32"/>
          <w:szCs w:val="32"/>
        </w:rPr>
        <w:t>财政资金公共管理活动</w:t>
      </w:r>
    </w:p>
    <w:p>
      <w:pPr>
        <w:pStyle w:val="30"/>
        <w:numPr>
          <w:ilvl w:val="0"/>
          <w:numId w:val="0"/>
        </w:numPr>
        <w:spacing w:line="540" w:lineRule="exact"/>
        <w:ind w:firstLine="634" w:firstLineChars="200"/>
        <w:rPr>
          <w:rFonts w:hint="default" w:ascii="Times New Roman" w:hAnsi="Times New Roman" w:eastAsia="仿宋" w:cs="Times New Roman"/>
          <w:b/>
          <w:bCs/>
          <w:spacing w:val="-2"/>
          <w:kern w:val="2"/>
          <w:sz w:val="32"/>
          <w:szCs w:val="32"/>
        </w:rPr>
      </w:pPr>
      <w:r>
        <w:rPr>
          <w:rFonts w:hint="default" w:ascii="Times New Roman" w:hAnsi="Times New Roman" w:eastAsia="仿宋" w:cs="Times New Roman"/>
          <w:b/>
          <w:bCs/>
          <w:spacing w:val="-2"/>
          <w:kern w:val="2"/>
          <w:sz w:val="32"/>
          <w:szCs w:val="32"/>
          <w:lang w:eastAsia="zh-CN"/>
        </w:rPr>
        <w:t>（</w:t>
      </w:r>
      <w:r>
        <w:rPr>
          <w:rFonts w:hint="default" w:ascii="Times New Roman" w:hAnsi="Times New Roman" w:eastAsia="仿宋" w:cs="Times New Roman"/>
          <w:b/>
          <w:bCs/>
          <w:spacing w:val="-2"/>
          <w:kern w:val="2"/>
          <w:sz w:val="32"/>
          <w:szCs w:val="32"/>
          <w:lang w:val="en-US" w:eastAsia="zh-CN"/>
        </w:rPr>
        <w:t>1</w:t>
      </w:r>
      <w:r>
        <w:rPr>
          <w:rFonts w:hint="default" w:ascii="Times New Roman" w:hAnsi="Times New Roman" w:eastAsia="仿宋" w:cs="Times New Roman"/>
          <w:b/>
          <w:bCs/>
          <w:spacing w:val="-2"/>
          <w:kern w:val="2"/>
          <w:sz w:val="32"/>
          <w:szCs w:val="32"/>
          <w:lang w:eastAsia="zh-CN"/>
        </w:rPr>
        <w:t>）</w:t>
      </w:r>
      <w:r>
        <w:rPr>
          <w:rFonts w:hint="default" w:ascii="Times New Roman" w:hAnsi="Times New Roman" w:eastAsia="仿宋" w:cs="Times New Roman"/>
          <w:b/>
          <w:bCs/>
          <w:spacing w:val="-2"/>
          <w:kern w:val="2"/>
          <w:sz w:val="32"/>
          <w:szCs w:val="32"/>
        </w:rPr>
        <w:t>产业发展项目</w:t>
      </w:r>
    </w:p>
    <w:p>
      <w:pPr>
        <w:pStyle w:val="30"/>
        <w:numPr>
          <w:ilvl w:val="0"/>
          <w:numId w:val="0"/>
        </w:numPr>
        <w:spacing w:line="540" w:lineRule="exact"/>
        <w:ind w:firstLine="632" w:firstLineChars="200"/>
        <w:rPr>
          <w:rFonts w:hint="default" w:ascii="Times New Roman" w:hAnsi="Times New Roman" w:eastAsia="仿宋" w:cs="Times New Roman"/>
          <w:spacing w:val="-2"/>
          <w:kern w:val="2"/>
          <w:sz w:val="32"/>
          <w:szCs w:val="32"/>
        </w:rPr>
      </w:pPr>
      <w:r>
        <w:rPr>
          <w:rFonts w:hint="default" w:ascii="Times New Roman" w:hAnsi="Times New Roman" w:eastAsia="仿宋" w:cs="Times New Roman"/>
          <w:spacing w:val="-2"/>
          <w:kern w:val="2"/>
          <w:sz w:val="32"/>
          <w:szCs w:val="32"/>
        </w:rPr>
        <w:t>财政性资金投入2000万元及以上的重大经济建设、经济发展项目、国企并购重组、重大装备引进、国际投资合作等项目。</w:t>
      </w:r>
    </w:p>
    <w:p>
      <w:pPr>
        <w:pStyle w:val="30"/>
        <w:numPr>
          <w:ilvl w:val="0"/>
          <w:numId w:val="0"/>
        </w:numPr>
        <w:spacing w:line="540" w:lineRule="exact"/>
        <w:ind w:firstLine="634" w:firstLineChars="200"/>
        <w:rPr>
          <w:rFonts w:hint="default" w:ascii="Times New Roman" w:hAnsi="Times New Roman" w:eastAsia="仿宋" w:cs="Times New Roman"/>
          <w:b/>
          <w:bCs/>
          <w:spacing w:val="-2"/>
          <w:kern w:val="2"/>
          <w:sz w:val="32"/>
          <w:szCs w:val="32"/>
        </w:rPr>
      </w:pPr>
      <w:r>
        <w:rPr>
          <w:rFonts w:hint="default" w:ascii="Times New Roman" w:hAnsi="Times New Roman" w:eastAsia="仿宋" w:cs="Times New Roman"/>
          <w:b/>
          <w:bCs/>
          <w:spacing w:val="-2"/>
          <w:kern w:val="2"/>
          <w:sz w:val="32"/>
          <w:szCs w:val="32"/>
          <w:lang w:eastAsia="zh-CN"/>
        </w:rPr>
        <w:t>（</w:t>
      </w:r>
      <w:r>
        <w:rPr>
          <w:rFonts w:hint="default" w:ascii="Times New Roman" w:hAnsi="Times New Roman" w:eastAsia="仿宋" w:cs="Times New Roman"/>
          <w:b/>
          <w:bCs/>
          <w:spacing w:val="-2"/>
          <w:kern w:val="2"/>
          <w:sz w:val="32"/>
          <w:szCs w:val="32"/>
          <w:lang w:val="en-US" w:eastAsia="zh-CN"/>
        </w:rPr>
        <w:t>2</w:t>
      </w:r>
      <w:r>
        <w:rPr>
          <w:rFonts w:hint="default" w:ascii="Times New Roman" w:hAnsi="Times New Roman" w:eastAsia="仿宋" w:cs="Times New Roman"/>
          <w:b/>
          <w:bCs/>
          <w:spacing w:val="-2"/>
          <w:kern w:val="2"/>
          <w:sz w:val="32"/>
          <w:szCs w:val="32"/>
          <w:lang w:eastAsia="zh-CN"/>
        </w:rPr>
        <w:t>）</w:t>
      </w:r>
      <w:r>
        <w:rPr>
          <w:rFonts w:hint="default" w:ascii="Times New Roman" w:hAnsi="Times New Roman" w:eastAsia="仿宋" w:cs="Times New Roman"/>
          <w:b/>
          <w:bCs/>
          <w:spacing w:val="-2"/>
          <w:kern w:val="2"/>
          <w:sz w:val="32"/>
          <w:szCs w:val="32"/>
        </w:rPr>
        <w:t>科技创新项目</w:t>
      </w:r>
    </w:p>
    <w:p>
      <w:pPr>
        <w:pStyle w:val="30"/>
        <w:numPr>
          <w:ilvl w:val="0"/>
          <w:numId w:val="0"/>
        </w:numPr>
        <w:spacing w:line="540" w:lineRule="exact"/>
        <w:ind w:firstLine="632" w:firstLineChars="200"/>
        <w:rPr>
          <w:rFonts w:hint="default" w:ascii="Times New Roman" w:hAnsi="Times New Roman" w:eastAsia="仿宋" w:cs="Times New Roman"/>
          <w:spacing w:val="-2"/>
          <w:kern w:val="2"/>
          <w:sz w:val="32"/>
          <w:szCs w:val="32"/>
        </w:rPr>
      </w:pPr>
      <w:r>
        <w:rPr>
          <w:rFonts w:hint="default" w:ascii="Times New Roman" w:hAnsi="Times New Roman" w:eastAsia="仿宋" w:cs="Times New Roman"/>
          <w:spacing w:val="-2"/>
          <w:kern w:val="2"/>
          <w:sz w:val="32"/>
          <w:szCs w:val="32"/>
        </w:rPr>
        <w:t>财政性资金投入500万元及以上的重大招商项目、重大科技成果转移转化、核心技术转让、重大技术引进和技术改造等项目。</w:t>
      </w:r>
    </w:p>
    <w:p>
      <w:pPr>
        <w:pStyle w:val="30"/>
        <w:numPr>
          <w:ilvl w:val="0"/>
          <w:numId w:val="0"/>
        </w:numPr>
        <w:spacing w:line="540" w:lineRule="exact"/>
        <w:ind w:firstLine="634" w:firstLineChars="200"/>
        <w:rPr>
          <w:rFonts w:hint="default" w:ascii="Times New Roman" w:hAnsi="Times New Roman" w:eastAsia="仿宋" w:cs="Times New Roman"/>
          <w:b/>
          <w:bCs/>
          <w:spacing w:val="-2"/>
          <w:kern w:val="2"/>
          <w:sz w:val="32"/>
          <w:szCs w:val="32"/>
        </w:rPr>
      </w:pPr>
      <w:r>
        <w:rPr>
          <w:rFonts w:hint="default" w:ascii="Times New Roman" w:hAnsi="Times New Roman" w:eastAsia="仿宋" w:cs="Times New Roman"/>
          <w:b/>
          <w:bCs/>
          <w:spacing w:val="-2"/>
          <w:kern w:val="2"/>
          <w:sz w:val="32"/>
          <w:szCs w:val="32"/>
          <w:lang w:eastAsia="zh-CN"/>
        </w:rPr>
        <w:t>（</w:t>
      </w:r>
      <w:r>
        <w:rPr>
          <w:rFonts w:hint="default" w:ascii="Times New Roman" w:hAnsi="Times New Roman" w:eastAsia="仿宋" w:cs="Times New Roman"/>
          <w:b/>
          <w:bCs/>
          <w:spacing w:val="-2"/>
          <w:kern w:val="2"/>
          <w:sz w:val="32"/>
          <w:szCs w:val="32"/>
          <w:lang w:val="en-US" w:eastAsia="zh-CN"/>
        </w:rPr>
        <w:t>3</w:t>
      </w:r>
      <w:r>
        <w:rPr>
          <w:rFonts w:hint="default" w:ascii="Times New Roman" w:hAnsi="Times New Roman" w:eastAsia="仿宋" w:cs="Times New Roman"/>
          <w:b/>
          <w:bCs/>
          <w:spacing w:val="-2"/>
          <w:kern w:val="2"/>
          <w:sz w:val="32"/>
          <w:szCs w:val="32"/>
          <w:lang w:eastAsia="zh-CN"/>
        </w:rPr>
        <w:t>）</w:t>
      </w:r>
      <w:r>
        <w:rPr>
          <w:rFonts w:hint="default" w:ascii="Times New Roman" w:hAnsi="Times New Roman" w:eastAsia="仿宋" w:cs="Times New Roman"/>
          <w:b/>
          <w:bCs/>
          <w:spacing w:val="-2"/>
          <w:kern w:val="2"/>
          <w:sz w:val="32"/>
          <w:szCs w:val="32"/>
        </w:rPr>
        <w:t>人才引进项目</w:t>
      </w:r>
    </w:p>
    <w:p>
      <w:pPr>
        <w:pStyle w:val="30"/>
        <w:numPr>
          <w:ilvl w:val="0"/>
          <w:numId w:val="0"/>
        </w:numPr>
        <w:spacing w:line="540" w:lineRule="exact"/>
        <w:ind w:firstLine="632" w:firstLineChars="200"/>
        <w:rPr>
          <w:rFonts w:hint="default" w:ascii="Times New Roman" w:hAnsi="Times New Roman" w:eastAsia="仿宋" w:cs="Times New Roman"/>
          <w:spacing w:val="-2"/>
          <w:kern w:val="2"/>
          <w:sz w:val="32"/>
          <w:szCs w:val="32"/>
        </w:rPr>
      </w:pPr>
      <w:r>
        <w:rPr>
          <w:rFonts w:hint="default" w:ascii="Times New Roman" w:hAnsi="Times New Roman" w:eastAsia="仿宋" w:cs="Times New Roman"/>
          <w:spacing w:val="-2"/>
          <w:kern w:val="2"/>
          <w:sz w:val="32"/>
          <w:szCs w:val="32"/>
        </w:rPr>
        <w:t>财政性资金投入100万元及以上的按“一事一议”原则开展的重大创新创业人才或者团队引进等项目。</w:t>
      </w:r>
    </w:p>
    <w:p>
      <w:pPr>
        <w:pStyle w:val="30"/>
        <w:numPr>
          <w:ilvl w:val="0"/>
          <w:numId w:val="0"/>
        </w:numPr>
        <w:spacing w:line="540" w:lineRule="exact"/>
        <w:ind w:firstLine="634" w:firstLineChars="200"/>
        <w:rPr>
          <w:rFonts w:hint="default" w:ascii="Times New Roman" w:hAnsi="Times New Roman" w:eastAsia="仿宋" w:cs="Times New Roman"/>
          <w:b/>
          <w:bCs/>
          <w:spacing w:val="-2"/>
          <w:kern w:val="2"/>
          <w:sz w:val="32"/>
          <w:szCs w:val="32"/>
        </w:rPr>
      </w:pPr>
      <w:r>
        <w:rPr>
          <w:rFonts w:hint="default" w:ascii="Times New Roman" w:hAnsi="Times New Roman" w:eastAsia="仿宋" w:cs="Times New Roman"/>
          <w:b/>
          <w:bCs/>
          <w:spacing w:val="-2"/>
          <w:kern w:val="2"/>
          <w:sz w:val="32"/>
          <w:szCs w:val="32"/>
          <w:lang w:val="en-US" w:eastAsia="zh-CN"/>
        </w:rPr>
        <w:t>2.</w:t>
      </w:r>
      <w:r>
        <w:rPr>
          <w:rFonts w:hint="default" w:ascii="Times New Roman" w:hAnsi="Times New Roman" w:eastAsia="仿宋" w:cs="Times New Roman"/>
          <w:b/>
          <w:bCs/>
          <w:spacing w:val="-2"/>
          <w:kern w:val="2"/>
          <w:sz w:val="32"/>
          <w:szCs w:val="32"/>
        </w:rPr>
        <w:t>民营资金商业管理活动</w:t>
      </w:r>
    </w:p>
    <w:p>
      <w:pPr>
        <w:pStyle w:val="30"/>
        <w:numPr>
          <w:ilvl w:val="0"/>
          <w:numId w:val="0"/>
        </w:numPr>
        <w:spacing w:line="540" w:lineRule="exact"/>
        <w:ind w:firstLine="634" w:firstLineChars="200"/>
        <w:rPr>
          <w:rFonts w:hint="default" w:ascii="Times New Roman" w:hAnsi="Times New Roman" w:eastAsia="仿宋" w:cs="Times New Roman"/>
          <w:b/>
          <w:bCs/>
          <w:spacing w:val="-2"/>
          <w:kern w:val="2"/>
          <w:sz w:val="32"/>
          <w:szCs w:val="32"/>
        </w:rPr>
      </w:pPr>
      <w:r>
        <w:rPr>
          <w:rFonts w:hint="default" w:ascii="Times New Roman" w:hAnsi="Times New Roman" w:eastAsia="仿宋" w:cs="Times New Roman"/>
          <w:b/>
          <w:bCs/>
          <w:spacing w:val="-2"/>
          <w:kern w:val="2"/>
          <w:sz w:val="32"/>
          <w:szCs w:val="32"/>
          <w:lang w:eastAsia="zh-CN"/>
        </w:rPr>
        <w:t>（</w:t>
      </w:r>
      <w:r>
        <w:rPr>
          <w:rFonts w:hint="default" w:ascii="Times New Roman" w:hAnsi="Times New Roman" w:eastAsia="仿宋" w:cs="Times New Roman"/>
          <w:b/>
          <w:bCs/>
          <w:spacing w:val="-2"/>
          <w:kern w:val="2"/>
          <w:sz w:val="32"/>
          <w:szCs w:val="32"/>
          <w:lang w:val="en-US" w:eastAsia="zh-CN"/>
        </w:rPr>
        <w:t>1</w:t>
      </w:r>
      <w:r>
        <w:rPr>
          <w:rFonts w:hint="default" w:ascii="Times New Roman" w:hAnsi="Times New Roman" w:eastAsia="仿宋" w:cs="Times New Roman"/>
          <w:b/>
          <w:bCs/>
          <w:spacing w:val="-2"/>
          <w:kern w:val="2"/>
          <w:sz w:val="32"/>
          <w:szCs w:val="32"/>
          <w:lang w:eastAsia="zh-CN"/>
        </w:rPr>
        <w:t>）</w:t>
      </w:r>
      <w:r>
        <w:rPr>
          <w:rFonts w:hint="default" w:ascii="Times New Roman" w:hAnsi="Times New Roman" w:eastAsia="仿宋" w:cs="Times New Roman"/>
          <w:b/>
          <w:bCs/>
          <w:spacing w:val="-2"/>
          <w:kern w:val="2"/>
          <w:sz w:val="32"/>
          <w:szCs w:val="32"/>
        </w:rPr>
        <w:t>贸易运营项目</w:t>
      </w:r>
    </w:p>
    <w:p>
      <w:pPr>
        <w:pStyle w:val="30"/>
        <w:numPr>
          <w:ilvl w:val="0"/>
          <w:numId w:val="0"/>
        </w:numPr>
        <w:spacing w:line="540" w:lineRule="exact"/>
        <w:ind w:firstLine="632" w:firstLineChars="200"/>
        <w:rPr>
          <w:rFonts w:hint="default" w:ascii="Times New Roman" w:hAnsi="Times New Roman" w:eastAsia="仿宋" w:cs="Times New Roman"/>
          <w:spacing w:val="-2"/>
          <w:kern w:val="2"/>
          <w:sz w:val="32"/>
          <w:szCs w:val="32"/>
        </w:rPr>
      </w:pPr>
      <w:r>
        <w:rPr>
          <w:rFonts w:hint="default" w:ascii="Times New Roman" w:hAnsi="Times New Roman" w:eastAsia="仿宋" w:cs="Times New Roman"/>
          <w:spacing w:val="-2"/>
          <w:kern w:val="2"/>
          <w:sz w:val="32"/>
          <w:szCs w:val="32"/>
        </w:rPr>
        <w:t>企业产品上市、产品出口、供应链管理、产品参展和国际贸易争端应对等项目。</w:t>
      </w:r>
    </w:p>
    <w:p>
      <w:pPr>
        <w:pStyle w:val="30"/>
        <w:numPr>
          <w:ilvl w:val="0"/>
          <w:numId w:val="0"/>
        </w:numPr>
        <w:spacing w:line="540" w:lineRule="exact"/>
        <w:ind w:firstLine="634" w:firstLineChars="200"/>
        <w:rPr>
          <w:rFonts w:hint="default" w:ascii="Times New Roman" w:hAnsi="Times New Roman" w:eastAsia="仿宋" w:cs="Times New Roman"/>
          <w:b/>
          <w:bCs/>
          <w:spacing w:val="-2"/>
          <w:kern w:val="2"/>
          <w:sz w:val="32"/>
          <w:szCs w:val="32"/>
        </w:rPr>
      </w:pPr>
      <w:r>
        <w:rPr>
          <w:rFonts w:hint="default" w:ascii="Times New Roman" w:hAnsi="Times New Roman" w:eastAsia="仿宋" w:cs="Times New Roman"/>
          <w:b/>
          <w:bCs/>
          <w:spacing w:val="-2"/>
          <w:kern w:val="2"/>
          <w:sz w:val="32"/>
          <w:szCs w:val="32"/>
          <w:lang w:eastAsia="zh-CN"/>
        </w:rPr>
        <w:t>（</w:t>
      </w:r>
      <w:r>
        <w:rPr>
          <w:rFonts w:hint="default" w:ascii="Times New Roman" w:hAnsi="Times New Roman" w:eastAsia="仿宋" w:cs="Times New Roman"/>
          <w:b/>
          <w:bCs/>
          <w:spacing w:val="-2"/>
          <w:kern w:val="2"/>
          <w:sz w:val="32"/>
          <w:szCs w:val="32"/>
          <w:lang w:val="en-US" w:eastAsia="zh-CN"/>
        </w:rPr>
        <w:t>2</w:t>
      </w:r>
      <w:r>
        <w:rPr>
          <w:rFonts w:hint="default" w:ascii="Times New Roman" w:hAnsi="Times New Roman" w:eastAsia="仿宋" w:cs="Times New Roman"/>
          <w:b/>
          <w:bCs/>
          <w:spacing w:val="-2"/>
          <w:kern w:val="2"/>
          <w:sz w:val="32"/>
          <w:szCs w:val="32"/>
          <w:lang w:eastAsia="zh-CN"/>
        </w:rPr>
        <w:t>）</w:t>
      </w:r>
      <w:r>
        <w:rPr>
          <w:rFonts w:hint="default" w:ascii="Times New Roman" w:hAnsi="Times New Roman" w:eastAsia="仿宋" w:cs="Times New Roman"/>
          <w:b/>
          <w:bCs/>
          <w:spacing w:val="-2"/>
          <w:kern w:val="2"/>
          <w:sz w:val="32"/>
          <w:szCs w:val="32"/>
        </w:rPr>
        <w:t>技术创新项目</w:t>
      </w:r>
    </w:p>
    <w:p>
      <w:pPr>
        <w:pStyle w:val="30"/>
        <w:numPr>
          <w:ilvl w:val="0"/>
          <w:numId w:val="0"/>
        </w:numPr>
        <w:spacing w:line="540" w:lineRule="exact"/>
        <w:ind w:firstLine="632" w:firstLineChars="200"/>
        <w:rPr>
          <w:rFonts w:hint="default" w:ascii="Times New Roman" w:hAnsi="Times New Roman" w:eastAsia="仿宋" w:cs="Times New Roman"/>
          <w:spacing w:val="-2"/>
          <w:kern w:val="2"/>
          <w:sz w:val="32"/>
          <w:szCs w:val="32"/>
        </w:rPr>
      </w:pPr>
      <w:r>
        <w:rPr>
          <w:rFonts w:hint="default" w:ascii="Times New Roman" w:hAnsi="Times New Roman" w:eastAsia="仿宋" w:cs="Times New Roman"/>
          <w:spacing w:val="-2"/>
          <w:kern w:val="2"/>
          <w:sz w:val="32"/>
          <w:szCs w:val="32"/>
        </w:rPr>
        <w:t>企业产品技术趋势分析、技术引进或合作开发、创新成果布局规划、竞争对手分析和技术标准制定等项目。</w:t>
      </w:r>
    </w:p>
    <w:p>
      <w:pPr>
        <w:pStyle w:val="30"/>
        <w:numPr>
          <w:ilvl w:val="0"/>
          <w:numId w:val="0"/>
        </w:numPr>
        <w:spacing w:line="540" w:lineRule="exact"/>
        <w:ind w:firstLine="634" w:firstLineChars="200"/>
        <w:rPr>
          <w:rFonts w:hint="default" w:ascii="Times New Roman" w:hAnsi="Times New Roman" w:eastAsia="仿宋" w:cs="Times New Roman"/>
          <w:b/>
          <w:bCs/>
          <w:spacing w:val="-2"/>
          <w:kern w:val="2"/>
          <w:sz w:val="32"/>
          <w:szCs w:val="32"/>
        </w:rPr>
      </w:pPr>
      <w:r>
        <w:rPr>
          <w:rFonts w:hint="default" w:ascii="Times New Roman" w:hAnsi="Times New Roman" w:eastAsia="仿宋" w:cs="Times New Roman"/>
          <w:b/>
          <w:bCs/>
          <w:spacing w:val="-2"/>
          <w:kern w:val="2"/>
          <w:sz w:val="32"/>
          <w:szCs w:val="32"/>
          <w:lang w:eastAsia="zh-CN"/>
        </w:rPr>
        <w:t>（</w:t>
      </w:r>
      <w:r>
        <w:rPr>
          <w:rFonts w:hint="default" w:ascii="Times New Roman" w:hAnsi="Times New Roman" w:eastAsia="仿宋" w:cs="Times New Roman"/>
          <w:b/>
          <w:bCs/>
          <w:spacing w:val="-2"/>
          <w:kern w:val="2"/>
          <w:sz w:val="32"/>
          <w:szCs w:val="32"/>
          <w:lang w:val="en-US" w:eastAsia="zh-CN"/>
        </w:rPr>
        <w:t>3</w:t>
      </w:r>
      <w:r>
        <w:rPr>
          <w:rFonts w:hint="default" w:ascii="Times New Roman" w:hAnsi="Times New Roman" w:eastAsia="仿宋" w:cs="Times New Roman"/>
          <w:b/>
          <w:bCs/>
          <w:spacing w:val="-2"/>
          <w:kern w:val="2"/>
          <w:sz w:val="32"/>
          <w:szCs w:val="32"/>
          <w:lang w:eastAsia="zh-CN"/>
        </w:rPr>
        <w:t>）</w:t>
      </w:r>
      <w:r>
        <w:rPr>
          <w:rFonts w:hint="default" w:ascii="Times New Roman" w:hAnsi="Times New Roman" w:eastAsia="仿宋" w:cs="Times New Roman"/>
          <w:b/>
          <w:bCs/>
          <w:spacing w:val="-2"/>
          <w:kern w:val="2"/>
          <w:sz w:val="32"/>
          <w:szCs w:val="32"/>
        </w:rPr>
        <w:t>战略决策项目</w:t>
      </w:r>
    </w:p>
    <w:p>
      <w:pPr>
        <w:pStyle w:val="30"/>
        <w:numPr>
          <w:ilvl w:val="0"/>
          <w:numId w:val="0"/>
        </w:numPr>
        <w:spacing w:line="540" w:lineRule="exact"/>
        <w:ind w:firstLine="632" w:firstLineChars="200"/>
        <w:rPr>
          <w:rFonts w:hint="default" w:ascii="Times New Roman" w:hAnsi="Times New Roman" w:eastAsia="仿宋" w:cs="Times New Roman"/>
          <w:spacing w:val="-2"/>
          <w:kern w:val="2"/>
          <w:sz w:val="32"/>
          <w:szCs w:val="32"/>
        </w:rPr>
      </w:pPr>
      <w:r>
        <w:rPr>
          <w:rFonts w:hint="default" w:ascii="Times New Roman" w:hAnsi="Times New Roman" w:eastAsia="仿宋" w:cs="Times New Roman"/>
          <w:spacing w:val="-2"/>
          <w:kern w:val="2"/>
          <w:sz w:val="32"/>
          <w:szCs w:val="32"/>
        </w:rPr>
        <w:t>企业并购、资产重组、风险管理、国际化战略制定和投资决策等项目。</w:t>
      </w:r>
    </w:p>
    <w:p>
      <w:pPr>
        <w:spacing w:line="540" w:lineRule="exact"/>
        <w:ind w:firstLine="642" w:firstLineChars="200"/>
        <w:outlineLvl w:val="1"/>
        <w:rPr>
          <w:rFonts w:hint="default" w:ascii="Times New Roman" w:hAnsi="Times New Roman" w:eastAsia="仿宋" w:cs="Times New Roman"/>
          <w:b/>
          <w:bCs/>
          <w:kern w:val="0"/>
          <w:sz w:val="32"/>
          <w:szCs w:val="32"/>
          <w:lang w:val="en-US" w:eastAsia="zh-CN"/>
        </w:rPr>
      </w:pPr>
      <w:r>
        <w:rPr>
          <w:rFonts w:hint="default" w:ascii="Times New Roman" w:hAnsi="Times New Roman" w:eastAsia="仿宋" w:cs="Times New Roman"/>
          <w:b/>
          <w:bCs/>
          <w:kern w:val="0"/>
          <w:sz w:val="32"/>
          <w:szCs w:val="32"/>
        </w:rPr>
        <w:t>（</w:t>
      </w:r>
      <w:r>
        <w:rPr>
          <w:rFonts w:hint="default" w:ascii="Times New Roman" w:hAnsi="Times New Roman" w:eastAsia="仿宋" w:cs="Times New Roman"/>
          <w:b/>
          <w:bCs/>
          <w:kern w:val="0"/>
          <w:sz w:val="32"/>
          <w:szCs w:val="32"/>
          <w:lang w:val="en-US" w:eastAsia="zh-CN"/>
        </w:rPr>
        <w:t>六</w:t>
      </w:r>
      <w:r>
        <w:rPr>
          <w:rFonts w:hint="default" w:ascii="Times New Roman" w:hAnsi="Times New Roman" w:eastAsia="仿宋" w:cs="Times New Roman"/>
          <w:b/>
          <w:bCs/>
          <w:kern w:val="0"/>
          <w:sz w:val="32"/>
          <w:szCs w:val="32"/>
        </w:rPr>
        <w:t>）</w:t>
      </w:r>
      <w:r>
        <w:rPr>
          <w:rFonts w:hint="default" w:ascii="Times New Roman" w:hAnsi="Times New Roman" w:eastAsia="仿宋" w:cs="Times New Roman"/>
          <w:b/>
          <w:bCs/>
          <w:kern w:val="0"/>
          <w:sz w:val="32"/>
          <w:szCs w:val="32"/>
          <w:lang w:val="en-US" w:eastAsia="zh-CN"/>
        </w:rPr>
        <w:t>评议内容</w:t>
      </w:r>
    </w:p>
    <w:p>
      <w:pPr>
        <w:pStyle w:val="30"/>
        <w:numPr>
          <w:ilvl w:val="0"/>
          <w:numId w:val="0"/>
        </w:numPr>
        <w:spacing w:line="540" w:lineRule="exact"/>
        <w:ind w:firstLine="634" w:firstLineChars="200"/>
        <w:rPr>
          <w:rFonts w:hint="default" w:ascii="Times New Roman" w:hAnsi="Times New Roman" w:eastAsia="仿宋" w:cs="Times New Roman"/>
          <w:b/>
          <w:bCs/>
          <w:spacing w:val="-2"/>
          <w:kern w:val="2"/>
          <w:sz w:val="32"/>
          <w:szCs w:val="32"/>
          <w:lang w:val="en-US" w:eastAsia="zh-CN"/>
        </w:rPr>
      </w:pPr>
      <w:r>
        <w:rPr>
          <w:rFonts w:hint="default" w:ascii="Times New Roman" w:hAnsi="Times New Roman" w:eastAsia="仿宋" w:cs="Times New Roman"/>
          <w:b/>
          <w:bCs/>
          <w:spacing w:val="-2"/>
          <w:kern w:val="2"/>
          <w:sz w:val="32"/>
          <w:szCs w:val="32"/>
          <w:lang w:val="en-US" w:eastAsia="zh-CN"/>
        </w:rPr>
        <w:t>1.知识产权现实状态</w:t>
      </w:r>
    </w:p>
    <w:p>
      <w:pPr>
        <w:spacing w:line="540" w:lineRule="exact"/>
        <w:ind w:firstLine="632" w:firstLineChars="200"/>
        <w:rPr>
          <w:rFonts w:hint="default" w:ascii="Times New Roman" w:hAnsi="Times New Roman" w:eastAsia="仿宋" w:cs="Times New Roman"/>
          <w:spacing w:val="-2"/>
          <w:kern w:val="2"/>
          <w:sz w:val="32"/>
          <w:szCs w:val="32"/>
          <w:lang w:val="en-US" w:eastAsia="zh-CN" w:bidi="ar-SA"/>
        </w:rPr>
      </w:pPr>
      <w:r>
        <w:rPr>
          <w:rFonts w:hint="default" w:ascii="Times New Roman" w:hAnsi="Times New Roman" w:eastAsia="仿宋" w:cs="Times New Roman"/>
          <w:spacing w:val="-2"/>
          <w:kern w:val="2"/>
          <w:sz w:val="32"/>
          <w:szCs w:val="32"/>
          <w:lang w:val="en-US" w:eastAsia="zh-CN" w:bidi="ar-SA"/>
        </w:rPr>
        <w:t>知识产权的类型、法律状态、法律寿命和权属纠纷情况提供了知识产权的基本信息，是评议其他维度的基础，有助于评估知识产权的稳定性和有效性，为项目的顺利实施提供法律保障，避免因知识产权失效或纠纷问题导致的项目中断或失败。</w:t>
      </w:r>
    </w:p>
    <w:p>
      <w:pPr>
        <w:pStyle w:val="30"/>
        <w:numPr>
          <w:ilvl w:val="0"/>
          <w:numId w:val="0"/>
        </w:numPr>
        <w:spacing w:line="540" w:lineRule="exact"/>
        <w:ind w:firstLine="634" w:firstLineChars="200"/>
        <w:rPr>
          <w:rFonts w:hint="default" w:ascii="Times New Roman" w:hAnsi="Times New Roman" w:eastAsia="仿宋" w:cs="Times New Roman"/>
          <w:b/>
          <w:bCs/>
          <w:spacing w:val="-2"/>
          <w:kern w:val="2"/>
          <w:sz w:val="32"/>
          <w:szCs w:val="32"/>
          <w:lang w:val="en-US" w:eastAsia="zh-CN"/>
        </w:rPr>
      </w:pPr>
      <w:r>
        <w:rPr>
          <w:rFonts w:hint="default" w:ascii="Times New Roman" w:hAnsi="Times New Roman" w:eastAsia="仿宋" w:cs="Times New Roman"/>
          <w:b/>
          <w:bCs/>
          <w:spacing w:val="-2"/>
          <w:kern w:val="2"/>
          <w:sz w:val="32"/>
          <w:szCs w:val="32"/>
          <w:lang w:val="en-US" w:eastAsia="zh-CN"/>
        </w:rPr>
        <w:t>2.知识产权与项目匹配度</w:t>
      </w:r>
    </w:p>
    <w:p>
      <w:pPr>
        <w:spacing w:line="540" w:lineRule="exact"/>
        <w:ind w:firstLine="632" w:firstLineChars="200"/>
        <w:rPr>
          <w:rFonts w:hint="default" w:ascii="Times New Roman" w:hAnsi="Times New Roman" w:eastAsia="仿宋" w:cs="Times New Roman"/>
          <w:spacing w:val="-2"/>
          <w:kern w:val="2"/>
          <w:sz w:val="32"/>
          <w:szCs w:val="32"/>
          <w:lang w:val="en-US" w:eastAsia="zh-CN" w:bidi="ar-SA"/>
        </w:rPr>
      </w:pPr>
      <w:r>
        <w:rPr>
          <w:rFonts w:hint="default" w:ascii="Times New Roman" w:hAnsi="Times New Roman" w:eastAsia="仿宋" w:cs="Times New Roman"/>
          <w:spacing w:val="-2"/>
          <w:kern w:val="2"/>
          <w:sz w:val="32"/>
          <w:szCs w:val="32"/>
          <w:lang w:val="en-US" w:eastAsia="zh-CN" w:bidi="ar-SA"/>
        </w:rPr>
        <w:t>知识产权与项目关键技术之间的匹配度关系到项目本身的真实性和合理性，是评议项目的技术创新是否得到了充分的保护以及有效保护的基础。通过分析项目的实际场景、实际产品、技术情况与知识产权现实状态的基本一致性，避免项目实际技术方向出现重大误判。</w:t>
      </w:r>
    </w:p>
    <w:p>
      <w:pPr>
        <w:spacing w:line="540" w:lineRule="exact"/>
        <w:ind w:firstLine="634" w:firstLineChars="200"/>
        <w:rPr>
          <w:rFonts w:hint="default" w:ascii="Times New Roman" w:hAnsi="Times New Roman" w:eastAsia="仿宋" w:cs="Times New Roman"/>
          <w:b/>
          <w:bCs/>
          <w:spacing w:val="-2"/>
          <w:kern w:val="2"/>
          <w:sz w:val="32"/>
          <w:szCs w:val="32"/>
          <w:lang w:val="en-US" w:eastAsia="zh-CN" w:bidi="ar-SA"/>
        </w:rPr>
      </w:pPr>
      <w:r>
        <w:rPr>
          <w:rFonts w:hint="default" w:ascii="Times New Roman" w:hAnsi="Times New Roman" w:eastAsia="仿宋" w:cs="Times New Roman"/>
          <w:b/>
          <w:bCs/>
          <w:spacing w:val="-2"/>
          <w:kern w:val="2"/>
          <w:sz w:val="32"/>
          <w:szCs w:val="32"/>
          <w:lang w:val="en-US" w:eastAsia="zh-CN" w:bidi="ar-SA"/>
        </w:rPr>
        <w:t>3.知识产权保护状况</w:t>
      </w:r>
    </w:p>
    <w:p>
      <w:pPr>
        <w:spacing w:line="540" w:lineRule="exact"/>
        <w:ind w:firstLine="632" w:firstLineChars="200"/>
        <w:rPr>
          <w:rFonts w:hint="default" w:ascii="Times New Roman" w:hAnsi="Times New Roman" w:eastAsia="仿宋" w:cs="Times New Roman"/>
          <w:spacing w:val="-2"/>
          <w:kern w:val="2"/>
          <w:sz w:val="32"/>
          <w:szCs w:val="32"/>
          <w:lang w:val="en-US" w:eastAsia="zh-CN" w:bidi="ar-SA"/>
        </w:rPr>
      </w:pPr>
      <w:r>
        <w:rPr>
          <w:rFonts w:hint="default" w:ascii="Times New Roman" w:hAnsi="Times New Roman" w:eastAsia="仿宋" w:cs="Times New Roman"/>
          <w:spacing w:val="-2"/>
          <w:kern w:val="2"/>
          <w:sz w:val="32"/>
          <w:szCs w:val="32"/>
          <w:lang w:val="en-US" w:eastAsia="zh-CN" w:bidi="ar-SA"/>
        </w:rPr>
        <w:t>依据项目核心知识产权布局清单、项目知识产权保护范围和保护流程分析结果等评议知识产权的保护范围和力度，该评议内容可以评估项目未来是否能够在安全的法律环境中推进，从而分析项目的市场竞争力，帮助预判项目未来的可复制性和可规避性。</w:t>
      </w:r>
    </w:p>
    <w:p>
      <w:pPr>
        <w:spacing w:line="540" w:lineRule="exact"/>
        <w:ind w:firstLine="634" w:firstLineChars="200"/>
        <w:rPr>
          <w:rFonts w:hint="default" w:ascii="Times New Roman" w:hAnsi="Times New Roman" w:eastAsia="仿宋" w:cs="Times New Roman"/>
          <w:b/>
          <w:bCs/>
          <w:spacing w:val="-2"/>
          <w:kern w:val="2"/>
          <w:sz w:val="32"/>
          <w:szCs w:val="32"/>
          <w:lang w:val="en-US" w:eastAsia="zh-CN" w:bidi="ar-SA"/>
        </w:rPr>
      </w:pPr>
      <w:r>
        <w:rPr>
          <w:rFonts w:hint="default" w:ascii="Times New Roman" w:hAnsi="Times New Roman" w:eastAsia="仿宋" w:cs="Times New Roman"/>
          <w:b/>
          <w:bCs/>
          <w:spacing w:val="-2"/>
          <w:kern w:val="2"/>
          <w:sz w:val="32"/>
          <w:szCs w:val="32"/>
          <w:lang w:val="en-US" w:eastAsia="zh-CN" w:bidi="ar-SA"/>
        </w:rPr>
        <w:t>4.知识产权法律风险</w:t>
      </w:r>
    </w:p>
    <w:p>
      <w:pPr>
        <w:spacing w:line="540" w:lineRule="exact"/>
        <w:ind w:firstLine="632" w:firstLineChars="200"/>
        <w:rPr>
          <w:rFonts w:hint="default" w:ascii="Times New Roman" w:hAnsi="Times New Roman" w:eastAsia="仿宋" w:cs="Times New Roman"/>
          <w:spacing w:val="-2"/>
          <w:kern w:val="2"/>
          <w:sz w:val="32"/>
          <w:szCs w:val="32"/>
          <w:lang w:val="en-US" w:eastAsia="zh-CN" w:bidi="ar-SA"/>
        </w:rPr>
      </w:pPr>
      <w:r>
        <w:rPr>
          <w:rFonts w:hint="default" w:ascii="Times New Roman" w:hAnsi="Times New Roman" w:eastAsia="仿宋" w:cs="Times New Roman"/>
          <w:spacing w:val="-2"/>
          <w:kern w:val="2"/>
          <w:sz w:val="32"/>
          <w:szCs w:val="32"/>
          <w:lang w:val="en-US" w:eastAsia="zh-CN" w:bidi="ar-SA"/>
        </w:rPr>
        <w:t>产品侵权风险关乎到项目的未来产品制造、销售的安全性，知识产权被无效风险以及知识产权协议条款风险影响现有产品的知识产权稳定性。识别知识产权相关的法律风险，能预防、降低项目因知识产权问题导致的经济损失和声誉损害。</w:t>
      </w:r>
    </w:p>
    <w:p>
      <w:pPr>
        <w:spacing w:line="540" w:lineRule="exact"/>
        <w:ind w:firstLine="634" w:firstLineChars="200"/>
        <w:rPr>
          <w:rFonts w:hint="default" w:ascii="Times New Roman" w:hAnsi="Times New Roman" w:eastAsia="仿宋" w:cs="Times New Roman"/>
          <w:b/>
          <w:bCs/>
          <w:spacing w:val="-2"/>
          <w:kern w:val="2"/>
          <w:sz w:val="32"/>
          <w:szCs w:val="32"/>
          <w:lang w:val="en-US" w:eastAsia="zh-CN" w:bidi="ar-SA"/>
        </w:rPr>
      </w:pPr>
      <w:r>
        <w:rPr>
          <w:rFonts w:hint="default" w:ascii="Times New Roman" w:hAnsi="Times New Roman" w:eastAsia="仿宋" w:cs="Times New Roman"/>
          <w:b/>
          <w:bCs/>
          <w:spacing w:val="-2"/>
          <w:kern w:val="2"/>
          <w:sz w:val="32"/>
          <w:szCs w:val="32"/>
          <w:lang w:val="en-US" w:eastAsia="zh-CN" w:bidi="ar-SA"/>
        </w:rPr>
        <w:t>5.知识产权经济效益</w:t>
      </w:r>
    </w:p>
    <w:p>
      <w:pPr>
        <w:spacing w:line="540" w:lineRule="exact"/>
        <w:ind w:firstLine="632" w:firstLineChars="200"/>
        <w:rPr>
          <w:rFonts w:hint="default" w:ascii="Times New Roman" w:hAnsi="Times New Roman" w:eastAsia="仿宋" w:cs="Times New Roman"/>
          <w:spacing w:val="-2"/>
          <w:kern w:val="2"/>
          <w:sz w:val="32"/>
          <w:szCs w:val="32"/>
          <w:lang w:val="en-US" w:eastAsia="zh-CN" w:bidi="ar-SA"/>
        </w:rPr>
      </w:pPr>
      <w:r>
        <w:rPr>
          <w:rFonts w:hint="default" w:ascii="Times New Roman" w:hAnsi="Times New Roman" w:eastAsia="仿宋" w:cs="Times New Roman"/>
          <w:spacing w:val="-2"/>
          <w:kern w:val="2"/>
          <w:sz w:val="32"/>
          <w:szCs w:val="32"/>
          <w:lang w:val="en-US" w:eastAsia="zh-CN" w:bidi="ar-SA"/>
        </w:rPr>
        <w:t>知识产权经济效益可通过商业计划书、第三方机构出具的知识产权价值评估报告、市场预测报告、行业分析报告和销售数据来评议。评议得出的项目知识产权市场潜力、直接和间接经济收益可为项目的投资决策和商业化策略提供依据。</w:t>
      </w:r>
    </w:p>
    <w:p>
      <w:pPr>
        <w:spacing w:line="540" w:lineRule="exact"/>
        <w:ind w:firstLine="634" w:firstLineChars="200"/>
        <w:rPr>
          <w:rFonts w:hint="default" w:ascii="Times New Roman" w:hAnsi="Times New Roman" w:eastAsia="仿宋" w:cs="Times New Roman"/>
          <w:b/>
          <w:bCs/>
          <w:spacing w:val="-2"/>
          <w:kern w:val="2"/>
          <w:sz w:val="32"/>
          <w:szCs w:val="32"/>
          <w:lang w:val="en-US" w:eastAsia="zh-CN" w:bidi="ar-SA"/>
        </w:rPr>
      </w:pPr>
      <w:r>
        <w:rPr>
          <w:rFonts w:hint="default" w:ascii="Times New Roman" w:hAnsi="Times New Roman" w:eastAsia="仿宋" w:cs="Times New Roman"/>
          <w:b/>
          <w:bCs/>
          <w:spacing w:val="-2"/>
          <w:kern w:val="2"/>
          <w:sz w:val="32"/>
          <w:szCs w:val="32"/>
          <w:lang w:val="en-US" w:eastAsia="zh-CN" w:bidi="ar-SA"/>
        </w:rPr>
        <w:t>6.知识产权管理能力</w:t>
      </w:r>
    </w:p>
    <w:p>
      <w:pPr>
        <w:spacing w:line="540" w:lineRule="exact"/>
        <w:ind w:firstLine="632" w:firstLineChars="200"/>
        <w:rPr>
          <w:rFonts w:hint="default" w:ascii="Times New Roman" w:hAnsi="Times New Roman" w:eastAsia="仿宋" w:cs="Times New Roman"/>
          <w:spacing w:val="-2"/>
          <w:kern w:val="2"/>
          <w:sz w:val="32"/>
          <w:szCs w:val="32"/>
          <w:lang w:val="en-US" w:eastAsia="zh-CN" w:bidi="ar-SA"/>
        </w:rPr>
      </w:pPr>
      <w:r>
        <w:rPr>
          <w:rFonts w:hint="default" w:ascii="Times New Roman" w:hAnsi="Times New Roman" w:eastAsia="仿宋" w:cs="Times New Roman"/>
          <w:spacing w:val="-2"/>
          <w:kern w:val="2"/>
          <w:sz w:val="32"/>
          <w:szCs w:val="32"/>
          <w:lang w:val="en-US" w:eastAsia="zh-CN" w:bidi="ar-SA"/>
        </w:rPr>
        <w:t>项目承担单位的知识产权管理能力可以通过评议其机构现场证明材料、知识产权管理机构的人员设置、知识产权管理制度的完善程度和知识产权管理经费的投入情况来衡量，评议这些信息可以分析项目的保障能力及可持续发展能力。</w:t>
      </w:r>
    </w:p>
    <w:p>
      <w:pPr>
        <w:spacing w:line="540" w:lineRule="exact"/>
        <w:ind w:firstLine="634" w:firstLineChars="200"/>
        <w:rPr>
          <w:rFonts w:hint="default" w:ascii="Times New Roman" w:hAnsi="Times New Roman" w:eastAsia="仿宋" w:cs="Times New Roman"/>
          <w:b/>
          <w:bCs/>
          <w:spacing w:val="-2"/>
          <w:kern w:val="2"/>
          <w:sz w:val="32"/>
          <w:szCs w:val="32"/>
          <w:lang w:val="en-US" w:eastAsia="zh-CN" w:bidi="ar-SA"/>
        </w:rPr>
      </w:pPr>
      <w:r>
        <w:rPr>
          <w:rFonts w:hint="default" w:ascii="Times New Roman" w:hAnsi="Times New Roman" w:eastAsia="仿宋" w:cs="Times New Roman"/>
          <w:b/>
          <w:bCs/>
          <w:spacing w:val="-2"/>
          <w:kern w:val="2"/>
          <w:sz w:val="32"/>
          <w:szCs w:val="32"/>
          <w:lang w:val="en-US" w:eastAsia="zh-CN" w:bidi="ar-SA"/>
        </w:rPr>
        <w:t>7.知识产权创新度</w:t>
      </w:r>
    </w:p>
    <w:p>
      <w:pPr>
        <w:spacing w:line="540" w:lineRule="exact"/>
        <w:ind w:firstLine="632" w:firstLineChars="200"/>
        <w:rPr>
          <w:rFonts w:hint="default" w:ascii="Times New Roman" w:hAnsi="Times New Roman" w:eastAsia="仿宋" w:cs="Times New Roman"/>
          <w:spacing w:val="-2"/>
          <w:kern w:val="2"/>
          <w:sz w:val="32"/>
          <w:szCs w:val="32"/>
          <w:lang w:val="en-US" w:eastAsia="zh-CN" w:bidi="ar-SA"/>
        </w:rPr>
      </w:pPr>
      <w:r>
        <w:rPr>
          <w:rFonts w:hint="default" w:ascii="Times New Roman" w:hAnsi="Times New Roman" w:eastAsia="仿宋" w:cs="Times New Roman"/>
          <w:spacing w:val="-2"/>
          <w:kern w:val="2"/>
          <w:sz w:val="32"/>
          <w:szCs w:val="32"/>
          <w:lang w:val="en-US" w:eastAsia="zh-CN" w:bidi="ar-SA"/>
        </w:rPr>
        <w:t>知识产权创新度可对比知识产权核心技术的国内外知识产权布局和竞争对手知识产权保护基本情况来评定。通过国内外技术趋势分析，可以了解技术发展的最新趋势；通过分析竞争对手的知识产权保护情况，可以了解市场竞争态势和技术领先程度。</w:t>
      </w:r>
    </w:p>
    <w:p>
      <w:pPr>
        <w:spacing w:line="540" w:lineRule="exact"/>
        <w:ind w:firstLine="634" w:firstLineChars="200"/>
        <w:rPr>
          <w:rFonts w:hint="default" w:ascii="Times New Roman" w:hAnsi="Times New Roman" w:eastAsia="仿宋" w:cs="Times New Roman"/>
          <w:b/>
          <w:bCs/>
          <w:spacing w:val="-2"/>
          <w:kern w:val="2"/>
          <w:sz w:val="32"/>
          <w:szCs w:val="32"/>
          <w:lang w:val="en-US" w:eastAsia="zh-CN" w:bidi="ar-SA"/>
        </w:rPr>
      </w:pPr>
      <w:r>
        <w:rPr>
          <w:rFonts w:hint="default" w:ascii="Times New Roman" w:hAnsi="Times New Roman" w:eastAsia="仿宋" w:cs="Times New Roman"/>
          <w:b/>
          <w:bCs/>
          <w:spacing w:val="-2"/>
          <w:kern w:val="2"/>
          <w:sz w:val="32"/>
          <w:szCs w:val="32"/>
          <w:lang w:val="en-US" w:eastAsia="zh-CN" w:bidi="ar-SA"/>
        </w:rPr>
        <w:t>8.知识产权成熟度</w:t>
      </w:r>
    </w:p>
    <w:p>
      <w:pPr>
        <w:spacing w:line="540" w:lineRule="exact"/>
        <w:ind w:firstLine="632" w:firstLineChars="200"/>
        <w:rPr>
          <w:rFonts w:hint="default" w:ascii="Times New Roman" w:hAnsi="Times New Roman" w:eastAsia="仿宋" w:cs="Times New Roman"/>
          <w:spacing w:val="-2"/>
          <w:kern w:val="2"/>
          <w:sz w:val="32"/>
          <w:szCs w:val="32"/>
          <w:lang w:val="en-US" w:eastAsia="zh-CN" w:bidi="ar-SA"/>
        </w:rPr>
      </w:pPr>
      <w:r>
        <w:rPr>
          <w:rFonts w:hint="default" w:ascii="Times New Roman" w:hAnsi="Times New Roman" w:eastAsia="仿宋" w:cs="Times New Roman"/>
          <w:spacing w:val="-2"/>
          <w:kern w:val="2"/>
          <w:sz w:val="32"/>
          <w:szCs w:val="32"/>
          <w:lang w:val="en-US" w:eastAsia="zh-CN" w:bidi="ar-SA"/>
        </w:rPr>
        <w:t>知识产权成熟度可根据项目可行性研究报告、产品检测报告、安全测试与评估报告、用户使用和反馈结果等评定。这些数据均来源于第三方单位得证明材料，具有客观和公正性，可以评议产品是否达到了预期的技术标准和市场要求，从而判断技术的成熟度。</w:t>
      </w:r>
    </w:p>
    <w:p>
      <w:pPr>
        <w:spacing w:line="540" w:lineRule="exact"/>
        <w:ind w:firstLine="642" w:firstLineChars="200"/>
        <w:outlineLvl w:val="1"/>
        <w:rPr>
          <w:rFonts w:hint="default" w:ascii="Times New Roman" w:hAnsi="Times New Roman" w:eastAsia="仿宋" w:cs="Times New Roman"/>
          <w:b/>
          <w:bCs/>
          <w:kern w:val="0"/>
          <w:sz w:val="32"/>
          <w:szCs w:val="32"/>
          <w:lang w:val="en-US" w:eastAsia="zh-CN"/>
        </w:rPr>
      </w:pPr>
      <w:r>
        <w:rPr>
          <w:rFonts w:hint="default" w:ascii="Times New Roman" w:hAnsi="Times New Roman" w:eastAsia="仿宋" w:cs="Times New Roman"/>
          <w:b/>
          <w:bCs/>
          <w:kern w:val="0"/>
          <w:sz w:val="32"/>
          <w:szCs w:val="32"/>
        </w:rPr>
        <w:t>（</w:t>
      </w:r>
      <w:r>
        <w:rPr>
          <w:rFonts w:hint="default" w:ascii="Times New Roman" w:hAnsi="Times New Roman" w:eastAsia="仿宋" w:cs="Times New Roman"/>
          <w:b/>
          <w:bCs/>
          <w:kern w:val="0"/>
          <w:sz w:val="32"/>
          <w:szCs w:val="32"/>
          <w:lang w:val="en-US" w:eastAsia="zh-CN"/>
        </w:rPr>
        <w:t>七</w:t>
      </w:r>
      <w:r>
        <w:rPr>
          <w:rFonts w:hint="default" w:ascii="Times New Roman" w:hAnsi="Times New Roman" w:eastAsia="仿宋" w:cs="Times New Roman"/>
          <w:b/>
          <w:bCs/>
          <w:kern w:val="0"/>
          <w:sz w:val="32"/>
          <w:szCs w:val="32"/>
        </w:rPr>
        <w:t>）</w:t>
      </w:r>
      <w:r>
        <w:rPr>
          <w:rFonts w:hint="default" w:ascii="Times New Roman" w:hAnsi="Times New Roman" w:eastAsia="仿宋" w:cs="Times New Roman"/>
          <w:b/>
          <w:bCs/>
          <w:kern w:val="0"/>
          <w:sz w:val="32"/>
          <w:szCs w:val="32"/>
          <w:lang w:val="en-US" w:eastAsia="zh-CN"/>
        </w:rPr>
        <w:t>评议方法</w:t>
      </w:r>
    </w:p>
    <w:p>
      <w:pPr>
        <w:spacing w:line="540" w:lineRule="exact"/>
        <w:ind w:firstLine="632" w:firstLineChars="200"/>
        <w:outlineLvl w:val="1"/>
        <w:rPr>
          <w:rFonts w:hint="default" w:ascii="Times New Roman" w:hAnsi="Times New Roman" w:eastAsia="仿宋" w:cs="Times New Roman"/>
          <w:spacing w:val="-2"/>
          <w:kern w:val="2"/>
          <w:sz w:val="32"/>
          <w:szCs w:val="32"/>
          <w:lang w:val="en-US" w:eastAsia="zh-CN"/>
        </w:rPr>
      </w:pPr>
      <w:r>
        <w:rPr>
          <w:rFonts w:hint="default" w:ascii="Times New Roman" w:hAnsi="Times New Roman" w:eastAsia="仿宋" w:cs="Times New Roman"/>
          <w:spacing w:val="-2"/>
          <w:kern w:val="2"/>
          <w:sz w:val="32"/>
          <w:szCs w:val="32"/>
          <w:lang w:val="en-US" w:eastAsia="zh-CN"/>
        </w:rPr>
        <w:t>评议方法充分考虑评议实践过程中的简约性和实用性，关注知识产权的质量、价值、风险和潜在影响，形成了一套系统评估和判断的标准化工具。评议方法共包括了</w:t>
      </w:r>
      <w:r>
        <w:rPr>
          <w:rFonts w:hint="default" w:ascii="Times New Roman" w:hAnsi="Times New Roman" w:eastAsia="仿宋" w:cs="Times New Roman"/>
          <w:spacing w:val="-2"/>
          <w:kern w:val="2"/>
          <w:sz w:val="32"/>
          <w:szCs w:val="32"/>
        </w:rPr>
        <w:t>知识产权评分判定方法</w:t>
      </w:r>
      <w:r>
        <w:rPr>
          <w:rFonts w:hint="default" w:ascii="Times New Roman" w:hAnsi="Times New Roman" w:eastAsia="仿宋" w:cs="Times New Roman"/>
          <w:spacing w:val="-2"/>
          <w:kern w:val="2"/>
          <w:sz w:val="32"/>
          <w:szCs w:val="32"/>
          <w:lang w:eastAsia="zh-CN"/>
        </w:rPr>
        <w:t>、</w:t>
      </w:r>
      <w:r>
        <w:rPr>
          <w:rFonts w:hint="default" w:ascii="Times New Roman" w:hAnsi="Times New Roman" w:eastAsia="仿宋" w:cs="Times New Roman"/>
          <w:spacing w:val="-2"/>
          <w:kern w:val="2"/>
          <w:sz w:val="32"/>
          <w:szCs w:val="32"/>
        </w:rPr>
        <w:t>知识产权评分权重判定方法</w:t>
      </w:r>
      <w:r>
        <w:rPr>
          <w:rFonts w:hint="default" w:ascii="Times New Roman" w:hAnsi="Times New Roman" w:eastAsia="仿宋" w:cs="Times New Roman"/>
          <w:spacing w:val="-2"/>
          <w:kern w:val="2"/>
          <w:sz w:val="32"/>
          <w:szCs w:val="32"/>
          <w:lang w:eastAsia="zh-CN"/>
        </w:rPr>
        <w:t>、</w:t>
      </w:r>
      <w:r>
        <w:rPr>
          <w:rFonts w:hint="default" w:ascii="Times New Roman" w:hAnsi="Times New Roman" w:eastAsia="仿宋" w:cs="Times New Roman"/>
          <w:spacing w:val="-2"/>
          <w:kern w:val="2"/>
          <w:sz w:val="32"/>
          <w:szCs w:val="32"/>
        </w:rPr>
        <w:t>知识产权综合评分判定方法</w:t>
      </w:r>
      <w:r>
        <w:rPr>
          <w:rFonts w:hint="default" w:ascii="Times New Roman" w:hAnsi="Times New Roman" w:eastAsia="仿宋" w:cs="Times New Roman"/>
          <w:spacing w:val="-2"/>
          <w:kern w:val="2"/>
          <w:sz w:val="32"/>
          <w:szCs w:val="32"/>
          <w:lang w:eastAsia="zh-CN"/>
        </w:rPr>
        <w:t>、</w:t>
      </w:r>
      <w:r>
        <w:rPr>
          <w:rFonts w:hint="default" w:ascii="Times New Roman" w:hAnsi="Times New Roman" w:eastAsia="仿宋" w:cs="Times New Roman"/>
          <w:spacing w:val="-2"/>
          <w:kern w:val="2"/>
          <w:sz w:val="32"/>
          <w:szCs w:val="32"/>
        </w:rPr>
        <w:t>知识产权风险等级判定方法</w:t>
      </w:r>
      <w:r>
        <w:rPr>
          <w:rFonts w:hint="default" w:ascii="Times New Roman" w:hAnsi="Times New Roman" w:eastAsia="仿宋" w:cs="Times New Roman"/>
          <w:spacing w:val="-2"/>
          <w:kern w:val="2"/>
          <w:sz w:val="32"/>
          <w:szCs w:val="32"/>
          <w:lang w:val="en-US" w:eastAsia="zh-CN"/>
        </w:rPr>
        <w:t>和知识产权评议意见判定方法在内的5种方法类型。</w:t>
      </w:r>
    </w:p>
    <w:p>
      <w:pPr>
        <w:spacing w:line="540" w:lineRule="exact"/>
        <w:ind w:firstLine="632" w:firstLineChars="200"/>
        <w:outlineLvl w:val="1"/>
        <w:rPr>
          <w:rFonts w:hint="default" w:ascii="Times New Roman" w:hAnsi="Times New Roman" w:eastAsia="仿宋" w:cs="Times New Roman"/>
          <w:spacing w:val="-2"/>
          <w:kern w:val="2"/>
          <w:sz w:val="32"/>
          <w:szCs w:val="32"/>
          <w:lang w:val="en-US" w:eastAsia="zh-CN"/>
        </w:rPr>
      </w:pPr>
      <w:r>
        <w:rPr>
          <w:rFonts w:hint="default" w:ascii="Times New Roman" w:hAnsi="Times New Roman" w:eastAsia="仿宋" w:cs="Times New Roman"/>
          <w:spacing w:val="-2"/>
          <w:kern w:val="2"/>
          <w:sz w:val="32"/>
          <w:szCs w:val="32"/>
        </w:rPr>
        <w:t>知识产权评分判定方法</w:t>
      </w:r>
      <w:r>
        <w:rPr>
          <w:rFonts w:hint="default" w:ascii="Times New Roman" w:hAnsi="Times New Roman" w:eastAsia="仿宋" w:cs="Times New Roman"/>
          <w:spacing w:val="-2"/>
          <w:kern w:val="2"/>
          <w:sz w:val="32"/>
          <w:szCs w:val="32"/>
          <w:lang w:val="en-US" w:eastAsia="zh-CN"/>
        </w:rPr>
        <w:t>是</w:t>
      </w:r>
      <w:r>
        <w:rPr>
          <w:rFonts w:hint="default" w:ascii="Times New Roman" w:hAnsi="Times New Roman" w:eastAsia="仿宋" w:cs="Times New Roman"/>
          <w:spacing w:val="-2"/>
          <w:kern w:val="2"/>
          <w:sz w:val="32"/>
          <w:szCs w:val="32"/>
        </w:rPr>
        <w:t>根据知识产权评议体系和知识产权评分标准的要求，结合项目承担单位提供的证明材料、第三方单位提供的证明材料和项目评议单位提供的知识产权检索、分析结果</w:t>
      </w:r>
      <w:r>
        <w:rPr>
          <w:rFonts w:hint="default" w:ascii="Times New Roman" w:hAnsi="Times New Roman" w:eastAsia="仿宋" w:cs="Times New Roman"/>
          <w:spacing w:val="-2"/>
          <w:kern w:val="2"/>
          <w:sz w:val="32"/>
          <w:szCs w:val="32"/>
          <w:lang w:val="en-US" w:eastAsia="zh-CN"/>
        </w:rPr>
        <w:t>的三类评议依据</w:t>
      </w:r>
      <w:r>
        <w:rPr>
          <w:rFonts w:hint="default" w:ascii="Times New Roman" w:hAnsi="Times New Roman" w:eastAsia="仿宋" w:cs="Times New Roman"/>
          <w:spacing w:val="-2"/>
          <w:kern w:val="2"/>
          <w:sz w:val="32"/>
          <w:szCs w:val="32"/>
        </w:rPr>
        <w:t>分别确定</w:t>
      </w:r>
      <w:r>
        <w:rPr>
          <w:rFonts w:hint="default" w:ascii="Times New Roman" w:hAnsi="Times New Roman" w:eastAsia="仿宋" w:cs="Times New Roman"/>
          <w:spacing w:val="-2"/>
          <w:kern w:val="2"/>
          <w:sz w:val="32"/>
          <w:szCs w:val="32"/>
          <w:lang w:val="en-US" w:eastAsia="zh-CN"/>
        </w:rPr>
        <w:t>评议内容的</w:t>
      </w:r>
      <w:r>
        <w:rPr>
          <w:rFonts w:hint="default" w:ascii="Times New Roman" w:hAnsi="Times New Roman" w:eastAsia="仿宋" w:cs="Times New Roman"/>
          <w:spacing w:val="-2"/>
          <w:kern w:val="2"/>
          <w:sz w:val="32"/>
          <w:szCs w:val="32"/>
        </w:rPr>
        <w:t>各项评分</w:t>
      </w:r>
      <w:r>
        <w:rPr>
          <w:rFonts w:hint="default" w:ascii="Times New Roman" w:hAnsi="Times New Roman" w:eastAsia="仿宋" w:cs="Times New Roman"/>
          <w:spacing w:val="-2"/>
          <w:kern w:val="2"/>
          <w:sz w:val="32"/>
          <w:szCs w:val="32"/>
          <w:lang w:val="en-US" w:eastAsia="zh-CN"/>
        </w:rPr>
        <w:t>.</w:t>
      </w:r>
    </w:p>
    <w:p>
      <w:pPr>
        <w:spacing w:line="540" w:lineRule="exact"/>
        <w:ind w:firstLine="632" w:firstLineChars="200"/>
        <w:outlineLvl w:val="1"/>
        <w:rPr>
          <w:rFonts w:hint="default" w:ascii="Times New Roman" w:hAnsi="Times New Roman" w:eastAsia="仿宋" w:cs="Times New Roman"/>
          <w:spacing w:val="-2"/>
          <w:kern w:val="2"/>
          <w:sz w:val="32"/>
          <w:szCs w:val="32"/>
          <w:lang w:eastAsia="zh-CN"/>
        </w:rPr>
      </w:pPr>
      <w:r>
        <w:rPr>
          <w:rFonts w:hint="default" w:ascii="Times New Roman" w:hAnsi="Times New Roman" w:eastAsia="仿宋" w:cs="Times New Roman"/>
          <w:spacing w:val="-2"/>
          <w:kern w:val="2"/>
          <w:sz w:val="32"/>
          <w:szCs w:val="32"/>
        </w:rPr>
        <w:t>知识产权评分权重判定方法</w:t>
      </w:r>
      <w:r>
        <w:rPr>
          <w:rFonts w:hint="default" w:ascii="Times New Roman" w:hAnsi="Times New Roman" w:eastAsia="仿宋" w:cs="Times New Roman"/>
          <w:spacing w:val="-2"/>
          <w:kern w:val="2"/>
          <w:sz w:val="32"/>
          <w:szCs w:val="32"/>
          <w:lang w:val="en-US" w:eastAsia="zh-CN"/>
        </w:rPr>
        <w:t>是</w:t>
      </w:r>
      <w:r>
        <w:rPr>
          <w:rFonts w:hint="default" w:ascii="Times New Roman" w:hAnsi="Times New Roman" w:eastAsia="仿宋" w:cs="Times New Roman"/>
          <w:spacing w:val="-2"/>
          <w:kern w:val="2"/>
          <w:sz w:val="32"/>
          <w:szCs w:val="32"/>
        </w:rPr>
        <w:t>根据知识产权评分权重分配表确定各项评议内容分别对应的权重</w:t>
      </w:r>
      <w:r>
        <w:rPr>
          <w:rFonts w:hint="default" w:ascii="Times New Roman" w:hAnsi="Times New Roman" w:eastAsia="仿宋" w:cs="Times New Roman"/>
          <w:spacing w:val="-2"/>
          <w:kern w:val="2"/>
          <w:sz w:val="32"/>
          <w:szCs w:val="32"/>
          <w:lang w:eastAsia="zh-CN"/>
        </w:rPr>
        <w:t>；</w:t>
      </w:r>
      <w:r>
        <w:rPr>
          <w:rFonts w:hint="default" w:ascii="Times New Roman" w:hAnsi="Times New Roman" w:eastAsia="仿宋" w:cs="Times New Roman"/>
          <w:spacing w:val="-2"/>
          <w:kern w:val="2"/>
          <w:sz w:val="32"/>
          <w:szCs w:val="32"/>
        </w:rPr>
        <w:t>知识产权综合评分判定方法</w:t>
      </w:r>
      <w:r>
        <w:rPr>
          <w:rFonts w:hint="default" w:ascii="Times New Roman" w:hAnsi="Times New Roman" w:eastAsia="仿宋" w:cs="Times New Roman"/>
          <w:spacing w:val="-2"/>
          <w:kern w:val="2"/>
          <w:sz w:val="32"/>
          <w:szCs w:val="32"/>
          <w:lang w:val="en-US" w:eastAsia="zh-CN"/>
        </w:rPr>
        <w:t>是通过将</w:t>
      </w:r>
      <w:r>
        <w:rPr>
          <w:rFonts w:hint="default" w:ascii="Times New Roman" w:hAnsi="Times New Roman" w:eastAsia="仿宋" w:cs="Times New Roman"/>
          <w:spacing w:val="-2"/>
          <w:kern w:val="2"/>
          <w:sz w:val="32"/>
          <w:szCs w:val="32"/>
        </w:rPr>
        <w:t>各项评分与权重的乘积</w:t>
      </w:r>
      <w:r>
        <w:rPr>
          <w:rFonts w:hint="default" w:ascii="Times New Roman" w:hAnsi="Times New Roman" w:eastAsia="仿宋" w:cs="Times New Roman"/>
          <w:spacing w:val="-2"/>
          <w:kern w:val="2"/>
          <w:sz w:val="32"/>
          <w:szCs w:val="32"/>
          <w:lang w:val="en-US" w:eastAsia="zh-CN"/>
        </w:rPr>
        <w:t>相加得到</w:t>
      </w:r>
      <w:r>
        <w:rPr>
          <w:rFonts w:hint="default" w:ascii="Times New Roman" w:hAnsi="Times New Roman" w:eastAsia="仿宋" w:cs="Times New Roman"/>
          <w:spacing w:val="-2"/>
          <w:kern w:val="2"/>
          <w:sz w:val="32"/>
          <w:szCs w:val="32"/>
        </w:rPr>
        <w:t>知识产权综合评分</w:t>
      </w:r>
      <w:r>
        <w:rPr>
          <w:rFonts w:hint="default" w:ascii="Times New Roman" w:hAnsi="Times New Roman" w:eastAsia="仿宋" w:cs="Times New Roman"/>
          <w:spacing w:val="-2"/>
          <w:kern w:val="2"/>
          <w:sz w:val="32"/>
          <w:szCs w:val="32"/>
          <w:lang w:eastAsia="zh-CN"/>
        </w:rPr>
        <w:t>。</w:t>
      </w:r>
    </w:p>
    <w:p>
      <w:pPr>
        <w:spacing w:line="540" w:lineRule="exact"/>
        <w:ind w:firstLine="632" w:firstLineChars="200"/>
        <w:outlineLvl w:val="1"/>
        <w:rPr>
          <w:rFonts w:hint="default" w:ascii="Times New Roman" w:hAnsi="Times New Roman" w:eastAsia="仿宋" w:cs="Times New Roman"/>
          <w:spacing w:val="-2"/>
          <w:kern w:val="2"/>
          <w:sz w:val="32"/>
          <w:szCs w:val="32"/>
          <w:lang w:eastAsia="zh-CN"/>
        </w:rPr>
      </w:pPr>
      <w:r>
        <w:rPr>
          <w:rFonts w:hint="default" w:ascii="Times New Roman" w:hAnsi="Times New Roman" w:eastAsia="仿宋" w:cs="Times New Roman"/>
          <w:spacing w:val="-2"/>
          <w:kern w:val="2"/>
          <w:sz w:val="32"/>
          <w:szCs w:val="32"/>
        </w:rPr>
        <w:t>知识产权风险等级判定方法</w:t>
      </w:r>
      <w:r>
        <w:rPr>
          <w:rFonts w:hint="default" w:ascii="Times New Roman" w:hAnsi="Times New Roman" w:eastAsia="仿宋" w:cs="Times New Roman"/>
          <w:spacing w:val="-2"/>
          <w:kern w:val="2"/>
          <w:sz w:val="32"/>
          <w:szCs w:val="32"/>
          <w:lang w:val="en-US" w:eastAsia="zh-CN"/>
        </w:rPr>
        <w:t>分为两个步骤，首先分析</w:t>
      </w:r>
      <w:r>
        <w:rPr>
          <w:rFonts w:hint="default" w:ascii="Times New Roman" w:hAnsi="Times New Roman" w:eastAsia="仿宋" w:cs="Times New Roman"/>
          <w:spacing w:val="-2"/>
          <w:kern w:val="2"/>
          <w:sz w:val="32"/>
          <w:szCs w:val="32"/>
        </w:rPr>
        <w:t>评议内容的8项评分中</w:t>
      </w:r>
      <w:r>
        <w:rPr>
          <w:rFonts w:hint="default" w:ascii="Times New Roman" w:hAnsi="Times New Roman" w:eastAsia="仿宋" w:cs="Times New Roman"/>
          <w:spacing w:val="-2"/>
          <w:kern w:val="2"/>
          <w:sz w:val="32"/>
          <w:szCs w:val="32"/>
          <w:lang w:val="en-US" w:eastAsia="zh-CN"/>
        </w:rPr>
        <w:t>是否</w:t>
      </w:r>
      <w:r>
        <w:rPr>
          <w:rFonts w:hint="default" w:ascii="Times New Roman" w:hAnsi="Times New Roman" w:eastAsia="仿宋" w:cs="Times New Roman"/>
          <w:spacing w:val="-2"/>
          <w:kern w:val="2"/>
          <w:sz w:val="32"/>
          <w:szCs w:val="32"/>
        </w:rPr>
        <w:t>出现1个0分时，知识产权风险等级即判定为重大知识产权风险</w:t>
      </w:r>
      <w:r>
        <w:rPr>
          <w:rFonts w:hint="default" w:ascii="Times New Roman" w:hAnsi="Times New Roman" w:eastAsia="仿宋" w:cs="Times New Roman"/>
          <w:spacing w:val="-2"/>
          <w:kern w:val="2"/>
          <w:sz w:val="32"/>
          <w:szCs w:val="32"/>
          <w:lang w:eastAsia="zh-CN"/>
        </w:rPr>
        <w:t>，</w:t>
      </w:r>
      <w:r>
        <w:rPr>
          <w:rFonts w:hint="default" w:ascii="Times New Roman" w:hAnsi="Times New Roman" w:eastAsia="仿宋" w:cs="Times New Roman"/>
          <w:spacing w:val="-2"/>
          <w:kern w:val="2"/>
          <w:sz w:val="32"/>
          <w:szCs w:val="32"/>
        </w:rPr>
        <w:t>当评议内容的8项评分中均未出现0分时，</w:t>
      </w:r>
      <w:r>
        <w:rPr>
          <w:rFonts w:hint="default" w:ascii="Times New Roman" w:hAnsi="Times New Roman" w:eastAsia="仿宋" w:cs="Times New Roman"/>
          <w:spacing w:val="-2"/>
          <w:kern w:val="2"/>
          <w:sz w:val="32"/>
          <w:szCs w:val="32"/>
          <w:lang w:val="en-US" w:eastAsia="zh-CN"/>
        </w:rPr>
        <w:t>然后</w:t>
      </w:r>
      <w:r>
        <w:rPr>
          <w:rFonts w:hint="default" w:ascii="Times New Roman" w:hAnsi="Times New Roman" w:eastAsia="仿宋" w:cs="Times New Roman"/>
          <w:spacing w:val="-2"/>
          <w:kern w:val="2"/>
          <w:sz w:val="32"/>
          <w:szCs w:val="32"/>
        </w:rPr>
        <w:t>按照知识产权综合评分</w:t>
      </w:r>
      <w:r>
        <w:rPr>
          <w:rFonts w:hint="default" w:ascii="Times New Roman" w:hAnsi="Times New Roman" w:eastAsia="仿宋" w:cs="Times New Roman"/>
          <w:spacing w:val="-2"/>
          <w:kern w:val="2"/>
          <w:sz w:val="32"/>
          <w:szCs w:val="32"/>
          <w:lang w:val="en-US" w:eastAsia="zh-CN"/>
        </w:rPr>
        <w:t>不高于</w:t>
      </w:r>
      <w:r>
        <w:rPr>
          <w:rFonts w:hint="default" w:ascii="Times New Roman" w:hAnsi="Times New Roman" w:eastAsia="仿宋" w:cs="Times New Roman"/>
          <w:spacing w:val="-2"/>
          <w:kern w:val="2"/>
          <w:sz w:val="32"/>
          <w:szCs w:val="32"/>
        </w:rPr>
        <w:t>50分</w:t>
      </w:r>
      <w:r>
        <w:rPr>
          <w:rFonts w:hint="default" w:ascii="Times New Roman" w:hAnsi="Times New Roman" w:eastAsia="仿宋" w:cs="Times New Roman"/>
          <w:spacing w:val="-2"/>
          <w:kern w:val="2"/>
          <w:sz w:val="32"/>
          <w:szCs w:val="32"/>
          <w:lang w:val="en-US" w:eastAsia="zh-CN"/>
        </w:rPr>
        <w:t>时</w:t>
      </w:r>
      <w:r>
        <w:rPr>
          <w:rFonts w:hint="default" w:ascii="Times New Roman" w:hAnsi="Times New Roman" w:eastAsia="仿宋" w:cs="Times New Roman"/>
          <w:spacing w:val="-2"/>
          <w:kern w:val="2"/>
          <w:sz w:val="32"/>
          <w:szCs w:val="32"/>
        </w:rPr>
        <w:t>知识产权风险等级属于重大知识产权风险</w:t>
      </w:r>
      <w:r>
        <w:rPr>
          <w:rFonts w:hint="default" w:ascii="Times New Roman" w:hAnsi="Times New Roman" w:eastAsia="仿宋" w:cs="Times New Roman"/>
          <w:spacing w:val="-2"/>
          <w:kern w:val="2"/>
          <w:sz w:val="32"/>
          <w:szCs w:val="32"/>
          <w:lang w:eastAsia="zh-CN"/>
        </w:rPr>
        <w:t>，</w:t>
      </w:r>
      <w:r>
        <w:rPr>
          <w:rFonts w:hint="default" w:ascii="Times New Roman" w:hAnsi="Times New Roman" w:eastAsia="仿宋" w:cs="Times New Roman"/>
          <w:spacing w:val="-2"/>
          <w:kern w:val="2"/>
          <w:sz w:val="32"/>
          <w:szCs w:val="32"/>
        </w:rPr>
        <w:t>知识产权综合评分</w:t>
      </w:r>
      <w:r>
        <w:rPr>
          <w:rFonts w:hint="default" w:ascii="Times New Roman" w:hAnsi="Times New Roman" w:eastAsia="仿宋" w:cs="Times New Roman"/>
          <w:spacing w:val="-2"/>
          <w:kern w:val="2"/>
          <w:sz w:val="32"/>
          <w:szCs w:val="32"/>
          <w:lang w:val="en-US" w:eastAsia="zh-CN"/>
        </w:rPr>
        <w:t>介于50分到</w:t>
      </w:r>
      <w:r>
        <w:rPr>
          <w:rFonts w:hint="default" w:ascii="Times New Roman" w:hAnsi="Times New Roman" w:eastAsia="仿宋" w:cs="Times New Roman"/>
          <w:spacing w:val="-2"/>
          <w:kern w:val="2"/>
          <w:sz w:val="32"/>
          <w:szCs w:val="32"/>
        </w:rPr>
        <w:t>85分</w:t>
      </w:r>
      <w:r>
        <w:rPr>
          <w:rFonts w:hint="default" w:ascii="Times New Roman" w:hAnsi="Times New Roman" w:eastAsia="仿宋" w:cs="Times New Roman"/>
          <w:spacing w:val="-2"/>
          <w:kern w:val="2"/>
          <w:sz w:val="32"/>
          <w:szCs w:val="32"/>
          <w:lang w:val="en-US" w:eastAsia="zh-CN"/>
        </w:rPr>
        <w:t>时</w:t>
      </w:r>
      <w:r>
        <w:rPr>
          <w:rFonts w:hint="default" w:ascii="Times New Roman" w:hAnsi="Times New Roman" w:eastAsia="仿宋" w:cs="Times New Roman"/>
          <w:spacing w:val="-2"/>
          <w:kern w:val="2"/>
          <w:sz w:val="32"/>
          <w:szCs w:val="32"/>
        </w:rPr>
        <w:t>知识产权风险等级属于一般知识产权风险</w:t>
      </w:r>
      <w:r>
        <w:rPr>
          <w:rFonts w:hint="default" w:ascii="Times New Roman" w:hAnsi="Times New Roman" w:eastAsia="仿宋" w:cs="Times New Roman"/>
          <w:spacing w:val="-2"/>
          <w:kern w:val="2"/>
          <w:sz w:val="32"/>
          <w:szCs w:val="32"/>
          <w:lang w:eastAsia="zh-CN"/>
        </w:rPr>
        <w:t>，</w:t>
      </w:r>
      <w:r>
        <w:rPr>
          <w:rFonts w:hint="default" w:ascii="Times New Roman" w:hAnsi="Times New Roman" w:eastAsia="仿宋" w:cs="Times New Roman"/>
          <w:spacing w:val="-2"/>
          <w:kern w:val="2"/>
          <w:sz w:val="32"/>
          <w:szCs w:val="32"/>
        </w:rPr>
        <w:t>知识产权综合评分</w:t>
      </w:r>
      <w:r>
        <w:rPr>
          <w:rFonts w:hint="default" w:ascii="Times New Roman" w:hAnsi="Times New Roman" w:eastAsia="仿宋" w:cs="Times New Roman"/>
          <w:spacing w:val="-2"/>
          <w:kern w:val="2"/>
          <w:sz w:val="32"/>
          <w:szCs w:val="32"/>
          <w:lang w:val="en-US" w:eastAsia="zh-CN"/>
        </w:rPr>
        <w:t>超过</w:t>
      </w:r>
      <w:r>
        <w:rPr>
          <w:rFonts w:hint="default" w:ascii="Times New Roman" w:hAnsi="Times New Roman" w:eastAsia="仿宋" w:cs="Times New Roman"/>
          <w:spacing w:val="-2"/>
          <w:kern w:val="2"/>
          <w:sz w:val="32"/>
          <w:szCs w:val="32"/>
        </w:rPr>
        <w:t>85分</w:t>
      </w:r>
      <w:r>
        <w:rPr>
          <w:rFonts w:hint="default" w:ascii="Times New Roman" w:hAnsi="Times New Roman" w:eastAsia="仿宋" w:cs="Times New Roman"/>
          <w:spacing w:val="-2"/>
          <w:kern w:val="2"/>
          <w:sz w:val="32"/>
          <w:szCs w:val="32"/>
          <w:lang w:val="en-US" w:eastAsia="zh-CN"/>
        </w:rPr>
        <w:t>时</w:t>
      </w:r>
      <w:r>
        <w:rPr>
          <w:rFonts w:hint="default" w:ascii="Times New Roman" w:hAnsi="Times New Roman" w:eastAsia="仿宋" w:cs="Times New Roman"/>
          <w:spacing w:val="-2"/>
          <w:kern w:val="2"/>
          <w:sz w:val="32"/>
          <w:szCs w:val="32"/>
        </w:rPr>
        <w:t>知识产权风险等级属于较低知识产权风险</w:t>
      </w:r>
      <w:r>
        <w:rPr>
          <w:rFonts w:hint="default" w:ascii="Times New Roman" w:hAnsi="Times New Roman" w:eastAsia="仿宋" w:cs="Times New Roman"/>
          <w:spacing w:val="-2"/>
          <w:kern w:val="2"/>
          <w:sz w:val="32"/>
          <w:szCs w:val="32"/>
          <w:lang w:val="en-US" w:eastAsia="zh-CN"/>
        </w:rPr>
        <w:t>的规则开展评定</w:t>
      </w:r>
      <w:r>
        <w:rPr>
          <w:rFonts w:hint="default" w:ascii="Times New Roman" w:hAnsi="Times New Roman" w:eastAsia="仿宋" w:cs="Times New Roman"/>
          <w:spacing w:val="-2"/>
          <w:kern w:val="2"/>
          <w:sz w:val="32"/>
          <w:szCs w:val="32"/>
          <w:lang w:eastAsia="zh-CN"/>
        </w:rPr>
        <w:t>。</w:t>
      </w:r>
    </w:p>
    <w:p>
      <w:pPr>
        <w:spacing w:line="540" w:lineRule="exact"/>
        <w:ind w:firstLine="632" w:firstLineChars="200"/>
        <w:outlineLvl w:val="1"/>
        <w:rPr>
          <w:rFonts w:hint="default" w:ascii="Times New Roman" w:hAnsi="Times New Roman" w:eastAsia="仿宋" w:cs="Times New Roman"/>
          <w:spacing w:val="-2"/>
          <w:kern w:val="2"/>
          <w:sz w:val="32"/>
          <w:szCs w:val="32"/>
        </w:rPr>
      </w:pPr>
      <w:r>
        <w:rPr>
          <w:rFonts w:hint="default" w:ascii="Times New Roman" w:hAnsi="Times New Roman" w:eastAsia="仿宋" w:cs="Times New Roman"/>
          <w:spacing w:val="-2"/>
          <w:kern w:val="2"/>
          <w:sz w:val="32"/>
          <w:szCs w:val="32"/>
        </w:rPr>
        <w:t>知识产权评议意见判定方法</w:t>
      </w:r>
      <w:r>
        <w:rPr>
          <w:rFonts w:hint="default" w:ascii="Times New Roman" w:hAnsi="Times New Roman" w:eastAsia="仿宋" w:cs="Times New Roman"/>
          <w:spacing w:val="-2"/>
          <w:kern w:val="2"/>
          <w:sz w:val="32"/>
          <w:szCs w:val="32"/>
          <w:lang w:val="en-US" w:eastAsia="zh-CN"/>
        </w:rPr>
        <w:t>是通过</w:t>
      </w:r>
      <w:r>
        <w:rPr>
          <w:rFonts w:hint="default" w:ascii="Times New Roman" w:hAnsi="Times New Roman" w:eastAsia="仿宋" w:cs="Times New Roman"/>
          <w:spacing w:val="-2"/>
          <w:kern w:val="2"/>
          <w:sz w:val="32"/>
          <w:szCs w:val="32"/>
        </w:rPr>
        <w:t>知识产权风险等级结果给出知识产权评议意见</w:t>
      </w:r>
      <w:r>
        <w:rPr>
          <w:rFonts w:hint="default" w:ascii="Times New Roman" w:hAnsi="Times New Roman" w:eastAsia="仿宋" w:cs="Times New Roman"/>
          <w:spacing w:val="-2"/>
          <w:kern w:val="2"/>
          <w:sz w:val="32"/>
          <w:szCs w:val="32"/>
          <w:lang w:eastAsia="zh-CN"/>
        </w:rPr>
        <w:t>，</w:t>
      </w:r>
      <w:r>
        <w:rPr>
          <w:rFonts w:hint="default" w:ascii="Times New Roman" w:hAnsi="Times New Roman" w:eastAsia="仿宋" w:cs="Times New Roman"/>
          <w:spacing w:val="-2"/>
          <w:kern w:val="2"/>
          <w:sz w:val="32"/>
          <w:szCs w:val="32"/>
        </w:rPr>
        <w:t>当知识产权风险等级为重大知识产权风险</w:t>
      </w:r>
      <w:r>
        <w:rPr>
          <w:rFonts w:hint="default" w:ascii="Times New Roman" w:hAnsi="Times New Roman" w:eastAsia="仿宋" w:cs="Times New Roman"/>
          <w:spacing w:val="-2"/>
          <w:kern w:val="2"/>
          <w:sz w:val="32"/>
          <w:szCs w:val="32"/>
          <w:lang w:val="en-US" w:eastAsia="zh-CN"/>
        </w:rPr>
        <w:t>时</w:t>
      </w:r>
      <w:r>
        <w:rPr>
          <w:rFonts w:hint="default" w:ascii="Times New Roman" w:hAnsi="Times New Roman" w:eastAsia="仿宋" w:cs="Times New Roman"/>
          <w:spacing w:val="-2"/>
          <w:kern w:val="2"/>
          <w:sz w:val="32"/>
          <w:szCs w:val="32"/>
        </w:rPr>
        <w:t>，知识产权评议意见判定为建议暂停推进项目</w:t>
      </w:r>
      <w:r>
        <w:rPr>
          <w:rFonts w:hint="default" w:ascii="Times New Roman" w:hAnsi="Times New Roman" w:eastAsia="仿宋" w:cs="Times New Roman"/>
          <w:spacing w:val="-2"/>
          <w:kern w:val="2"/>
          <w:sz w:val="32"/>
          <w:szCs w:val="32"/>
          <w:lang w:eastAsia="zh-CN"/>
        </w:rPr>
        <w:t>；</w:t>
      </w:r>
      <w:r>
        <w:rPr>
          <w:rFonts w:hint="default" w:ascii="Times New Roman" w:hAnsi="Times New Roman" w:eastAsia="仿宋" w:cs="Times New Roman"/>
          <w:spacing w:val="-2"/>
          <w:kern w:val="2"/>
          <w:sz w:val="32"/>
          <w:szCs w:val="32"/>
        </w:rPr>
        <w:t>当知识产权风险等级为一般知识产权风险</w:t>
      </w:r>
      <w:r>
        <w:rPr>
          <w:rFonts w:hint="default" w:ascii="Times New Roman" w:hAnsi="Times New Roman" w:eastAsia="仿宋" w:cs="Times New Roman"/>
          <w:spacing w:val="-2"/>
          <w:kern w:val="2"/>
          <w:sz w:val="32"/>
          <w:szCs w:val="32"/>
          <w:lang w:val="en-US" w:eastAsia="zh-CN"/>
        </w:rPr>
        <w:t>时</w:t>
      </w:r>
      <w:r>
        <w:rPr>
          <w:rFonts w:hint="default" w:ascii="Times New Roman" w:hAnsi="Times New Roman" w:eastAsia="仿宋" w:cs="Times New Roman"/>
          <w:spacing w:val="-2"/>
          <w:kern w:val="2"/>
          <w:sz w:val="32"/>
          <w:szCs w:val="32"/>
          <w:lang w:eastAsia="zh-CN"/>
        </w:rPr>
        <w:t>，</w:t>
      </w:r>
      <w:r>
        <w:rPr>
          <w:rFonts w:hint="default" w:ascii="Times New Roman" w:hAnsi="Times New Roman" w:eastAsia="仿宋" w:cs="Times New Roman"/>
          <w:spacing w:val="-2"/>
          <w:kern w:val="2"/>
          <w:sz w:val="32"/>
          <w:szCs w:val="32"/>
        </w:rPr>
        <w:t>知识产权评议意见判定为建议慎重推进项目</w:t>
      </w:r>
      <w:r>
        <w:rPr>
          <w:rFonts w:hint="default" w:ascii="Times New Roman" w:hAnsi="Times New Roman" w:eastAsia="仿宋" w:cs="Times New Roman"/>
          <w:spacing w:val="-2"/>
          <w:kern w:val="2"/>
          <w:sz w:val="32"/>
          <w:szCs w:val="32"/>
          <w:lang w:eastAsia="zh-CN"/>
        </w:rPr>
        <w:t>；</w:t>
      </w:r>
      <w:r>
        <w:rPr>
          <w:rFonts w:hint="default" w:ascii="Times New Roman" w:hAnsi="Times New Roman" w:eastAsia="仿宋" w:cs="Times New Roman"/>
          <w:spacing w:val="-2"/>
          <w:kern w:val="2"/>
          <w:sz w:val="32"/>
          <w:szCs w:val="32"/>
        </w:rPr>
        <w:t>当知识产权风险等级为较低知识产权风险</w:t>
      </w:r>
      <w:r>
        <w:rPr>
          <w:rFonts w:hint="default" w:ascii="Times New Roman" w:hAnsi="Times New Roman" w:eastAsia="仿宋" w:cs="Times New Roman"/>
          <w:spacing w:val="-2"/>
          <w:kern w:val="2"/>
          <w:sz w:val="32"/>
          <w:szCs w:val="32"/>
          <w:lang w:val="en-US" w:eastAsia="zh-CN"/>
        </w:rPr>
        <w:t>时</w:t>
      </w:r>
      <w:r>
        <w:rPr>
          <w:rFonts w:hint="default" w:ascii="Times New Roman" w:hAnsi="Times New Roman" w:eastAsia="仿宋" w:cs="Times New Roman"/>
          <w:spacing w:val="-2"/>
          <w:kern w:val="2"/>
          <w:sz w:val="32"/>
          <w:szCs w:val="32"/>
        </w:rPr>
        <w:t>，知识产权评议意见判定为建议积极推进项目。</w:t>
      </w:r>
    </w:p>
    <w:p>
      <w:pPr>
        <w:spacing w:line="540" w:lineRule="exact"/>
        <w:ind w:firstLine="642" w:firstLineChars="200"/>
        <w:outlineLvl w:val="1"/>
        <w:rPr>
          <w:rFonts w:hint="default" w:ascii="Times New Roman" w:hAnsi="Times New Roman" w:eastAsia="仿宋" w:cs="Times New Roman"/>
          <w:b/>
          <w:bCs/>
          <w:kern w:val="0"/>
          <w:sz w:val="32"/>
          <w:szCs w:val="32"/>
          <w:lang w:eastAsia="zh-CN"/>
        </w:rPr>
      </w:pPr>
      <w:r>
        <w:rPr>
          <w:rFonts w:hint="default" w:ascii="Times New Roman" w:hAnsi="Times New Roman" w:eastAsia="仿宋" w:cs="Times New Roman"/>
          <w:b/>
          <w:bCs/>
          <w:kern w:val="0"/>
          <w:sz w:val="32"/>
          <w:szCs w:val="32"/>
        </w:rPr>
        <w:t>（</w:t>
      </w:r>
      <w:r>
        <w:rPr>
          <w:rFonts w:hint="default" w:ascii="Times New Roman" w:hAnsi="Times New Roman" w:eastAsia="仿宋" w:cs="Times New Roman"/>
          <w:b/>
          <w:bCs/>
          <w:kern w:val="0"/>
          <w:sz w:val="32"/>
          <w:szCs w:val="32"/>
          <w:lang w:val="en-US" w:eastAsia="zh-CN"/>
        </w:rPr>
        <w:t>八</w:t>
      </w:r>
      <w:r>
        <w:rPr>
          <w:rFonts w:hint="default" w:ascii="Times New Roman" w:hAnsi="Times New Roman" w:eastAsia="仿宋" w:cs="Times New Roman"/>
          <w:b/>
          <w:bCs/>
          <w:kern w:val="0"/>
          <w:sz w:val="32"/>
          <w:szCs w:val="32"/>
        </w:rPr>
        <w:t>）</w:t>
      </w:r>
      <w:r>
        <w:rPr>
          <w:rFonts w:hint="default" w:ascii="Times New Roman" w:hAnsi="Times New Roman" w:eastAsia="仿宋" w:cs="Times New Roman"/>
          <w:b/>
          <w:bCs/>
          <w:kern w:val="0"/>
          <w:sz w:val="32"/>
          <w:szCs w:val="32"/>
          <w:lang w:val="en-US" w:eastAsia="zh-CN"/>
        </w:rPr>
        <w:t>评议流程</w:t>
      </w:r>
    </w:p>
    <w:p>
      <w:pPr>
        <w:spacing w:line="540" w:lineRule="exact"/>
        <w:ind w:firstLine="632" w:firstLineChars="200"/>
        <w:rPr>
          <w:rFonts w:hint="default" w:ascii="Times New Roman" w:hAnsi="Times New Roman" w:eastAsia="仿宋" w:cs="Times New Roman"/>
          <w:spacing w:val="-2"/>
          <w:sz w:val="32"/>
          <w:szCs w:val="32"/>
          <w:lang w:val="en-US"/>
        </w:rPr>
      </w:pPr>
      <w:r>
        <w:rPr>
          <w:rFonts w:hint="default" w:ascii="Times New Roman" w:hAnsi="Times New Roman" w:eastAsia="仿宋" w:cs="Times New Roman"/>
          <w:spacing w:val="-2"/>
          <w:sz w:val="32"/>
          <w:szCs w:val="32"/>
        </w:rPr>
        <w:t>评议流程</w:t>
      </w:r>
      <w:r>
        <w:rPr>
          <w:rFonts w:hint="default" w:ascii="Times New Roman" w:hAnsi="Times New Roman" w:eastAsia="仿宋" w:cs="Times New Roman"/>
          <w:spacing w:val="-2"/>
          <w:sz w:val="32"/>
          <w:szCs w:val="32"/>
          <w:lang w:val="en-US" w:eastAsia="zh-CN"/>
        </w:rPr>
        <w:t>编制遵循流程清晰、突出标准特色的原则，一共设置有</w:t>
      </w:r>
      <w:r>
        <w:rPr>
          <w:rFonts w:hint="default" w:ascii="Times New Roman" w:hAnsi="Times New Roman" w:eastAsia="仿宋" w:cs="Times New Roman"/>
          <w:spacing w:val="-2"/>
          <w:sz w:val="32"/>
          <w:szCs w:val="32"/>
        </w:rPr>
        <w:t>启动评议</w:t>
      </w:r>
      <w:r>
        <w:rPr>
          <w:rFonts w:hint="default" w:ascii="Times New Roman" w:hAnsi="Times New Roman" w:eastAsia="仿宋" w:cs="Times New Roman"/>
          <w:spacing w:val="-2"/>
          <w:sz w:val="32"/>
          <w:szCs w:val="32"/>
          <w:lang w:eastAsia="zh-CN"/>
        </w:rPr>
        <w:t>、</w:t>
      </w:r>
      <w:r>
        <w:rPr>
          <w:rFonts w:hint="default" w:ascii="Times New Roman" w:hAnsi="Times New Roman" w:eastAsia="仿宋" w:cs="Times New Roman"/>
          <w:spacing w:val="-2"/>
          <w:sz w:val="32"/>
          <w:szCs w:val="32"/>
        </w:rPr>
        <w:t>审核已有评议材料</w:t>
      </w:r>
      <w:r>
        <w:rPr>
          <w:rFonts w:hint="default" w:ascii="Times New Roman" w:hAnsi="Times New Roman" w:eastAsia="仿宋" w:cs="Times New Roman"/>
          <w:spacing w:val="-2"/>
          <w:sz w:val="32"/>
          <w:szCs w:val="32"/>
          <w:lang w:eastAsia="zh-CN"/>
        </w:rPr>
        <w:t>、</w:t>
      </w:r>
      <w:r>
        <w:rPr>
          <w:rFonts w:hint="default" w:ascii="Times New Roman" w:hAnsi="Times New Roman" w:eastAsia="仿宋" w:cs="Times New Roman"/>
          <w:spacing w:val="-2"/>
          <w:sz w:val="32"/>
          <w:szCs w:val="32"/>
        </w:rPr>
        <w:t>开展知识产权检索、分析</w:t>
      </w:r>
      <w:r>
        <w:rPr>
          <w:rFonts w:hint="default" w:ascii="Times New Roman" w:hAnsi="Times New Roman" w:eastAsia="仿宋" w:cs="Times New Roman"/>
          <w:spacing w:val="-2"/>
          <w:sz w:val="32"/>
          <w:szCs w:val="32"/>
          <w:lang w:val="en-US" w:eastAsia="zh-CN"/>
        </w:rPr>
        <w:t>和</w:t>
      </w:r>
      <w:r>
        <w:rPr>
          <w:rFonts w:hint="default" w:ascii="Times New Roman" w:hAnsi="Times New Roman" w:eastAsia="仿宋" w:cs="Times New Roman"/>
          <w:spacing w:val="-2"/>
          <w:sz w:val="32"/>
          <w:szCs w:val="32"/>
        </w:rPr>
        <w:t>输出评议结论</w:t>
      </w:r>
      <w:r>
        <w:rPr>
          <w:rFonts w:hint="default" w:ascii="Times New Roman" w:hAnsi="Times New Roman" w:eastAsia="仿宋" w:cs="Times New Roman"/>
          <w:spacing w:val="-2"/>
          <w:sz w:val="32"/>
          <w:szCs w:val="32"/>
          <w:lang w:val="en-US" w:eastAsia="zh-CN"/>
        </w:rPr>
        <w:t>四个步骤。启动评议的步骤设置上强调了不同项目特点的重要性，继承、吸收了</w:t>
      </w:r>
      <w:r>
        <w:rPr>
          <w:rFonts w:hint="default" w:ascii="Times New Roman" w:hAnsi="Times New Roman" w:eastAsia="仿宋" w:cs="Times New Roman"/>
          <w:spacing w:val="-2"/>
          <w:sz w:val="32"/>
          <w:szCs w:val="32"/>
        </w:rPr>
        <w:t>GB/T 37286—2019</w:t>
      </w:r>
      <w:r>
        <w:rPr>
          <w:rFonts w:hint="default" w:ascii="Times New Roman" w:hAnsi="Times New Roman" w:eastAsia="仿宋" w:cs="Times New Roman"/>
          <w:spacing w:val="-2"/>
          <w:sz w:val="32"/>
          <w:szCs w:val="32"/>
          <w:lang w:val="en-US" w:eastAsia="zh-CN"/>
        </w:rPr>
        <w:t>中关于</w:t>
      </w:r>
      <w:r>
        <w:rPr>
          <w:rFonts w:hint="default" w:ascii="Times New Roman" w:hAnsi="Times New Roman" w:eastAsia="仿宋" w:cs="Times New Roman"/>
          <w:spacing w:val="-2"/>
          <w:sz w:val="32"/>
          <w:szCs w:val="32"/>
        </w:rPr>
        <w:t>评议承担单位（即评议服务提供者）</w:t>
      </w:r>
      <w:r>
        <w:rPr>
          <w:rFonts w:hint="default" w:ascii="Times New Roman" w:hAnsi="Times New Roman" w:eastAsia="仿宋" w:cs="Times New Roman"/>
          <w:spacing w:val="-2"/>
          <w:sz w:val="32"/>
          <w:szCs w:val="32"/>
          <w:lang w:eastAsia="zh-CN"/>
        </w:rPr>
        <w:t>、</w:t>
      </w:r>
      <w:r>
        <w:rPr>
          <w:rFonts w:hint="default" w:ascii="Times New Roman" w:hAnsi="Times New Roman" w:eastAsia="仿宋" w:cs="Times New Roman"/>
          <w:spacing w:val="-2"/>
          <w:sz w:val="32"/>
          <w:szCs w:val="32"/>
        </w:rPr>
        <w:t>评议人员（即评议服务人员）</w:t>
      </w:r>
      <w:r>
        <w:rPr>
          <w:rFonts w:hint="default" w:ascii="Times New Roman" w:hAnsi="Times New Roman" w:eastAsia="仿宋" w:cs="Times New Roman"/>
          <w:spacing w:val="-2"/>
          <w:sz w:val="32"/>
          <w:szCs w:val="32"/>
          <w:lang w:val="en-US" w:eastAsia="zh-CN"/>
        </w:rPr>
        <w:t>的概念规定；</w:t>
      </w:r>
      <w:r>
        <w:rPr>
          <w:rFonts w:hint="default" w:ascii="Times New Roman" w:hAnsi="Times New Roman" w:eastAsia="仿宋" w:cs="Times New Roman"/>
          <w:spacing w:val="-2"/>
          <w:sz w:val="32"/>
          <w:szCs w:val="32"/>
        </w:rPr>
        <w:t>审核已有评议材料</w:t>
      </w:r>
      <w:r>
        <w:rPr>
          <w:rFonts w:hint="default" w:ascii="Times New Roman" w:hAnsi="Times New Roman" w:eastAsia="仿宋" w:cs="Times New Roman"/>
          <w:spacing w:val="-2"/>
          <w:sz w:val="32"/>
          <w:szCs w:val="32"/>
          <w:lang w:val="en-US" w:eastAsia="zh-CN"/>
        </w:rPr>
        <w:t>的步骤设置上突出了</w:t>
      </w:r>
      <w:r>
        <w:rPr>
          <w:rFonts w:hint="default" w:ascii="Times New Roman" w:hAnsi="Times New Roman" w:eastAsia="仿宋" w:cs="Times New Roman"/>
          <w:spacing w:val="-2"/>
          <w:sz w:val="32"/>
          <w:szCs w:val="32"/>
        </w:rPr>
        <w:t>项目承担单位提供的证明材料和第三方单位提供的证明材料的</w:t>
      </w:r>
      <w:r>
        <w:rPr>
          <w:rFonts w:hint="default" w:ascii="Times New Roman" w:hAnsi="Times New Roman" w:eastAsia="仿宋" w:cs="Times New Roman"/>
          <w:spacing w:val="-2"/>
          <w:sz w:val="32"/>
          <w:szCs w:val="32"/>
          <w:lang w:val="en-US" w:eastAsia="zh-CN"/>
        </w:rPr>
        <w:t>审核流程；</w:t>
      </w:r>
      <w:r>
        <w:rPr>
          <w:rFonts w:hint="default" w:ascii="Times New Roman" w:hAnsi="Times New Roman" w:eastAsia="仿宋" w:cs="Times New Roman"/>
          <w:spacing w:val="-2"/>
          <w:sz w:val="32"/>
          <w:szCs w:val="32"/>
        </w:rPr>
        <w:t>开展知识产权检索、分析</w:t>
      </w:r>
      <w:r>
        <w:rPr>
          <w:rFonts w:hint="default" w:ascii="Times New Roman" w:hAnsi="Times New Roman" w:eastAsia="仿宋" w:cs="Times New Roman"/>
          <w:spacing w:val="-2"/>
          <w:sz w:val="32"/>
          <w:szCs w:val="32"/>
          <w:lang w:val="en-US" w:eastAsia="zh-CN"/>
        </w:rPr>
        <w:t>的步骤设置上突出了采集数据、分析数据的必要流程，为项目评议单位得出</w:t>
      </w:r>
      <w:r>
        <w:rPr>
          <w:rFonts w:hint="default" w:ascii="Times New Roman" w:hAnsi="Times New Roman" w:eastAsia="仿宋" w:cs="Times New Roman"/>
          <w:spacing w:val="-2"/>
          <w:sz w:val="32"/>
          <w:szCs w:val="32"/>
        </w:rPr>
        <w:t>知识产权检索、分析</w:t>
      </w:r>
      <w:r>
        <w:rPr>
          <w:rFonts w:hint="default" w:ascii="Times New Roman" w:hAnsi="Times New Roman" w:eastAsia="仿宋" w:cs="Times New Roman"/>
          <w:spacing w:val="-2"/>
          <w:sz w:val="32"/>
          <w:szCs w:val="32"/>
          <w:lang w:val="en-US" w:eastAsia="zh-CN"/>
        </w:rPr>
        <w:t>结果提供了操作指引；</w:t>
      </w:r>
      <w:r>
        <w:rPr>
          <w:rFonts w:hint="default" w:ascii="Times New Roman" w:hAnsi="Times New Roman" w:eastAsia="仿宋" w:cs="Times New Roman"/>
          <w:spacing w:val="-2"/>
          <w:sz w:val="32"/>
          <w:szCs w:val="32"/>
        </w:rPr>
        <w:t>输出评议结论</w:t>
      </w:r>
      <w:r>
        <w:rPr>
          <w:rFonts w:hint="default" w:ascii="Times New Roman" w:hAnsi="Times New Roman" w:eastAsia="仿宋" w:cs="Times New Roman"/>
          <w:spacing w:val="-2"/>
          <w:sz w:val="32"/>
          <w:szCs w:val="32"/>
          <w:lang w:val="en-US" w:eastAsia="zh-CN"/>
        </w:rPr>
        <w:t>的步骤设置上强调了定性结论和定量评分的连贯性和统一性，明确了</w:t>
      </w:r>
      <w:r>
        <w:rPr>
          <w:rFonts w:hint="default" w:ascii="Times New Roman" w:hAnsi="Times New Roman" w:eastAsia="仿宋" w:cs="Times New Roman"/>
          <w:spacing w:val="-2"/>
          <w:sz w:val="32"/>
          <w:szCs w:val="32"/>
        </w:rPr>
        <w:t>知识产权评分、知识产权评分权重、知识产权综合评分、知识产权风险等级</w:t>
      </w:r>
      <w:r>
        <w:rPr>
          <w:rFonts w:hint="default" w:ascii="Times New Roman" w:hAnsi="Times New Roman" w:eastAsia="仿宋" w:cs="Times New Roman"/>
          <w:spacing w:val="-2"/>
          <w:sz w:val="32"/>
          <w:szCs w:val="32"/>
          <w:lang w:val="en-US" w:eastAsia="zh-CN"/>
        </w:rPr>
        <w:t>和</w:t>
      </w:r>
      <w:r>
        <w:rPr>
          <w:rFonts w:hint="default" w:ascii="Times New Roman" w:hAnsi="Times New Roman" w:eastAsia="仿宋" w:cs="Times New Roman"/>
          <w:spacing w:val="-2"/>
          <w:sz w:val="32"/>
          <w:szCs w:val="32"/>
        </w:rPr>
        <w:t>知识产权评议意见</w:t>
      </w:r>
      <w:r>
        <w:rPr>
          <w:rFonts w:hint="default" w:ascii="Times New Roman" w:hAnsi="Times New Roman" w:eastAsia="仿宋" w:cs="Times New Roman"/>
          <w:spacing w:val="-2"/>
          <w:sz w:val="32"/>
          <w:szCs w:val="32"/>
          <w:lang w:val="en-US" w:eastAsia="zh-CN"/>
        </w:rPr>
        <w:t>等5种判定方法在评议流程中的应用，对撰写</w:t>
      </w:r>
      <w:r>
        <w:rPr>
          <w:rFonts w:hint="default" w:ascii="Times New Roman" w:hAnsi="Times New Roman" w:eastAsia="仿宋" w:cs="Times New Roman"/>
          <w:spacing w:val="-2"/>
          <w:sz w:val="32"/>
          <w:szCs w:val="32"/>
        </w:rPr>
        <w:t>评议</w:t>
      </w:r>
      <w:r>
        <w:rPr>
          <w:rFonts w:hint="default" w:ascii="Times New Roman" w:hAnsi="Times New Roman" w:eastAsia="仿宋" w:cs="Times New Roman"/>
          <w:spacing w:val="-2"/>
          <w:sz w:val="32"/>
          <w:szCs w:val="32"/>
          <w:lang w:val="en-US" w:eastAsia="zh-CN"/>
        </w:rPr>
        <w:t>报告、审核</w:t>
      </w:r>
      <w:r>
        <w:rPr>
          <w:rFonts w:hint="default" w:ascii="Times New Roman" w:hAnsi="Times New Roman" w:eastAsia="仿宋" w:cs="Times New Roman"/>
          <w:spacing w:val="-2"/>
          <w:sz w:val="32"/>
          <w:szCs w:val="32"/>
        </w:rPr>
        <w:t>评议</w:t>
      </w:r>
      <w:r>
        <w:rPr>
          <w:rFonts w:hint="default" w:ascii="Times New Roman" w:hAnsi="Times New Roman" w:eastAsia="仿宋" w:cs="Times New Roman"/>
          <w:spacing w:val="-2"/>
          <w:sz w:val="32"/>
          <w:szCs w:val="32"/>
          <w:lang w:val="en-US" w:eastAsia="zh-CN"/>
        </w:rPr>
        <w:t>报告和提交</w:t>
      </w:r>
      <w:r>
        <w:rPr>
          <w:rFonts w:hint="default" w:ascii="Times New Roman" w:hAnsi="Times New Roman" w:eastAsia="仿宋" w:cs="Times New Roman"/>
          <w:spacing w:val="-2"/>
          <w:sz w:val="32"/>
          <w:szCs w:val="32"/>
        </w:rPr>
        <w:t>评议</w:t>
      </w:r>
      <w:r>
        <w:rPr>
          <w:rFonts w:hint="default" w:ascii="Times New Roman" w:hAnsi="Times New Roman" w:eastAsia="仿宋" w:cs="Times New Roman"/>
          <w:spacing w:val="-2"/>
          <w:sz w:val="32"/>
          <w:szCs w:val="32"/>
          <w:lang w:val="en-US" w:eastAsia="zh-CN"/>
        </w:rPr>
        <w:t>报告均作出了要求，流程上具备逻辑清晰和实操性强等特点。</w:t>
      </w:r>
    </w:p>
    <w:p>
      <w:pPr>
        <w:spacing w:before="156" w:beforeLines="50" w:after="156" w:afterLines="50" w:line="540" w:lineRule="exac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七、试验验证及应用实施情况</w:t>
      </w:r>
    </w:p>
    <w:p>
      <w:pPr>
        <w:spacing w:line="540" w:lineRule="exact"/>
        <w:ind w:firstLine="632" w:firstLineChars="200"/>
        <w:rPr>
          <w:rFonts w:hint="default" w:ascii="Times New Roman" w:hAnsi="Times New Roman" w:eastAsia="仿宋" w:cs="Times New Roman"/>
          <w:spacing w:val="-2"/>
          <w:sz w:val="32"/>
          <w:szCs w:val="32"/>
          <w:lang w:val="en-US" w:eastAsia="zh-CN"/>
        </w:rPr>
      </w:pPr>
      <w:r>
        <w:rPr>
          <w:rFonts w:hint="default" w:ascii="Times New Roman" w:hAnsi="Times New Roman" w:eastAsia="仿宋" w:cs="Times New Roman"/>
          <w:spacing w:val="-2"/>
          <w:sz w:val="32"/>
          <w:szCs w:val="32"/>
          <w:lang w:val="en-US" w:eastAsia="zh-CN"/>
        </w:rPr>
        <w:t>基于本标准的评议体系</w:t>
      </w:r>
      <w:r>
        <w:rPr>
          <w:rFonts w:hint="eastAsia" w:ascii="Times New Roman" w:hAnsi="Times New Roman" w:eastAsia="仿宋" w:cs="Times New Roman"/>
          <w:spacing w:val="-2"/>
          <w:sz w:val="32"/>
          <w:szCs w:val="32"/>
          <w:lang w:val="en-US" w:eastAsia="zh-CN"/>
        </w:rPr>
        <w:t>和</w:t>
      </w:r>
      <w:r>
        <w:rPr>
          <w:rFonts w:hint="default" w:ascii="Times New Roman" w:hAnsi="Times New Roman" w:eastAsia="仿宋" w:cs="Times New Roman"/>
          <w:spacing w:val="-2"/>
          <w:sz w:val="32"/>
          <w:szCs w:val="32"/>
          <w:lang w:val="en-US" w:eastAsia="zh-CN"/>
        </w:rPr>
        <w:t>评议方法等内在逻辑，前期已</w:t>
      </w:r>
      <w:r>
        <w:rPr>
          <w:rFonts w:hint="default" w:ascii="Times New Roman" w:hAnsi="Times New Roman" w:eastAsia="仿宋" w:cs="Times New Roman"/>
          <w:spacing w:val="-2"/>
          <w:sz w:val="32"/>
          <w:szCs w:val="32"/>
        </w:rPr>
        <w:t>开发了重大项目综合竞争力评价体系</w:t>
      </w:r>
      <w:r>
        <w:rPr>
          <w:rFonts w:hint="default" w:ascii="Times New Roman" w:hAnsi="Times New Roman" w:eastAsia="仿宋" w:cs="Times New Roman"/>
          <w:spacing w:val="-2"/>
          <w:sz w:val="32"/>
          <w:szCs w:val="32"/>
          <w:lang w:val="en-US" w:eastAsia="zh-CN"/>
        </w:rPr>
        <w:t>和含机评和人评的“两评”体系，发挥评议重大项目知识产权风险的功能</w:t>
      </w:r>
      <w:r>
        <w:rPr>
          <w:rFonts w:hint="eastAsia" w:ascii="Times New Roman" w:hAnsi="Times New Roman" w:eastAsia="仿宋" w:cs="Times New Roman"/>
          <w:spacing w:val="-2"/>
          <w:sz w:val="32"/>
          <w:szCs w:val="32"/>
          <w:lang w:val="en-US" w:eastAsia="zh-CN"/>
        </w:rPr>
        <w:t>，</w:t>
      </w:r>
      <w:r>
        <w:rPr>
          <w:rFonts w:hint="default" w:ascii="Times New Roman" w:hAnsi="Times New Roman" w:eastAsia="仿宋" w:cs="Times New Roman"/>
          <w:spacing w:val="-2"/>
          <w:sz w:val="32"/>
          <w:szCs w:val="32"/>
          <w:lang w:val="en-US" w:eastAsia="zh-CN"/>
        </w:rPr>
        <w:t>形成了</w:t>
      </w:r>
      <w:r>
        <w:rPr>
          <w:rFonts w:hint="default" w:ascii="Times New Roman" w:hAnsi="Times New Roman" w:eastAsia="仿宋" w:cs="Times New Roman"/>
          <w:spacing w:val="-2"/>
          <w:sz w:val="32"/>
          <w:szCs w:val="32"/>
        </w:rPr>
        <w:t>基于地区产业链基础的精准招商服务产品</w:t>
      </w:r>
      <w:r>
        <w:rPr>
          <w:rFonts w:hint="default" w:ascii="Times New Roman" w:hAnsi="Times New Roman" w:eastAsia="仿宋" w:cs="Times New Roman"/>
          <w:spacing w:val="-2"/>
          <w:sz w:val="32"/>
          <w:szCs w:val="32"/>
          <w:lang w:eastAsia="zh-CN"/>
        </w:rPr>
        <w:t>，</w:t>
      </w:r>
      <w:r>
        <w:rPr>
          <w:rFonts w:hint="default" w:ascii="Times New Roman" w:hAnsi="Times New Roman" w:eastAsia="仿宋" w:cs="Times New Roman"/>
          <w:spacing w:val="-2"/>
          <w:sz w:val="32"/>
          <w:szCs w:val="32"/>
        </w:rPr>
        <w:t>服务产业链强链护链。</w:t>
      </w:r>
      <w:r>
        <w:rPr>
          <w:rFonts w:hint="eastAsia" w:ascii="Times New Roman" w:hAnsi="Times New Roman" w:eastAsia="仿宋" w:cs="Times New Roman"/>
          <w:spacing w:val="-2"/>
          <w:sz w:val="32"/>
          <w:szCs w:val="32"/>
          <w:lang w:val="en-US" w:eastAsia="zh-CN"/>
        </w:rPr>
        <w:t>产品</w:t>
      </w:r>
      <w:r>
        <w:rPr>
          <w:rFonts w:hint="default" w:ascii="Times New Roman" w:hAnsi="Times New Roman" w:eastAsia="仿宋" w:cs="Times New Roman"/>
          <w:spacing w:val="-2"/>
          <w:sz w:val="32"/>
          <w:szCs w:val="32"/>
        </w:rPr>
        <w:t>已在长沙高新区招商引资项目中试点使用，</w:t>
      </w:r>
      <w:r>
        <w:rPr>
          <w:rFonts w:hint="eastAsia" w:ascii="Times New Roman" w:hAnsi="Times New Roman" w:eastAsia="仿宋" w:cs="Times New Roman"/>
          <w:spacing w:val="-2"/>
          <w:sz w:val="32"/>
          <w:szCs w:val="32"/>
          <w:lang w:val="en-US" w:eastAsia="zh-CN"/>
        </w:rPr>
        <w:t>目前</w:t>
      </w:r>
      <w:r>
        <w:rPr>
          <w:rFonts w:hint="default" w:ascii="Times New Roman" w:hAnsi="Times New Roman" w:eastAsia="仿宋" w:cs="Times New Roman"/>
          <w:spacing w:val="-2"/>
          <w:sz w:val="32"/>
          <w:szCs w:val="32"/>
        </w:rPr>
        <w:t>完成</w:t>
      </w:r>
      <w:r>
        <w:rPr>
          <w:rFonts w:hint="default" w:ascii="Times New Roman" w:hAnsi="Times New Roman" w:eastAsia="仿宋" w:cs="Times New Roman"/>
          <w:spacing w:val="-2"/>
          <w:sz w:val="32"/>
          <w:szCs w:val="32"/>
          <w:lang w:val="en-US" w:eastAsia="zh-CN"/>
        </w:rPr>
        <w:t>长沙安牧泉智能科技有限公司、瑞森半导体科技（湖南）有限公司等企业的</w:t>
      </w:r>
      <w:r>
        <w:rPr>
          <w:rFonts w:hint="default" w:ascii="Times New Roman" w:hAnsi="Times New Roman" w:eastAsia="仿宋" w:cs="Times New Roman"/>
          <w:spacing w:val="-2"/>
          <w:sz w:val="32"/>
          <w:szCs w:val="32"/>
        </w:rPr>
        <w:t>重大招商项目技术竞争力评价报告</w:t>
      </w:r>
      <w:r>
        <w:rPr>
          <w:rFonts w:hint="default" w:ascii="Times New Roman" w:hAnsi="Times New Roman" w:eastAsia="仿宋" w:cs="Times New Roman"/>
          <w:spacing w:val="-2"/>
          <w:sz w:val="32"/>
          <w:szCs w:val="32"/>
          <w:lang w:eastAsia="zh-CN"/>
        </w:rPr>
        <w:t>，</w:t>
      </w:r>
      <w:r>
        <w:rPr>
          <w:rFonts w:hint="default" w:ascii="Times New Roman" w:hAnsi="Times New Roman" w:eastAsia="仿宋" w:cs="Times New Roman"/>
          <w:spacing w:val="-2"/>
          <w:sz w:val="32"/>
          <w:szCs w:val="32"/>
          <w:lang w:val="en-US" w:eastAsia="zh-CN"/>
        </w:rPr>
        <w:t>目前企业项目运营情况良好。</w:t>
      </w:r>
    </w:p>
    <w:p>
      <w:pPr>
        <w:spacing w:line="540" w:lineRule="exact"/>
        <w:ind w:firstLine="632" w:firstLineChars="200"/>
        <w:rPr>
          <w:rFonts w:hint="default" w:ascii="Times New Roman" w:hAnsi="Times New Roman" w:eastAsia="仿宋" w:cs="Times New Roman"/>
          <w:spacing w:val="-2"/>
          <w:sz w:val="32"/>
          <w:szCs w:val="32"/>
          <w:lang w:val="en-US"/>
        </w:rPr>
      </w:pPr>
      <w:r>
        <w:rPr>
          <w:rFonts w:hint="default" w:ascii="Times New Roman" w:hAnsi="Times New Roman" w:eastAsia="仿宋" w:cs="Times New Roman"/>
          <w:spacing w:val="-2"/>
          <w:sz w:val="32"/>
          <w:szCs w:val="32"/>
          <w:lang w:val="en-US" w:eastAsia="zh-CN"/>
        </w:rPr>
        <w:t>其中，安牧泉专注于解决CPU、GPU、FPGA、AI等高端大芯片的自主封装卡脖子问题，在高端芯片倒装-系统级封装（FC-SiP）领域不断创新，凭借优质的技术和服务赢得了广大客户的信赖和认可，收入规模逐年创新高，封装产品规格和复杂程度不断增加，最大封装尺寸达到102*102mm²，在国产CPU、GPU、AI等大芯片和高功率电源模块等领域开创了多个行业第一</w:t>
      </w:r>
      <w:r>
        <w:rPr>
          <w:rFonts w:hint="eastAsia" w:ascii="Times New Roman" w:hAnsi="Times New Roman" w:eastAsia="仿宋" w:cs="Times New Roman"/>
          <w:spacing w:val="-2"/>
          <w:sz w:val="32"/>
          <w:szCs w:val="32"/>
          <w:lang w:val="en-US" w:eastAsia="zh-CN"/>
        </w:rPr>
        <w:t>，目前位于湖南湘江新区麓谷智造园的安牧泉高端芯片先进封测扩产基地正式启用，整体项目运营良好；瑞森半导体总部位于广东省东莞市，公司专注于第三代半导体技术的研发，品质及性能对标国际品牌Cree、英飞凌、ST，可实现国产替代。公司于2022年成立瑞森半导体科技（湖南）有限公司，并与湖南大学创建“湖南大学半导体学院产教融合基地”，深度进行半导体技术与应用创新的研发合作。目前公司就SiC MOSFET、GaN HEMTs系列产品更高耐压、更大电流，模块化等方向持续投入研发中，位于湖南湘江新区麓谷科技创新创业园的湖南项目运营良好。</w:t>
      </w:r>
    </w:p>
    <w:p>
      <w:pPr>
        <w:spacing w:before="156" w:beforeLines="50" w:after="156" w:afterLines="50" w:line="540" w:lineRule="exac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八、标准预期的社会经济效益</w:t>
      </w:r>
    </w:p>
    <w:p>
      <w:pPr>
        <w:spacing w:line="540" w:lineRule="exact"/>
        <w:ind w:firstLine="632" w:firstLineChars="200"/>
        <w:rPr>
          <w:rFonts w:hint="default" w:ascii="Times New Roman" w:hAnsi="Times New Roman" w:eastAsia="仿宋" w:cs="Times New Roman"/>
          <w:spacing w:val="-2"/>
          <w:sz w:val="32"/>
          <w:szCs w:val="32"/>
        </w:rPr>
      </w:pPr>
      <w:r>
        <w:rPr>
          <w:rFonts w:hint="default" w:ascii="Times New Roman" w:hAnsi="Times New Roman" w:eastAsia="仿宋" w:cs="Times New Roman"/>
          <w:spacing w:val="-2"/>
          <w:sz w:val="32"/>
          <w:szCs w:val="32"/>
        </w:rPr>
        <w:t>项目评议单位可以对照标准的评议流程，根据项目承担单位提供的证明材料、第三方单位提供的证明材料和项目评议单位提供的知识产权检索、分析结果在内的3类评议依据对各项评议内容开展评分，进而计算知识产权综合评分和知识产权风险等级，得到项目评议意见。当前标准文件是在响应国家、省市相关知识产权文件精神，借鉴吸收GB/T 37286—2019等标准优点的同时具备了较高的科学性和严谨性，提高评议的准确性和可信度。本标准的制定将有助于提升株洲市在全国范围内的标准化管理水平和影响力，为株洲市在知识产权分析评议领域树立起自己的技术规范标杆，为株洲市</w:t>
      </w:r>
      <w:r>
        <w:rPr>
          <w:rFonts w:hint="default" w:ascii="Times New Roman" w:hAnsi="Times New Roman" w:eastAsia="仿宋" w:cs="Times New Roman"/>
          <w:spacing w:val="-2"/>
          <w:sz w:val="32"/>
          <w:szCs w:val="32"/>
          <w:lang w:val="en-US" w:eastAsia="zh-CN"/>
        </w:rPr>
        <w:t>政府、企事业单位等</w:t>
      </w:r>
      <w:r>
        <w:rPr>
          <w:rFonts w:hint="default" w:ascii="Times New Roman" w:hAnsi="Times New Roman" w:eastAsia="仿宋" w:cs="Times New Roman"/>
          <w:spacing w:val="-2"/>
          <w:sz w:val="32"/>
          <w:szCs w:val="32"/>
        </w:rPr>
        <w:t>知识产权工作提供了有力支撑和引领。</w:t>
      </w:r>
    </w:p>
    <w:p>
      <w:pPr>
        <w:spacing w:before="156" w:beforeLines="50" w:after="156" w:afterLines="50" w:line="540" w:lineRule="exac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九、国内外现行相关法律、法规和标准情况</w:t>
      </w:r>
    </w:p>
    <w:p>
      <w:pPr>
        <w:spacing w:line="540" w:lineRule="exact"/>
        <w:ind w:firstLine="632" w:firstLineChars="200"/>
        <w:rPr>
          <w:rFonts w:hint="default" w:ascii="Times New Roman" w:hAnsi="Times New Roman" w:eastAsia="仿宋" w:cs="Times New Roman"/>
          <w:spacing w:val="-2"/>
          <w:sz w:val="32"/>
          <w:szCs w:val="32"/>
        </w:rPr>
      </w:pPr>
      <w:r>
        <w:rPr>
          <w:rFonts w:hint="default" w:ascii="Times New Roman" w:hAnsi="Times New Roman" w:eastAsia="仿宋" w:cs="Times New Roman"/>
          <w:spacing w:val="-2"/>
          <w:sz w:val="32"/>
          <w:szCs w:val="32"/>
        </w:rPr>
        <w:t>目前重大经济科技活动知识产权分析评议相关法律、法规及标准情况如下：</w:t>
      </w:r>
    </w:p>
    <w:p>
      <w:pPr>
        <w:keepNext w:val="0"/>
        <w:keepLines w:val="0"/>
        <w:pageBreakBefore w:val="0"/>
        <w:numPr>
          <w:ilvl w:val="0"/>
          <w:numId w:val="3"/>
        </w:numPr>
        <w:kinsoku/>
        <w:wordWrap/>
        <w:overflowPunct/>
        <w:topLinePunct w:val="0"/>
        <w:bidi w:val="0"/>
        <w:adjustRightInd/>
        <w:snapToGrid/>
        <w:spacing w:line="540" w:lineRule="exact"/>
        <w:ind w:left="632" w:leftChars="0" w:hanging="632" w:hangingChars="200"/>
        <w:textAlignment w:val="auto"/>
        <w:rPr>
          <w:rFonts w:hint="default" w:ascii="Times New Roman" w:hAnsi="Times New Roman" w:eastAsia="仿宋" w:cs="Times New Roman"/>
          <w:spacing w:val="-2"/>
          <w:sz w:val="32"/>
          <w:szCs w:val="32"/>
        </w:rPr>
      </w:pPr>
      <w:r>
        <w:rPr>
          <w:rFonts w:hint="default" w:ascii="Times New Roman" w:hAnsi="Times New Roman" w:eastAsia="仿宋" w:cs="Times New Roman"/>
          <w:spacing w:val="-2"/>
          <w:sz w:val="32"/>
          <w:szCs w:val="32"/>
        </w:rPr>
        <w:t>《中华人民共和国专利法》</w:t>
      </w:r>
    </w:p>
    <w:p>
      <w:pPr>
        <w:keepNext w:val="0"/>
        <w:keepLines w:val="0"/>
        <w:pageBreakBefore w:val="0"/>
        <w:numPr>
          <w:ilvl w:val="0"/>
          <w:numId w:val="3"/>
        </w:numPr>
        <w:kinsoku/>
        <w:wordWrap/>
        <w:overflowPunct/>
        <w:topLinePunct w:val="0"/>
        <w:bidi w:val="0"/>
        <w:adjustRightInd/>
        <w:snapToGrid/>
        <w:spacing w:line="540" w:lineRule="exact"/>
        <w:ind w:left="632" w:leftChars="0" w:hanging="632" w:hangingChars="200"/>
        <w:textAlignment w:val="auto"/>
        <w:rPr>
          <w:rFonts w:hint="default" w:ascii="Times New Roman" w:hAnsi="Times New Roman" w:eastAsia="仿宋" w:cs="Times New Roman"/>
          <w:spacing w:val="-2"/>
          <w:sz w:val="32"/>
          <w:szCs w:val="32"/>
        </w:rPr>
      </w:pPr>
      <w:r>
        <w:rPr>
          <w:rFonts w:hint="default" w:ascii="Times New Roman" w:hAnsi="Times New Roman" w:eastAsia="仿宋" w:cs="Times New Roman"/>
          <w:spacing w:val="-2"/>
          <w:sz w:val="32"/>
          <w:szCs w:val="32"/>
        </w:rPr>
        <w:t>《中华人民共和国专利法实施细则》</w:t>
      </w:r>
    </w:p>
    <w:p>
      <w:pPr>
        <w:keepNext w:val="0"/>
        <w:keepLines w:val="0"/>
        <w:pageBreakBefore w:val="0"/>
        <w:numPr>
          <w:ilvl w:val="0"/>
          <w:numId w:val="3"/>
        </w:numPr>
        <w:kinsoku/>
        <w:wordWrap/>
        <w:overflowPunct/>
        <w:topLinePunct w:val="0"/>
        <w:bidi w:val="0"/>
        <w:adjustRightInd/>
        <w:snapToGrid/>
        <w:spacing w:line="540" w:lineRule="exact"/>
        <w:ind w:left="632" w:leftChars="0" w:hanging="632" w:hangingChars="200"/>
        <w:textAlignment w:val="auto"/>
        <w:rPr>
          <w:rFonts w:hint="default" w:ascii="Times New Roman" w:hAnsi="Times New Roman" w:eastAsia="仿宋" w:cs="Times New Roman"/>
          <w:spacing w:val="-2"/>
          <w:sz w:val="32"/>
          <w:szCs w:val="32"/>
        </w:rPr>
      </w:pPr>
      <w:r>
        <w:rPr>
          <w:rFonts w:hint="default" w:ascii="Times New Roman" w:hAnsi="Times New Roman" w:eastAsia="仿宋" w:cs="Times New Roman"/>
          <w:spacing w:val="-2"/>
          <w:sz w:val="32"/>
          <w:szCs w:val="32"/>
        </w:rPr>
        <w:t>《中华人民共和国反不正当竞争法》</w:t>
      </w:r>
    </w:p>
    <w:p>
      <w:pPr>
        <w:keepNext w:val="0"/>
        <w:keepLines w:val="0"/>
        <w:pageBreakBefore w:val="0"/>
        <w:numPr>
          <w:ilvl w:val="0"/>
          <w:numId w:val="3"/>
        </w:numPr>
        <w:kinsoku/>
        <w:wordWrap/>
        <w:overflowPunct/>
        <w:topLinePunct w:val="0"/>
        <w:bidi w:val="0"/>
        <w:adjustRightInd/>
        <w:snapToGrid/>
        <w:spacing w:line="540" w:lineRule="exact"/>
        <w:ind w:left="640" w:leftChars="0" w:hanging="640" w:hanging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《湖南省知识产权保护和促进条例》</w:t>
      </w:r>
    </w:p>
    <w:p>
      <w:pPr>
        <w:pStyle w:val="16"/>
        <w:keepNext w:val="0"/>
        <w:keepLines w:val="0"/>
        <w:pageBreakBefore w:val="0"/>
        <w:numPr>
          <w:ilvl w:val="0"/>
          <w:numId w:val="3"/>
        </w:numPr>
        <w:kinsoku/>
        <w:wordWrap/>
        <w:overflowPunct/>
        <w:topLinePunct w:val="0"/>
        <w:bidi w:val="0"/>
        <w:adjustRightInd/>
        <w:snapToGrid/>
        <w:spacing w:line="540" w:lineRule="exact"/>
        <w:ind w:left="640" w:leftChars="0" w:hanging="640" w:hangingChars="200"/>
        <w:textAlignment w:val="auto"/>
        <w:rPr>
          <w:rFonts w:hint="default" w:ascii="Times New Roman" w:hAnsi="Times New Roman" w:eastAsia="仿宋" w:cs="Times New Roman"/>
          <w:kern w:val="2"/>
          <w:sz w:val="32"/>
          <w:szCs w:val="32"/>
          <w:lang w:eastAsia="zh-CN"/>
        </w:rPr>
      </w:pPr>
      <w:r>
        <w:rPr>
          <w:rFonts w:hint="default" w:ascii="Times New Roman" w:hAnsi="Times New Roman" w:eastAsia="仿宋" w:cs="Times New Roman"/>
          <w:kern w:val="2"/>
          <w:sz w:val="32"/>
          <w:szCs w:val="32"/>
        </w:rPr>
        <w:t>GB/T 37286-2019</w:t>
      </w:r>
      <w:r>
        <w:rPr>
          <w:rFonts w:hint="default" w:ascii="Times New Roman" w:hAnsi="Times New Roman" w:eastAsia="仿宋" w:cs="Times New Roman"/>
          <w:kern w:val="2"/>
          <w:sz w:val="32"/>
          <w:szCs w:val="32"/>
          <w:lang w:eastAsia="zh-CN"/>
        </w:rPr>
        <w:t>《</w:t>
      </w:r>
      <w:r>
        <w:rPr>
          <w:rFonts w:hint="default" w:ascii="Times New Roman" w:hAnsi="Times New Roman" w:eastAsia="仿宋" w:cs="Times New Roman"/>
          <w:kern w:val="2"/>
          <w:sz w:val="32"/>
          <w:szCs w:val="32"/>
        </w:rPr>
        <w:t>知识产权分析评议服务</w:t>
      </w:r>
      <w:r>
        <w:rPr>
          <w:rFonts w:hint="default" w:ascii="Times New Roman" w:hAnsi="Times New Roman" w:eastAsia="仿宋" w:cs="Times New Roman"/>
          <w:kern w:val="2"/>
          <w:sz w:val="32"/>
          <w:szCs w:val="32"/>
          <w:lang w:val="en-US" w:eastAsia="zh-CN"/>
        </w:rPr>
        <w:t xml:space="preserve"> </w:t>
      </w:r>
      <w:r>
        <w:rPr>
          <w:rFonts w:hint="default" w:ascii="Times New Roman" w:hAnsi="Times New Roman" w:eastAsia="仿宋" w:cs="Times New Roman"/>
          <w:kern w:val="2"/>
          <w:sz w:val="32"/>
          <w:szCs w:val="32"/>
        </w:rPr>
        <w:t>服务规范</w:t>
      </w:r>
      <w:r>
        <w:rPr>
          <w:rFonts w:hint="default" w:ascii="Times New Roman" w:hAnsi="Times New Roman" w:eastAsia="仿宋" w:cs="Times New Roman"/>
          <w:kern w:val="2"/>
          <w:sz w:val="32"/>
          <w:szCs w:val="32"/>
          <w:lang w:eastAsia="zh-CN"/>
        </w:rPr>
        <w:t>》</w:t>
      </w:r>
    </w:p>
    <w:p>
      <w:pPr>
        <w:keepNext w:val="0"/>
        <w:keepLines w:val="0"/>
        <w:pageBreakBefore w:val="0"/>
        <w:numPr>
          <w:ilvl w:val="0"/>
          <w:numId w:val="3"/>
        </w:numPr>
        <w:kinsoku/>
        <w:wordWrap/>
        <w:overflowPunct/>
        <w:topLinePunct w:val="0"/>
        <w:bidi w:val="0"/>
        <w:adjustRightInd/>
        <w:snapToGrid/>
        <w:spacing w:line="540" w:lineRule="exact"/>
        <w:ind w:left="632" w:leftChars="0" w:hanging="632" w:hangingChars="200"/>
        <w:textAlignment w:val="auto"/>
        <w:rPr>
          <w:rFonts w:hint="default" w:ascii="Times New Roman" w:hAnsi="Times New Roman" w:eastAsia="仿宋" w:cs="Times New Roman"/>
          <w:spacing w:val="-2"/>
          <w:sz w:val="32"/>
          <w:szCs w:val="32"/>
        </w:rPr>
      </w:pPr>
      <w:r>
        <w:rPr>
          <w:rFonts w:hint="default" w:ascii="Times New Roman" w:hAnsi="Times New Roman" w:eastAsia="仿宋" w:cs="Times New Roman"/>
          <w:spacing w:val="-2"/>
          <w:sz w:val="32"/>
          <w:szCs w:val="32"/>
        </w:rPr>
        <w:t>GB/T 42748-2023《专利评估指引》</w:t>
      </w:r>
    </w:p>
    <w:p>
      <w:pPr>
        <w:keepNext w:val="0"/>
        <w:keepLines w:val="0"/>
        <w:pageBreakBefore w:val="0"/>
        <w:numPr>
          <w:ilvl w:val="0"/>
          <w:numId w:val="3"/>
        </w:numPr>
        <w:kinsoku/>
        <w:wordWrap/>
        <w:overflowPunct/>
        <w:topLinePunct w:val="0"/>
        <w:bidi w:val="0"/>
        <w:adjustRightInd/>
        <w:snapToGrid/>
        <w:spacing w:line="540" w:lineRule="exact"/>
        <w:ind w:left="632" w:leftChars="0" w:hanging="632" w:hangingChars="200"/>
        <w:textAlignment w:val="auto"/>
        <w:rPr>
          <w:rFonts w:hint="default" w:ascii="Times New Roman" w:hAnsi="Times New Roman" w:eastAsia="仿宋" w:cs="Times New Roman"/>
          <w:spacing w:val="-2"/>
          <w:sz w:val="32"/>
          <w:szCs w:val="32"/>
        </w:rPr>
      </w:pPr>
      <w:r>
        <w:rPr>
          <w:rFonts w:hint="default" w:ascii="Times New Roman" w:hAnsi="Times New Roman" w:eastAsia="仿宋" w:cs="Times New Roman"/>
          <w:spacing w:val="-2"/>
          <w:sz w:val="32"/>
          <w:szCs w:val="32"/>
        </w:rPr>
        <w:t>GB/T 39057-2020《科技成果经济价值评估指南》</w:t>
      </w:r>
    </w:p>
    <w:p>
      <w:pPr>
        <w:keepNext w:val="0"/>
        <w:keepLines w:val="0"/>
        <w:pageBreakBefore w:val="0"/>
        <w:numPr>
          <w:ilvl w:val="0"/>
          <w:numId w:val="3"/>
        </w:numPr>
        <w:kinsoku/>
        <w:wordWrap/>
        <w:overflowPunct/>
        <w:topLinePunct w:val="0"/>
        <w:bidi w:val="0"/>
        <w:adjustRightInd/>
        <w:snapToGrid/>
        <w:spacing w:line="540" w:lineRule="exact"/>
        <w:ind w:left="632" w:leftChars="0" w:hanging="632" w:hangingChars="200"/>
        <w:textAlignment w:val="auto"/>
        <w:rPr>
          <w:rFonts w:hint="default" w:ascii="Times New Roman" w:hAnsi="Times New Roman" w:eastAsia="仿宋" w:cs="Times New Roman"/>
          <w:spacing w:val="-2"/>
          <w:sz w:val="32"/>
          <w:szCs w:val="32"/>
        </w:rPr>
      </w:pPr>
      <w:r>
        <w:rPr>
          <w:rFonts w:hint="default" w:ascii="Times New Roman" w:hAnsi="Times New Roman" w:eastAsia="仿宋" w:cs="Times New Roman"/>
          <w:spacing w:val="-2"/>
          <w:sz w:val="32"/>
          <w:szCs w:val="32"/>
        </w:rPr>
        <w:t>GB/T 29490-2013《企业知识产权管理规范》</w:t>
      </w:r>
    </w:p>
    <w:p>
      <w:pPr>
        <w:keepNext w:val="0"/>
        <w:keepLines w:val="0"/>
        <w:pageBreakBefore w:val="0"/>
        <w:numPr>
          <w:ilvl w:val="0"/>
          <w:numId w:val="3"/>
        </w:numPr>
        <w:kinsoku/>
        <w:wordWrap/>
        <w:overflowPunct/>
        <w:topLinePunct w:val="0"/>
        <w:bidi w:val="0"/>
        <w:adjustRightInd/>
        <w:snapToGrid/>
        <w:spacing w:line="540" w:lineRule="exact"/>
        <w:ind w:left="632" w:leftChars="0" w:hanging="632" w:hangingChars="200"/>
        <w:textAlignment w:val="auto"/>
        <w:rPr>
          <w:rFonts w:hint="default" w:ascii="Times New Roman" w:hAnsi="Times New Roman" w:eastAsia="仿宋" w:cs="Times New Roman"/>
          <w:spacing w:val="-2"/>
          <w:sz w:val="32"/>
          <w:szCs w:val="32"/>
        </w:rPr>
      </w:pPr>
      <w:r>
        <w:rPr>
          <w:rFonts w:hint="default" w:ascii="Times New Roman" w:hAnsi="Times New Roman" w:eastAsia="仿宋" w:cs="Times New Roman"/>
          <w:spacing w:val="-2"/>
          <w:sz w:val="32"/>
          <w:szCs w:val="32"/>
        </w:rPr>
        <w:t>DB31/T 1169-2019《知识产权评议技术导则》</w:t>
      </w:r>
    </w:p>
    <w:p>
      <w:pPr>
        <w:keepNext w:val="0"/>
        <w:keepLines w:val="0"/>
        <w:pageBreakBefore w:val="0"/>
        <w:numPr>
          <w:ilvl w:val="0"/>
          <w:numId w:val="3"/>
        </w:numPr>
        <w:kinsoku/>
        <w:wordWrap/>
        <w:overflowPunct/>
        <w:topLinePunct w:val="0"/>
        <w:bidi w:val="0"/>
        <w:adjustRightInd/>
        <w:snapToGrid/>
        <w:spacing w:line="540" w:lineRule="exact"/>
        <w:ind w:left="632" w:leftChars="0" w:hanging="632" w:hangingChars="200"/>
        <w:textAlignment w:val="auto"/>
        <w:rPr>
          <w:rFonts w:hint="default" w:ascii="Times New Roman" w:hAnsi="Times New Roman" w:eastAsia="仿宋" w:cs="Times New Roman"/>
          <w:spacing w:val="-2"/>
          <w:sz w:val="32"/>
          <w:szCs w:val="32"/>
        </w:rPr>
      </w:pPr>
      <w:r>
        <w:rPr>
          <w:rFonts w:hint="default" w:ascii="Times New Roman" w:hAnsi="Times New Roman" w:eastAsia="仿宋" w:cs="Times New Roman"/>
          <w:spacing w:val="-2"/>
          <w:sz w:val="32"/>
          <w:szCs w:val="32"/>
        </w:rPr>
        <w:t>DB43/T 3002-2024《专利价值评估指南》</w:t>
      </w:r>
    </w:p>
    <w:p>
      <w:pPr>
        <w:keepNext w:val="0"/>
        <w:keepLines w:val="0"/>
        <w:pageBreakBefore w:val="0"/>
        <w:numPr>
          <w:ilvl w:val="0"/>
          <w:numId w:val="3"/>
        </w:numPr>
        <w:kinsoku/>
        <w:wordWrap/>
        <w:overflowPunct/>
        <w:topLinePunct w:val="0"/>
        <w:bidi w:val="0"/>
        <w:adjustRightInd/>
        <w:snapToGrid/>
        <w:spacing w:line="540" w:lineRule="exact"/>
        <w:ind w:left="632" w:leftChars="0" w:hanging="632" w:hangingChars="200"/>
        <w:textAlignment w:val="auto"/>
        <w:rPr>
          <w:rFonts w:hint="default" w:ascii="Times New Roman" w:hAnsi="Times New Roman" w:eastAsia="仿宋" w:cs="Times New Roman"/>
          <w:spacing w:val="-2"/>
          <w:sz w:val="32"/>
          <w:szCs w:val="32"/>
        </w:rPr>
      </w:pPr>
      <w:r>
        <w:rPr>
          <w:rFonts w:hint="default" w:ascii="Times New Roman" w:hAnsi="Times New Roman" w:eastAsia="仿宋" w:cs="Times New Roman"/>
          <w:spacing w:val="-2"/>
          <w:sz w:val="32"/>
          <w:szCs w:val="32"/>
        </w:rPr>
        <w:t>DB37/T 4455-2021《专利价值评价规范》</w:t>
      </w:r>
    </w:p>
    <w:p>
      <w:pPr>
        <w:spacing w:before="156" w:beforeLines="50" w:after="156" w:afterLines="50" w:line="540" w:lineRule="exact"/>
        <w:rPr>
          <w:rFonts w:hint="default" w:ascii="Times New Roman" w:hAnsi="Times New Roman" w:eastAsia="仿宋" w:cs="Times New Roman"/>
          <w:spacing w:val="-2"/>
          <w:sz w:val="32"/>
          <w:szCs w:val="32"/>
        </w:rPr>
      </w:pPr>
      <w:r>
        <w:rPr>
          <w:rFonts w:hint="default" w:ascii="Times New Roman" w:hAnsi="Times New Roman" w:eastAsia="仿宋" w:cs="Times New Roman"/>
          <w:b/>
          <w:bCs/>
          <w:sz w:val="32"/>
          <w:szCs w:val="32"/>
        </w:rPr>
        <w:t>十、重大意见分歧及处理结果</w:t>
      </w:r>
    </w:p>
    <w:p>
      <w:pPr>
        <w:spacing w:line="540" w:lineRule="exact"/>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pacing w:val="-2"/>
          <w:sz w:val="32"/>
          <w:szCs w:val="32"/>
        </w:rPr>
        <w:t>无重大意见分歧。</w:t>
      </w:r>
      <w:r>
        <w:rPr>
          <w:rFonts w:hint="default" w:ascii="Times New Roman" w:hAnsi="Times New Roman" w:eastAsia="仿宋" w:cs="Times New Roman"/>
          <w:sz w:val="32"/>
          <w:szCs w:val="32"/>
        </w:rPr>
        <w:t xml:space="preserve">                    </w:t>
      </w:r>
    </w:p>
    <w:p>
      <w:pPr>
        <w:spacing w:line="540" w:lineRule="exact"/>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pacing w:val="-2"/>
          <w:sz w:val="32"/>
          <w:szCs w:val="32"/>
        </w:rPr>
        <w:t>综上所述，经过起草组的共同努力，完成了</w:t>
      </w:r>
      <w:r>
        <w:rPr>
          <w:rFonts w:hint="default" w:ascii="Times New Roman" w:hAnsi="Times New Roman" w:eastAsia="仿宋" w:cs="Times New Roman"/>
          <w:spacing w:val="-2"/>
          <w:sz w:val="32"/>
          <w:szCs w:val="32"/>
          <w:lang w:val="en-US" w:eastAsia="zh-CN"/>
        </w:rPr>
        <w:t>株洲市</w:t>
      </w:r>
      <w:r>
        <w:rPr>
          <w:rFonts w:hint="default" w:ascii="Times New Roman" w:hAnsi="Times New Roman" w:eastAsia="仿宋" w:cs="Times New Roman"/>
          <w:spacing w:val="-2"/>
          <w:sz w:val="32"/>
          <w:szCs w:val="32"/>
        </w:rPr>
        <w:t>地方标准《重大经济科技活动知识产权分析评议技术规范》的编写工作，</w:t>
      </w:r>
      <w:r>
        <w:rPr>
          <w:rFonts w:hint="default" w:ascii="Times New Roman" w:hAnsi="Times New Roman" w:eastAsia="仿宋" w:cs="Times New Roman"/>
          <w:sz w:val="32"/>
          <w:szCs w:val="32"/>
        </w:rPr>
        <w:t>报</w:t>
      </w:r>
      <w:r>
        <w:rPr>
          <w:rFonts w:hint="default" w:ascii="Times New Roman" w:hAnsi="Times New Roman" w:eastAsia="仿宋" w:cs="Times New Roman"/>
          <w:spacing w:val="-2"/>
          <w:sz w:val="32"/>
          <w:szCs w:val="32"/>
          <w:lang w:val="en-US" w:eastAsia="zh-CN"/>
        </w:rPr>
        <w:t>株洲</w:t>
      </w:r>
      <w:r>
        <w:rPr>
          <w:rFonts w:hint="default" w:ascii="Times New Roman" w:hAnsi="Times New Roman" w:eastAsia="仿宋" w:cs="Times New Roman"/>
          <w:sz w:val="32"/>
          <w:szCs w:val="32"/>
        </w:rPr>
        <w:t>市市场监督管理局</w:t>
      </w:r>
      <w:r>
        <w:rPr>
          <w:rFonts w:hint="default" w:ascii="Times New Roman" w:hAnsi="Times New Roman" w:eastAsia="仿宋" w:cs="Times New Roman"/>
          <w:sz w:val="32"/>
          <w:szCs w:val="32"/>
          <w:lang w:val="en-US" w:eastAsia="zh-CN"/>
        </w:rPr>
        <w:t>批准发布</w:t>
      </w:r>
      <w:r>
        <w:rPr>
          <w:rFonts w:hint="default" w:ascii="Times New Roman" w:hAnsi="Times New Roman" w:eastAsia="仿宋" w:cs="Times New Roman"/>
          <w:sz w:val="32"/>
          <w:szCs w:val="32"/>
        </w:rPr>
        <w:t>。</w:t>
      </w:r>
    </w:p>
    <w:p>
      <w:pPr>
        <w:spacing w:line="540" w:lineRule="exact"/>
        <w:ind w:firstLine="632" w:firstLineChars="200"/>
        <w:rPr>
          <w:rFonts w:hint="default" w:ascii="Times New Roman" w:hAnsi="Times New Roman" w:eastAsia="仿宋" w:cs="Times New Roman"/>
          <w:spacing w:val="-2"/>
          <w:sz w:val="32"/>
          <w:szCs w:val="32"/>
        </w:rPr>
      </w:pPr>
    </w:p>
    <w:p>
      <w:pPr>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标准编写组</w:t>
      </w:r>
    </w:p>
    <w:p>
      <w:pPr>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2024年</w:t>
      </w:r>
      <w:r>
        <w:rPr>
          <w:rFonts w:hint="default" w:ascii="Times New Roman" w:hAnsi="Times New Roman" w:eastAsia="仿宋" w:cs="Times New Roman"/>
          <w:sz w:val="32"/>
          <w:szCs w:val="32"/>
          <w:lang w:val="en-US" w:eastAsia="zh-CN"/>
        </w:rPr>
        <w:t>12</w:t>
      </w:r>
      <w:r>
        <w:rPr>
          <w:rFonts w:hint="default" w:ascii="Times New Roman" w:hAnsi="Times New Roman" w:eastAsia="仿宋" w:cs="Times New Roman"/>
          <w:sz w:val="32"/>
          <w:szCs w:val="32"/>
        </w:rPr>
        <w:t>月</w:t>
      </w:r>
      <w:r>
        <w:rPr>
          <w:rFonts w:hint="default" w:ascii="Times New Roman" w:hAnsi="Times New Roman" w:eastAsia="仿宋" w:cs="Times New Roman"/>
          <w:sz w:val="32"/>
          <w:szCs w:val="32"/>
          <w:lang w:val="en-US" w:eastAsia="zh-CN"/>
        </w:rPr>
        <w:t>11</w:t>
      </w:r>
      <w:r>
        <w:rPr>
          <w:rFonts w:hint="default" w:ascii="Times New Roman" w:hAnsi="Times New Roman" w:eastAsia="仿宋" w:cs="Times New Roman"/>
          <w:sz w:val="32"/>
          <w:szCs w:val="32"/>
        </w:rPr>
        <w:t>日</w:t>
      </w:r>
    </w:p>
    <w:p>
      <w:pPr>
        <w:outlineLvl w:val="0"/>
        <w:rPr>
          <w:rFonts w:hint="default" w:ascii="Times New Roman" w:hAnsi="Times New Roman" w:eastAsia="仿宋" w:cs="Times New Roman"/>
          <w:sz w:val="32"/>
          <w:szCs w:val="32"/>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0AD4B"/>
    <w:multiLevelType w:val="singleLevel"/>
    <w:tmpl w:val="A580AD4B"/>
    <w:lvl w:ilvl="0" w:tentative="0">
      <w:start w:val="1"/>
      <w:numFmt w:val="decimal"/>
      <w:lvlText w:val="%1."/>
      <w:lvlJc w:val="left"/>
      <w:pPr>
        <w:ind w:left="425" w:hanging="425"/>
      </w:pPr>
      <w:rPr>
        <w:rFonts w:hint="default"/>
      </w:rPr>
    </w:lvl>
  </w:abstractNum>
  <w:abstractNum w:abstractNumId="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5"/>
      <w:suff w:val="nothing"/>
      <w:lvlText w:val="%1%2　"/>
      <w:lvlJc w:val="left"/>
      <w:pPr>
        <w:ind w:left="0" w:firstLine="0"/>
      </w:pPr>
      <w:rPr>
        <w:rFonts w:hint="eastAsia" w:ascii="黑体" w:eastAsia="黑体"/>
        <w:b w:val="0"/>
        <w:i w:val="0"/>
        <w:sz w:val="21"/>
      </w:rPr>
    </w:lvl>
    <w:lvl w:ilvl="2" w:tentative="0">
      <w:start w:val="1"/>
      <w:numFmt w:val="decimal"/>
      <w:pStyle w:val="14"/>
      <w:suff w:val="nothing"/>
      <w:lvlText w:val="%1%2.%3　"/>
      <w:lvlJc w:val="left"/>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709"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74577233"/>
    <w:multiLevelType w:val="multilevel"/>
    <w:tmpl w:val="74577233"/>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pStyle w:val="28"/>
      <w:lvlText w:val="%3."/>
      <w:lvlJc w:val="left"/>
      <w:pPr>
        <w:tabs>
          <w:tab w:val="left" w:pos="2160"/>
        </w:tabs>
        <w:ind w:left="2160" w:hanging="720"/>
      </w:pPr>
    </w:lvl>
    <w:lvl w:ilvl="3" w:tentative="0">
      <w:start w:val="1"/>
      <w:numFmt w:val="decimal"/>
      <w:pStyle w:val="30"/>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2MjRiOWNjYjNjMTE1MWE2ZjBkOWY2ODM0MDhjY2QifQ=="/>
  </w:docVars>
  <w:rsids>
    <w:rsidRoot w:val="2A34303D"/>
    <w:rsid w:val="00002D7F"/>
    <w:rsid w:val="00004B6D"/>
    <w:rsid w:val="000118A6"/>
    <w:rsid w:val="00013207"/>
    <w:rsid w:val="00017310"/>
    <w:rsid w:val="000173C6"/>
    <w:rsid w:val="000449B5"/>
    <w:rsid w:val="00045BA7"/>
    <w:rsid w:val="000618BB"/>
    <w:rsid w:val="00062B9A"/>
    <w:rsid w:val="00066635"/>
    <w:rsid w:val="00082579"/>
    <w:rsid w:val="00084531"/>
    <w:rsid w:val="00086084"/>
    <w:rsid w:val="000877C0"/>
    <w:rsid w:val="00090F12"/>
    <w:rsid w:val="000A4AAB"/>
    <w:rsid w:val="000A6BF5"/>
    <w:rsid w:val="000C024B"/>
    <w:rsid w:val="000C3FC2"/>
    <w:rsid w:val="000D37F2"/>
    <w:rsid w:val="000D5788"/>
    <w:rsid w:val="000E3DE0"/>
    <w:rsid w:val="000E4581"/>
    <w:rsid w:val="000F5645"/>
    <w:rsid w:val="000F7084"/>
    <w:rsid w:val="00112AAF"/>
    <w:rsid w:val="001137F7"/>
    <w:rsid w:val="001143C8"/>
    <w:rsid w:val="0011506A"/>
    <w:rsid w:val="0011760F"/>
    <w:rsid w:val="001352FC"/>
    <w:rsid w:val="001663FC"/>
    <w:rsid w:val="00172E78"/>
    <w:rsid w:val="0017578C"/>
    <w:rsid w:val="00180AC7"/>
    <w:rsid w:val="00183DE4"/>
    <w:rsid w:val="00190CB7"/>
    <w:rsid w:val="0019765B"/>
    <w:rsid w:val="001B7CE0"/>
    <w:rsid w:val="001D4206"/>
    <w:rsid w:val="001E54D9"/>
    <w:rsid w:val="001F0148"/>
    <w:rsid w:val="00204F9B"/>
    <w:rsid w:val="00210832"/>
    <w:rsid w:val="002147E4"/>
    <w:rsid w:val="002158DE"/>
    <w:rsid w:val="00216E23"/>
    <w:rsid w:val="00222C57"/>
    <w:rsid w:val="00223B6C"/>
    <w:rsid w:val="00227B18"/>
    <w:rsid w:val="00231A8D"/>
    <w:rsid w:val="0024445E"/>
    <w:rsid w:val="0024478B"/>
    <w:rsid w:val="00246D60"/>
    <w:rsid w:val="002544CB"/>
    <w:rsid w:val="00257D99"/>
    <w:rsid w:val="00272766"/>
    <w:rsid w:val="002734D8"/>
    <w:rsid w:val="00274774"/>
    <w:rsid w:val="0028190B"/>
    <w:rsid w:val="002855EA"/>
    <w:rsid w:val="00287475"/>
    <w:rsid w:val="002916BE"/>
    <w:rsid w:val="00293AC9"/>
    <w:rsid w:val="002B2F87"/>
    <w:rsid w:val="002B4765"/>
    <w:rsid w:val="002C5559"/>
    <w:rsid w:val="002D213D"/>
    <w:rsid w:val="00336FEB"/>
    <w:rsid w:val="003454E6"/>
    <w:rsid w:val="00346194"/>
    <w:rsid w:val="00351550"/>
    <w:rsid w:val="003602FE"/>
    <w:rsid w:val="00362FEC"/>
    <w:rsid w:val="00363DCF"/>
    <w:rsid w:val="0036776E"/>
    <w:rsid w:val="003757A6"/>
    <w:rsid w:val="00383DE2"/>
    <w:rsid w:val="0038604A"/>
    <w:rsid w:val="0038613C"/>
    <w:rsid w:val="00391436"/>
    <w:rsid w:val="00391F26"/>
    <w:rsid w:val="003B48C1"/>
    <w:rsid w:val="003B6B5B"/>
    <w:rsid w:val="003C1E6C"/>
    <w:rsid w:val="003E2385"/>
    <w:rsid w:val="003E399E"/>
    <w:rsid w:val="003F3539"/>
    <w:rsid w:val="004061EF"/>
    <w:rsid w:val="0041003D"/>
    <w:rsid w:val="004110A7"/>
    <w:rsid w:val="00411C76"/>
    <w:rsid w:val="00412325"/>
    <w:rsid w:val="004123A5"/>
    <w:rsid w:val="00415DDE"/>
    <w:rsid w:val="00425A1B"/>
    <w:rsid w:val="00431CC3"/>
    <w:rsid w:val="004446FC"/>
    <w:rsid w:val="00452646"/>
    <w:rsid w:val="00457A6E"/>
    <w:rsid w:val="00460D43"/>
    <w:rsid w:val="00463BEF"/>
    <w:rsid w:val="004641C2"/>
    <w:rsid w:val="0046550B"/>
    <w:rsid w:val="00467414"/>
    <w:rsid w:val="00480336"/>
    <w:rsid w:val="00496902"/>
    <w:rsid w:val="00497F21"/>
    <w:rsid w:val="004A0782"/>
    <w:rsid w:val="004A1972"/>
    <w:rsid w:val="004B244C"/>
    <w:rsid w:val="004B25EA"/>
    <w:rsid w:val="004B631E"/>
    <w:rsid w:val="004B7331"/>
    <w:rsid w:val="004D22ED"/>
    <w:rsid w:val="004D499F"/>
    <w:rsid w:val="004E43BF"/>
    <w:rsid w:val="0051690F"/>
    <w:rsid w:val="00521B8D"/>
    <w:rsid w:val="0052358D"/>
    <w:rsid w:val="005243EC"/>
    <w:rsid w:val="0053069D"/>
    <w:rsid w:val="00541460"/>
    <w:rsid w:val="0056467F"/>
    <w:rsid w:val="0058523E"/>
    <w:rsid w:val="00591E7E"/>
    <w:rsid w:val="00597BE6"/>
    <w:rsid w:val="005A7A00"/>
    <w:rsid w:val="005C3E8C"/>
    <w:rsid w:val="005D03C0"/>
    <w:rsid w:val="005D089A"/>
    <w:rsid w:val="005E11CC"/>
    <w:rsid w:val="005F6CF3"/>
    <w:rsid w:val="00610549"/>
    <w:rsid w:val="00624164"/>
    <w:rsid w:val="0062716E"/>
    <w:rsid w:val="00656707"/>
    <w:rsid w:val="00656B3B"/>
    <w:rsid w:val="0066348D"/>
    <w:rsid w:val="00673B2F"/>
    <w:rsid w:val="0068433F"/>
    <w:rsid w:val="00687526"/>
    <w:rsid w:val="006911F9"/>
    <w:rsid w:val="00692FA7"/>
    <w:rsid w:val="00697AD5"/>
    <w:rsid w:val="006B0B6F"/>
    <w:rsid w:val="006B6BD8"/>
    <w:rsid w:val="006C1F57"/>
    <w:rsid w:val="006D66F1"/>
    <w:rsid w:val="006E0925"/>
    <w:rsid w:val="006E4433"/>
    <w:rsid w:val="006F471F"/>
    <w:rsid w:val="006F6D81"/>
    <w:rsid w:val="006F747F"/>
    <w:rsid w:val="006F7F6B"/>
    <w:rsid w:val="00706B3E"/>
    <w:rsid w:val="00720306"/>
    <w:rsid w:val="00724786"/>
    <w:rsid w:val="00726300"/>
    <w:rsid w:val="00733637"/>
    <w:rsid w:val="007567E4"/>
    <w:rsid w:val="00762C4D"/>
    <w:rsid w:val="00767B25"/>
    <w:rsid w:val="007770B9"/>
    <w:rsid w:val="00794E2C"/>
    <w:rsid w:val="007967A1"/>
    <w:rsid w:val="007A3406"/>
    <w:rsid w:val="007A6F63"/>
    <w:rsid w:val="007B33A3"/>
    <w:rsid w:val="007C11A2"/>
    <w:rsid w:val="007E22D0"/>
    <w:rsid w:val="007E6726"/>
    <w:rsid w:val="007F2CFE"/>
    <w:rsid w:val="007F35B3"/>
    <w:rsid w:val="00807806"/>
    <w:rsid w:val="0082021C"/>
    <w:rsid w:val="00820ABA"/>
    <w:rsid w:val="00823858"/>
    <w:rsid w:val="00825537"/>
    <w:rsid w:val="00835373"/>
    <w:rsid w:val="00835D10"/>
    <w:rsid w:val="00841AEE"/>
    <w:rsid w:val="0084484A"/>
    <w:rsid w:val="00845B40"/>
    <w:rsid w:val="008464F9"/>
    <w:rsid w:val="00847DE1"/>
    <w:rsid w:val="0085587D"/>
    <w:rsid w:val="00857B01"/>
    <w:rsid w:val="0086132E"/>
    <w:rsid w:val="00867FFD"/>
    <w:rsid w:val="0089109E"/>
    <w:rsid w:val="00891DF6"/>
    <w:rsid w:val="0089378B"/>
    <w:rsid w:val="0089672C"/>
    <w:rsid w:val="008C3AF4"/>
    <w:rsid w:val="008D1F9F"/>
    <w:rsid w:val="008D776B"/>
    <w:rsid w:val="009036B9"/>
    <w:rsid w:val="00930008"/>
    <w:rsid w:val="009440E9"/>
    <w:rsid w:val="00951B8B"/>
    <w:rsid w:val="00953101"/>
    <w:rsid w:val="00957FF5"/>
    <w:rsid w:val="00962B72"/>
    <w:rsid w:val="00970908"/>
    <w:rsid w:val="0097126A"/>
    <w:rsid w:val="009712E7"/>
    <w:rsid w:val="009742D2"/>
    <w:rsid w:val="009A05F0"/>
    <w:rsid w:val="009C156B"/>
    <w:rsid w:val="009C2985"/>
    <w:rsid w:val="009E3142"/>
    <w:rsid w:val="00A10993"/>
    <w:rsid w:val="00A12651"/>
    <w:rsid w:val="00A150E5"/>
    <w:rsid w:val="00A17BA3"/>
    <w:rsid w:val="00A20194"/>
    <w:rsid w:val="00A301AB"/>
    <w:rsid w:val="00A342D9"/>
    <w:rsid w:val="00A3451A"/>
    <w:rsid w:val="00A364B9"/>
    <w:rsid w:val="00A4204D"/>
    <w:rsid w:val="00A46670"/>
    <w:rsid w:val="00A47857"/>
    <w:rsid w:val="00A5204C"/>
    <w:rsid w:val="00A54E81"/>
    <w:rsid w:val="00A615B2"/>
    <w:rsid w:val="00A64D93"/>
    <w:rsid w:val="00A663ED"/>
    <w:rsid w:val="00A70DDF"/>
    <w:rsid w:val="00A83D9F"/>
    <w:rsid w:val="00A92958"/>
    <w:rsid w:val="00A934D4"/>
    <w:rsid w:val="00AA3B77"/>
    <w:rsid w:val="00AA482C"/>
    <w:rsid w:val="00AA61E2"/>
    <w:rsid w:val="00AB10C1"/>
    <w:rsid w:val="00AB4CAC"/>
    <w:rsid w:val="00AD073C"/>
    <w:rsid w:val="00AD4885"/>
    <w:rsid w:val="00AE6B42"/>
    <w:rsid w:val="00AE7996"/>
    <w:rsid w:val="00B05158"/>
    <w:rsid w:val="00B0599F"/>
    <w:rsid w:val="00B06E28"/>
    <w:rsid w:val="00B1178C"/>
    <w:rsid w:val="00B20A86"/>
    <w:rsid w:val="00B2494E"/>
    <w:rsid w:val="00B44A48"/>
    <w:rsid w:val="00B471EA"/>
    <w:rsid w:val="00B52448"/>
    <w:rsid w:val="00B5443F"/>
    <w:rsid w:val="00B80238"/>
    <w:rsid w:val="00B811B2"/>
    <w:rsid w:val="00B850CE"/>
    <w:rsid w:val="00B94FD3"/>
    <w:rsid w:val="00BA2789"/>
    <w:rsid w:val="00BA57E3"/>
    <w:rsid w:val="00BB286A"/>
    <w:rsid w:val="00BC1521"/>
    <w:rsid w:val="00BD2F75"/>
    <w:rsid w:val="00BD4C2F"/>
    <w:rsid w:val="00BE0C45"/>
    <w:rsid w:val="00BE7190"/>
    <w:rsid w:val="00BF13B9"/>
    <w:rsid w:val="00BF52BD"/>
    <w:rsid w:val="00BF6E62"/>
    <w:rsid w:val="00C02C4A"/>
    <w:rsid w:val="00C05F07"/>
    <w:rsid w:val="00C245A5"/>
    <w:rsid w:val="00C24E4B"/>
    <w:rsid w:val="00C35D71"/>
    <w:rsid w:val="00C35FDA"/>
    <w:rsid w:val="00C36B5B"/>
    <w:rsid w:val="00C43E23"/>
    <w:rsid w:val="00C51E0A"/>
    <w:rsid w:val="00C5229B"/>
    <w:rsid w:val="00C53709"/>
    <w:rsid w:val="00C553F4"/>
    <w:rsid w:val="00C617E4"/>
    <w:rsid w:val="00C6214C"/>
    <w:rsid w:val="00C6491F"/>
    <w:rsid w:val="00C77ABA"/>
    <w:rsid w:val="00C823C4"/>
    <w:rsid w:val="00C864DD"/>
    <w:rsid w:val="00C92CFB"/>
    <w:rsid w:val="00C94802"/>
    <w:rsid w:val="00CB23F2"/>
    <w:rsid w:val="00CB3FB7"/>
    <w:rsid w:val="00CB4609"/>
    <w:rsid w:val="00CC479B"/>
    <w:rsid w:val="00CE5986"/>
    <w:rsid w:val="00CE6154"/>
    <w:rsid w:val="00CE7F8D"/>
    <w:rsid w:val="00CF030F"/>
    <w:rsid w:val="00CF10FB"/>
    <w:rsid w:val="00CF58E5"/>
    <w:rsid w:val="00CF59E4"/>
    <w:rsid w:val="00D00C8A"/>
    <w:rsid w:val="00D27CF9"/>
    <w:rsid w:val="00D47F9F"/>
    <w:rsid w:val="00D60E27"/>
    <w:rsid w:val="00D6308B"/>
    <w:rsid w:val="00D64638"/>
    <w:rsid w:val="00D65998"/>
    <w:rsid w:val="00D6710A"/>
    <w:rsid w:val="00D67F7B"/>
    <w:rsid w:val="00D75531"/>
    <w:rsid w:val="00D8544F"/>
    <w:rsid w:val="00D9637F"/>
    <w:rsid w:val="00DC35B1"/>
    <w:rsid w:val="00DD4167"/>
    <w:rsid w:val="00DE19E0"/>
    <w:rsid w:val="00DF183E"/>
    <w:rsid w:val="00DF759C"/>
    <w:rsid w:val="00E03BBE"/>
    <w:rsid w:val="00E03DB3"/>
    <w:rsid w:val="00E15300"/>
    <w:rsid w:val="00E172F7"/>
    <w:rsid w:val="00E260F0"/>
    <w:rsid w:val="00E30FAC"/>
    <w:rsid w:val="00E35F4B"/>
    <w:rsid w:val="00E403FC"/>
    <w:rsid w:val="00E44F6A"/>
    <w:rsid w:val="00E5639A"/>
    <w:rsid w:val="00EC1C52"/>
    <w:rsid w:val="00EE0B60"/>
    <w:rsid w:val="00EF5075"/>
    <w:rsid w:val="00F01ADE"/>
    <w:rsid w:val="00F03F03"/>
    <w:rsid w:val="00F12644"/>
    <w:rsid w:val="00F14147"/>
    <w:rsid w:val="00F211EF"/>
    <w:rsid w:val="00F24DB6"/>
    <w:rsid w:val="00F27441"/>
    <w:rsid w:val="00F540A4"/>
    <w:rsid w:val="00F637E5"/>
    <w:rsid w:val="00F74A57"/>
    <w:rsid w:val="00F9497B"/>
    <w:rsid w:val="00FA0FF5"/>
    <w:rsid w:val="00FA2695"/>
    <w:rsid w:val="00FC6AB9"/>
    <w:rsid w:val="00FC7025"/>
    <w:rsid w:val="00FE2B8F"/>
    <w:rsid w:val="00FE6B34"/>
    <w:rsid w:val="01341807"/>
    <w:rsid w:val="013435B5"/>
    <w:rsid w:val="013C246A"/>
    <w:rsid w:val="01503613"/>
    <w:rsid w:val="01633E9B"/>
    <w:rsid w:val="016A6FD7"/>
    <w:rsid w:val="016C2D4F"/>
    <w:rsid w:val="017C6D0A"/>
    <w:rsid w:val="01804A4C"/>
    <w:rsid w:val="0183453D"/>
    <w:rsid w:val="018502B5"/>
    <w:rsid w:val="01A93FA3"/>
    <w:rsid w:val="01AD71BC"/>
    <w:rsid w:val="01B85F94"/>
    <w:rsid w:val="01BE7323"/>
    <w:rsid w:val="01C54B55"/>
    <w:rsid w:val="01C74429"/>
    <w:rsid w:val="01D134FA"/>
    <w:rsid w:val="01D86637"/>
    <w:rsid w:val="01E054EB"/>
    <w:rsid w:val="01EA636A"/>
    <w:rsid w:val="01FF0067"/>
    <w:rsid w:val="020A2568"/>
    <w:rsid w:val="021C29C7"/>
    <w:rsid w:val="022950E4"/>
    <w:rsid w:val="023575E5"/>
    <w:rsid w:val="023B6BC5"/>
    <w:rsid w:val="023D293E"/>
    <w:rsid w:val="02421D02"/>
    <w:rsid w:val="024617F2"/>
    <w:rsid w:val="02555ED9"/>
    <w:rsid w:val="025A34EF"/>
    <w:rsid w:val="02661E94"/>
    <w:rsid w:val="0270686F"/>
    <w:rsid w:val="027A76EE"/>
    <w:rsid w:val="027D0F8C"/>
    <w:rsid w:val="027F1606"/>
    <w:rsid w:val="0281282A"/>
    <w:rsid w:val="02820350"/>
    <w:rsid w:val="02895B83"/>
    <w:rsid w:val="02897931"/>
    <w:rsid w:val="02B20C36"/>
    <w:rsid w:val="02B75C7A"/>
    <w:rsid w:val="02C24BF1"/>
    <w:rsid w:val="02C32E43"/>
    <w:rsid w:val="02C44E0D"/>
    <w:rsid w:val="02D432A2"/>
    <w:rsid w:val="02DC2156"/>
    <w:rsid w:val="02DD1A2B"/>
    <w:rsid w:val="02DF39F5"/>
    <w:rsid w:val="02E132C9"/>
    <w:rsid w:val="02E26B72"/>
    <w:rsid w:val="02F23728"/>
    <w:rsid w:val="02F92D08"/>
    <w:rsid w:val="02FE3E7B"/>
    <w:rsid w:val="03174F3D"/>
    <w:rsid w:val="0321400D"/>
    <w:rsid w:val="032F2286"/>
    <w:rsid w:val="034F46D6"/>
    <w:rsid w:val="0355453F"/>
    <w:rsid w:val="03563CB7"/>
    <w:rsid w:val="035D3297"/>
    <w:rsid w:val="0361440A"/>
    <w:rsid w:val="03634626"/>
    <w:rsid w:val="036F4D79"/>
    <w:rsid w:val="03726617"/>
    <w:rsid w:val="037B7D63"/>
    <w:rsid w:val="03836A76"/>
    <w:rsid w:val="03942A31"/>
    <w:rsid w:val="0394658D"/>
    <w:rsid w:val="039B3DC0"/>
    <w:rsid w:val="03A569EC"/>
    <w:rsid w:val="03B22EB7"/>
    <w:rsid w:val="03CC21CB"/>
    <w:rsid w:val="03D03378"/>
    <w:rsid w:val="03EC461B"/>
    <w:rsid w:val="0402799B"/>
    <w:rsid w:val="04041965"/>
    <w:rsid w:val="040F20B8"/>
    <w:rsid w:val="04221DEB"/>
    <w:rsid w:val="04272E41"/>
    <w:rsid w:val="04277401"/>
    <w:rsid w:val="042A0CA0"/>
    <w:rsid w:val="04357D70"/>
    <w:rsid w:val="044B1342"/>
    <w:rsid w:val="044C2EB2"/>
    <w:rsid w:val="044C50BA"/>
    <w:rsid w:val="04510922"/>
    <w:rsid w:val="045D1075"/>
    <w:rsid w:val="045F4DED"/>
    <w:rsid w:val="04706FFA"/>
    <w:rsid w:val="04730898"/>
    <w:rsid w:val="047563BF"/>
    <w:rsid w:val="04784101"/>
    <w:rsid w:val="047D1CBF"/>
    <w:rsid w:val="04814D63"/>
    <w:rsid w:val="049E37B8"/>
    <w:rsid w:val="04A10F62"/>
    <w:rsid w:val="04A22F2C"/>
    <w:rsid w:val="04A647CA"/>
    <w:rsid w:val="04B70785"/>
    <w:rsid w:val="04BD1B14"/>
    <w:rsid w:val="04C66C1A"/>
    <w:rsid w:val="04DE7932"/>
    <w:rsid w:val="04E13A54"/>
    <w:rsid w:val="04E90B5B"/>
    <w:rsid w:val="04EB042F"/>
    <w:rsid w:val="04F35535"/>
    <w:rsid w:val="04FF037E"/>
    <w:rsid w:val="050B0AD1"/>
    <w:rsid w:val="051200B1"/>
    <w:rsid w:val="05121E5F"/>
    <w:rsid w:val="051536FE"/>
    <w:rsid w:val="051A6F66"/>
    <w:rsid w:val="05322502"/>
    <w:rsid w:val="0539563E"/>
    <w:rsid w:val="053C0AE6"/>
    <w:rsid w:val="05410997"/>
    <w:rsid w:val="05445D91"/>
    <w:rsid w:val="05483AD3"/>
    <w:rsid w:val="0555396D"/>
    <w:rsid w:val="05571F68"/>
    <w:rsid w:val="05777F14"/>
    <w:rsid w:val="05790131"/>
    <w:rsid w:val="057A17B3"/>
    <w:rsid w:val="057E12A3"/>
    <w:rsid w:val="058368B9"/>
    <w:rsid w:val="05A131E3"/>
    <w:rsid w:val="05A30D0A"/>
    <w:rsid w:val="05B253F0"/>
    <w:rsid w:val="05B747B5"/>
    <w:rsid w:val="05BC1DCB"/>
    <w:rsid w:val="05D90BCF"/>
    <w:rsid w:val="05F72E03"/>
    <w:rsid w:val="06007F0A"/>
    <w:rsid w:val="06190FCC"/>
    <w:rsid w:val="06255BC2"/>
    <w:rsid w:val="062E4A77"/>
    <w:rsid w:val="063E0A32"/>
    <w:rsid w:val="06432B56"/>
    <w:rsid w:val="06475B39"/>
    <w:rsid w:val="065D535C"/>
    <w:rsid w:val="0676476D"/>
    <w:rsid w:val="068648B3"/>
    <w:rsid w:val="068B011B"/>
    <w:rsid w:val="068C79F0"/>
    <w:rsid w:val="06A72A7B"/>
    <w:rsid w:val="06AE7966"/>
    <w:rsid w:val="06C70A28"/>
    <w:rsid w:val="06CB0518"/>
    <w:rsid w:val="06CB4FA1"/>
    <w:rsid w:val="06D849E3"/>
    <w:rsid w:val="06E8731C"/>
    <w:rsid w:val="06F07F7E"/>
    <w:rsid w:val="06F42B68"/>
    <w:rsid w:val="06FD3ECB"/>
    <w:rsid w:val="070677A2"/>
    <w:rsid w:val="071874D5"/>
    <w:rsid w:val="071A149F"/>
    <w:rsid w:val="0721638A"/>
    <w:rsid w:val="073F0F06"/>
    <w:rsid w:val="074A33A3"/>
    <w:rsid w:val="075C73C2"/>
    <w:rsid w:val="076D38BD"/>
    <w:rsid w:val="077F1302"/>
    <w:rsid w:val="07846919"/>
    <w:rsid w:val="078F59E9"/>
    <w:rsid w:val="07921036"/>
    <w:rsid w:val="07950B26"/>
    <w:rsid w:val="07990616"/>
    <w:rsid w:val="079C1EB4"/>
    <w:rsid w:val="07A07BF6"/>
    <w:rsid w:val="07A15BEC"/>
    <w:rsid w:val="07AA45D1"/>
    <w:rsid w:val="07AF1BE8"/>
    <w:rsid w:val="07B05960"/>
    <w:rsid w:val="07B62F76"/>
    <w:rsid w:val="07B70A9C"/>
    <w:rsid w:val="07CC09EB"/>
    <w:rsid w:val="07D72EEC"/>
    <w:rsid w:val="07EE6685"/>
    <w:rsid w:val="0800584E"/>
    <w:rsid w:val="080B2B96"/>
    <w:rsid w:val="082C4FE6"/>
    <w:rsid w:val="08365E65"/>
    <w:rsid w:val="08395955"/>
    <w:rsid w:val="084C7436"/>
    <w:rsid w:val="085D7896"/>
    <w:rsid w:val="086E1AA3"/>
    <w:rsid w:val="08713341"/>
    <w:rsid w:val="088E3EF3"/>
    <w:rsid w:val="08AA0601"/>
    <w:rsid w:val="08AF79C5"/>
    <w:rsid w:val="08C01BD2"/>
    <w:rsid w:val="08C559CD"/>
    <w:rsid w:val="08C622F4"/>
    <w:rsid w:val="08D4742C"/>
    <w:rsid w:val="08E753B1"/>
    <w:rsid w:val="09061CDB"/>
    <w:rsid w:val="090B72F2"/>
    <w:rsid w:val="0911242E"/>
    <w:rsid w:val="0912783F"/>
    <w:rsid w:val="0915034D"/>
    <w:rsid w:val="09265ED9"/>
    <w:rsid w:val="09271C52"/>
    <w:rsid w:val="092959CA"/>
    <w:rsid w:val="092B34F0"/>
    <w:rsid w:val="093323A4"/>
    <w:rsid w:val="09371E95"/>
    <w:rsid w:val="09410F65"/>
    <w:rsid w:val="09420839"/>
    <w:rsid w:val="094B5940"/>
    <w:rsid w:val="09502F56"/>
    <w:rsid w:val="095F4AC7"/>
    <w:rsid w:val="09616F12"/>
    <w:rsid w:val="09630EDC"/>
    <w:rsid w:val="097430E9"/>
    <w:rsid w:val="097A7FD3"/>
    <w:rsid w:val="097D1872"/>
    <w:rsid w:val="0983157E"/>
    <w:rsid w:val="098470A4"/>
    <w:rsid w:val="09970B85"/>
    <w:rsid w:val="09992B4F"/>
    <w:rsid w:val="099F7A3A"/>
    <w:rsid w:val="09BB0D18"/>
    <w:rsid w:val="09BC4A90"/>
    <w:rsid w:val="09C120A6"/>
    <w:rsid w:val="09C556F2"/>
    <w:rsid w:val="09D0027E"/>
    <w:rsid w:val="09D92F4C"/>
    <w:rsid w:val="09D973F0"/>
    <w:rsid w:val="09DF42DA"/>
    <w:rsid w:val="09F935EE"/>
    <w:rsid w:val="09FB55B8"/>
    <w:rsid w:val="0A12645E"/>
    <w:rsid w:val="0A1B3564"/>
    <w:rsid w:val="0A1C3B71"/>
    <w:rsid w:val="0A20501F"/>
    <w:rsid w:val="0A261078"/>
    <w:rsid w:val="0A2A7C4B"/>
    <w:rsid w:val="0A3960E0"/>
    <w:rsid w:val="0A3C34DB"/>
    <w:rsid w:val="0A3D172D"/>
    <w:rsid w:val="0A3D403B"/>
    <w:rsid w:val="0A426D43"/>
    <w:rsid w:val="0A530F50"/>
    <w:rsid w:val="0A670558"/>
    <w:rsid w:val="0A6A26DF"/>
    <w:rsid w:val="0A7C3D17"/>
    <w:rsid w:val="0A7F7F97"/>
    <w:rsid w:val="0A825391"/>
    <w:rsid w:val="0A8455AD"/>
    <w:rsid w:val="0AA3355A"/>
    <w:rsid w:val="0AB168B1"/>
    <w:rsid w:val="0AB319EF"/>
    <w:rsid w:val="0ACB4F8A"/>
    <w:rsid w:val="0ADD081A"/>
    <w:rsid w:val="0AE13149"/>
    <w:rsid w:val="0AE20B0A"/>
    <w:rsid w:val="0AEE2A27"/>
    <w:rsid w:val="0AF3628F"/>
    <w:rsid w:val="0AF50259"/>
    <w:rsid w:val="0AF618DB"/>
    <w:rsid w:val="0AFE444E"/>
    <w:rsid w:val="0AFF2E86"/>
    <w:rsid w:val="0B000BBC"/>
    <w:rsid w:val="0B0C55A3"/>
    <w:rsid w:val="0B183F48"/>
    <w:rsid w:val="0B185CF6"/>
    <w:rsid w:val="0B1B1342"/>
    <w:rsid w:val="0B1D330C"/>
    <w:rsid w:val="0B301291"/>
    <w:rsid w:val="0B330D82"/>
    <w:rsid w:val="0B332B30"/>
    <w:rsid w:val="0B64718D"/>
    <w:rsid w:val="0B786794"/>
    <w:rsid w:val="0B7C5321"/>
    <w:rsid w:val="0B8E420A"/>
    <w:rsid w:val="0B903ADE"/>
    <w:rsid w:val="0B9D36E2"/>
    <w:rsid w:val="0BA61553"/>
    <w:rsid w:val="0BB05F2E"/>
    <w:rsid w:val="0BB21CA6"/>
    <w:rsid w:val="0BC32105"/>
    <w:rsid w:val="0BC373B9"/>
    <w:rsid w:val="0BC65752"/>
    <w:rsid w:val="0BCC4E1A"/>
    <w:rsid w:val="0BCF0AAA"/>
    <w:rsid w:val="0BE61950"/>
    <w:rsid w:val="0BF00A21"/>
    <w:rsid w:val="0BF26547"/>
    <w:rsid w:val="0BF64289"/>
    <w:rsid w:val="0C01505C"/>
    <w:rsid w:val="0C0A1AE2"/>
    <w:rsid w:val="0C0B13B7"/>
    <w:rsid w:val="0C0D512F"/>
    <w:rsid w:val="0C1666D9"/>
    <w:rsid w:val="0C2F779B"/>
    <w:rsid w:val="0C451E10"/>
    <w:rsid w:val="0C547201"/>
    <w:rsid w:val="0C590374"/>
    <w:rsid w:val="0C774C9E"/>
    <w:rsid w:val="0C8A2C23"/>
    <w:rsid w:val="0C9522DF"/>
    <w:rsid w:val="0C9B098C"/>
    <w:rsid w:val="0CA705B9"/>
    <w:rsid w:val="0CA710DF"/>
    <w:rsid w:val="0CA917E3"/>
    <w:rsid w:val="0CC779D3"/>
    <w:rsid w:val="0CCA3020"/>
    <w:rsid w:val="0CE20369"/>
    <w:rsid w:val="0CF06F2A"/>
    <w:rsid w:val="0CF62067"/>
    <w:rsid w:val="0D054058"/>
    <w:rsid w:val="0D270432"/>
    <w:rsid w:val="0D2941EA"/>
    <w:rsid w:val="0D3F756A"/>
    <w:rsid w:val="0D5838A8"/>
    <w:rsid w:val="0D5C636E"/>
    <w:rsid w:val="0D5F7C0C"/>
    <w:rsid w:val="0D690A8B"/>
    <w:rsid w:val="0D6B4803"/>
    <w:rsid w:val="0D7A67F4"/>
    <w:rsid w:val="0D7F205C"/>
    <w:rsid w:val="0D904269"/>
    <w:rsid w:val="0D927FE1"/>
    <w:rsid w:val="0D9D24E2"/>
    <w:rsid w:val="0DA4116B"/>
    <w:rsid w:val="0DA41CB6"/>
    <w:rsid w:val="0DAD4E1B"/>
    <w:rsid w:val="0DBA7538"/>
    <w:rsid w:val="0DC42165"/>
    <w:rsid w:val="0DC61A39"/>
    <w:rsid w:val="0DD00B0A"/>
    <w:rsid w:val="0DD04666"/>
    <w:rsid w:val="0DDD276D"/>
    <w:rsid w:val="0DEB76F2"/>
    <w:rsid w:val="0DEE2D3E"/>
    <w:rsid w:val="0E0407B3"/>
    <w:rsid w:val="0E097B78"/>
    <w:rsid w:val="0E0F33E0"/>
    <w:rsid w:val="0E3E3CC5"/>
    <w:rsid w:val="0E415563"/>
    <w:rsid w:val="0E417312"/>
    <w:rsid w:val="0E5E4367"/>
    <w:rsid w:val="0E5F3836"/>
    <w:rsid w:val="0E664FCA"/>
    <w:rsid w:val="0E76520D"/>
    <w:rsid w:val="0E796AAB"/>
    <w:rsid w:val="0E7E5744"/>
    <w:rsid w:val="0E835B7C"/>
    <w:rsid w:val="0E927B6D"/>
    <w:rsid w:val="0E947D89"/>
    <w:rsid w:val="0E9E4764"/>
    <w:rsid w:val="0EB9334C"/>
    <w:rsid w:val="0EBD108E"/>
    <w:rsid w:val="0EC75A69"/>
    <w:rsid w:val="0ECA7307"/>
    <w:rsid w:val="0ECC12D1"/>
    <w:rsid w:val="0EDA6B97"/>
    <w:rsid w:val="0EE4486D"/>
    <w:rsid w:val="0EE766AC"/>
    <w:rsid w:val="0EE83C31"/>
    <w:rsid w:val="0EF45971"/>
    <w:rsid w:val="0EFD76DC"/>
    <w:rsid w:val="0EFE3455"/>
    <w:rsid w:val="0F052A35"/>
    <w:rsid w:val="0F0F7410"/>
    <w:rsid w:val="0F190757"/>
    <w:rsid w:val="0F1D1B2D"/>
    <w:rsid w:val="0F2C6214"/>
    <w:rsid w:val="0F2E5AE8"/>
    <w:rsid w:val="0F4672D5"/>
    <w:rsid w:val="0F5372FC"/>
    <w:rsid w:val="0F580DB7"/>
    <w:rsid w:val="0F657030"/>
    <w:rsid w:val="0F68685C"/>
    <w:rsid w:val="0F692FC4"/>
    <w:rsid w:val="0F704352"/>
    <w:rsid w:val="0F783207"/>
    <w:rsid w:val="0F7A2ADB"/>
    <w:rsid w:val="0F836904"/>
    <w:rsid w:val="0F865924"/>
    <w:rsid w:val="0F8751F8"/>
    <w:rsid w:val="0F8E47D8"/>
    <w:rsid w:val="0F9F2542"/>
    <w:rsid w:val="0FA97864"/>
    <w:rsid w:val="0FAF3AE6"/>
    <w:rsid w:val="0FB00BF3"/>
    <w:rsid w:val="0FC91CB4"/>
    <w:rsid w:val="0FC95811"/>
    <w:rsid w:val="0FD0094D"/>
    <w:rsid w:val="0FD06B9F"/>
    <w:rsid w:val="0FD61CDB"/>
    <w:rsid w:val="0FDA5C70"/>
    <w:rsid w:val="0FE97C61"/>
    <w:rsid w:val="0FFC1742"/>
    <w:rsid w:val="10036F74"/>
    <w:rsid w:val="100D1BA1"/>
    <w:rsid w:val="100E05F3"/>
    <w:rsid w:val="10101691"/>
    <w:rsid w:val="10156CA8"/>
    <w:rsid w:val="1017657C"/>
    <w:rsid w:val="102869DB"/>
    <w:rsid w:val="102C368A"/>
    <w:rsid w:val="102F7D69"/>
    <w:rsid w:val="10384993"/>
    <w:rsid w:val="103C5FE2"/>
    <w:rsid w:val="104C2C74"/>
    <w:rsid w:val="10521CAA"/>
    <w:rsid w:val="105C5E44"/>
    <w:rsid w:val="1066305F"/>
    <w:rsid w:val="10685029"/>
    <w:rsid w:val="10686DD7"/>
    <w:rsid w:val="107F5B03"/>
    <w:rsid w:val="10992CCA"/>
    <w:rsid w:val="10AB3168"/>
    <w:rsid w:val="10B169D0"/>
    <w:rsid w:val="10B464C1"/>
    <w:rsid w:val="10CA1840"/>
    <w:rsid w:val="10D426BF"/>
    <w:rsid w:val="10D807C4"/>
    <w:rsid w:val="10D94FCD"/>
    <w:rsid w:val="10E14224"/>
    <w:rsid w:val="10F93ED3"/>
    <w:rsid w:val="10FD7E68"/>
    <w:rsid w:val="11050ACA"/>
    <w:rsid w:val="110C01F0"/>
    <w:rsid w:val="110F36F7"/>
    <w:rsid w:val="110F7B9B"/>
    <w:rsid w:val="11205904"/>
    <w:rsid w:val="112E63C7"/>
    <w:rsid w:val="112F3D99"/>
    <w:rsid w:val="1131366D"/>
    <w:rsid w:val="114A0BD3"/>
    <w:rsid w:val="11553800"/>
    <w:rsid w:val="115B7EFE"/>
    <w:rsid w:val="116577BB"/>
    <w:rsid w:val="11670431"/>
    <w:rsid w:val="11812847"/>
    <w:rsid w:val="118539B9"/>
    <w:rsid w:val="11915258"/>
    <w:rsid w:val="11B04EDA"/>
    <w:rsid w:val="11C20769"/>
    <w:rsid w:val="11D54941"/>
    <w:rsid w:val="11F0177A"/>
    <w:rsid w:val="11F36B75"/>
    <w:rsid w:val="11F60BF3"/>
    <w:rsid w:val="11F72B09"/>
    <w:rsid w:val="11FC3C7B"/>
    <w:rsid w:val="11FF19BD"/>
    <w:rsid w:val="120E7E53"/>
    <w:rsid w:val="121511E1"/>
    <w:rsid w:val="12176D07"/>
    <w:rsid w:val="121F5BBC"/>
    <w:rsid w:val="1226519C"/>
    <w:rsid w:val="12301B77"/>
    <w:rsid w:val="12331667"/>
    <w:rsid w:val="12372F05"/>
    <w:rsid w:val="12483364"/>
    <w:rsid w:val="126B7053"/>
    <w:rsid w:val="1272218F"/>
    <w:rsid w:val="127C6B6A"/>
    <w:rsid w:val="1289790B"/>
    <w:rsid w:val="12971BF6"/>
    <w:rsid w:val="129C720C"/>
    <w:rsid w:val="12A14823"/>
    <w:rsid w:val="12A9756B"/>
    <w:rsid w:val="12B97DBE"/>
    <w:rsid w:val="12BE7183"/>
    <w:rsid w:val="12C50511"/>
    <w:rsid w:val="12D93FBD"/>
    <w:rsid w:val="12E0359D"/>
    <w:rsid w:val="12FB2185"/>
    <w:rsid w:val="130152C1"/>
    <w:rsid w:val="130F171F"/>
    <w:rsid w:val="13257202"/>
    <w:rsid w:val="132E255A"/>
    <w:rsid w:val="13394A5B"/>
    <w:rsid w:val="134F24D1"/>
    <w:rsid w:val="13511DA5"/>
    <w:rsid w:val="135B2C24"/>
    <w:rsid w:val="13622204"/>
    <w:rsid w:val="13712447"/>
    <w:rsid w:val="137912FC"/>
    <w:rsid w:val="1379754E"/>
    <w:rsid w:val="137D0DEC"/>
    <w:rsid w:val="13824654"/>
    <w:rsid w:val="138E2FF9"/>
    <w:rsid w:val="139B7C50"/>
    <w:rsid w:val="13A46379"/>
    <w:rsid w:val="13B011C1"/>
    <w:rsid w:val="13B30CB1"/>
    <w:rsid w:val="13B642FE"/>
    <w:rsid w:val="13B81E24"/>
    <w:rsid w:val="13C24A51"/>
    <w:rsid w:val="13CC58CF"/>
    <w:rsid w:val="13CE1647"/>
    <w:rsid w:val="13D6674E"/>
    <w:rsid w:val="13DB5B12"/>
    <w:rsid w:val="13DD188A"/>
    <w:rsid w:val="13DF1AA7"/>
    <w:rsid w:val="13E40E6B"/>
    <w:rsid w:val="13E97D31"/>
    <w:rsid w:val="13FA068E"/>
    <w:rsid w:val="140212F1"/>
    <w:rsid w:val="14373691"/>
    <w:rsid w:val="143C2A55"/>
    <w:rsid w:val="14425B91"/>
    <w:rsid w:val="14447B5C"/>
    <w:rsid w:val="145463CD"/>
    <w:rsid w:val="14665D24"/>
    <w:rsid w:val="146B6E96"/>
    <w:rsid w:val="148166BA"/>
    <w:rsid w:val="148A076E"/>
    <w:rsid w:val="1492119B"/>
    <w:rsid w:val="14977C8B"/>
    <w:rsid w:val="149A777C"/>
    <w:rsid w:val="14A01236"/>
    <w:rsid w:val="14A423A8"/>
    <w:rsid w:val="14A9775B"/>
    <w:rsid w:val="14B44CE1"/>
    <w:rsid w:val="14CD5DA3"/>
    <w:rsid w:val="14CF38C9"/>
    <w:rsid w:val="14DB04C0"/>
    <w:rsid w:val="14DF1632"/>
    <w:rsid w:val="14E31122"/>
    <w:rsid w:val="14E32ED1"/>
    <w:rsid w:val="14EB7FD7"/>
    <w:rsid w:val="14ED1FA1"/>
    <w:rsid w:val="14ED3D4F"/>
    <w:rsid w:val="14F421F0"/>
    <w:rsid w:val="14FE7D0A"/>
    <w:rsid w:val="15127C5A"/>
    <w:rsid w:val="15170DCC"/>
    <w:rsid w:val="151E215B"/>
    <w:rsid w:val="152359C3"/>
    <w:rsid w:val="152A4FA3"/>
    <w:rsid w:val="152F4368"/>
    <w:rsid w:val="15323E58"/>
    <w:rsid w:val="153320AA"/>
    <w:rsid w:val="153876C0"/>
    <w:rsid w:val="155021C1"/>
    <w:rsid w:val="1554671D"/>
    <w:rsid w:val="15567B46"/>
    <w:rsid w:val="15593193"/>
    <w:rsid w:val="155B515D"/>
    <w:rsid w:val="15630FC0"/>
    <w:rsid w:val="156404B5"/>
    <w:rsid w:val="157645D8"/>
    <w:rsid w:val="15785D0F"/>
    <w:rsid w:val="15804BC3"/>
    <w:rsid w:val="1582093B"/>
    <w:rsid w:val="158346B4"/>
    <w:rsid w:val="15875F52"/>
    <w:rsid w:val="158F4E06"/>
    <w:rsid w:val="15973CBB"/>
    <w:rsid w:val="15A07014"/>
    <w:rsid w:val="15AC59B8"/>
    <w:rsid w:val="15B66837"/>
    <w:rsid w:val="15B90678"/>
    <w:rsid w:val="15BB5BFB"/>
    <w:rsid w:val="15BD7BC5"/>
    <w:rsid w:val="15CA22E2"/>
    <w:rsid w:val="15E74C42"/>
    <w:rsid w:val="15F03EF5"/>
    <w:rsid w:val="160E6673"/>
    <w:rsid w:val="161812A0"/>
    <w:rsid w:val="1619552E"/>
    <w:rsid w:val="162163A6"/>
    <w:rsid w:val="162D4D4B"/>
    <w:rsid w:val="16302145"/>
    <w:rsid w:val="16377978"/>
    <w:rsid w:val="163D0D06"/>
    <w:rsid w:val="16421E79"/>
    <w:rsid w:val="16445BF1"/>
    <w:rsid w:val="164D0F49"/>
    <w:rsid w:val="16534086"/>
    <w:rsid w:val="165F6ECF"/>
    <w:rsid w:val="16691AFB"/>
    <w:rsid w:val="16695657"/>
    <w:rsid w:val="166B13D0"/>
    <w:rsid w:val="168319D3"/>
    <w:rsid w:val="16842491"/>
    <w:rsid w:val="168B7CC4"/>
    <w:rsid w:val="16933BA9"/>
    <w:rsid w:val="169D3553"/>
    <w:rsid w:val="169E79F7"/>
    <w:rsid w:val="16B40FC8"/>
    <w:rsid w:val="16B70AB9"/>
    <w:rsid w:val="16BA4105"/>
    <w:rsid w:val="16BF796D"/>
    <w:rsid w:val="16C513AF"/>
    <w:rsid w:val="16D2144F"/>
    <w:rsid w:val="16DC407B"/>
    <w:rsid w:val="16DE7DF3"/>
    <w:rsid w:val="16E573D4"/>
    <w:rsid w:val="16E82A20"/>
    <w:rsid w:val="16EF2001"/>
    <w:rsid w:val="1709284B"/>
    <w:rsid w:val="170F61FF"/>
    <w:rsid w:val="171A4BA4"/>
    <w:rsid w:val="1723614E"/>
    <w:rsid w:val="172A128B"/>
    <w:rsid w:val="17321EED"/>
    <w:rsid w:val="17326391"/>
    <w:rsid w:val="173C0FBE"/>
    <w:rsid w:val="173C2D6C"/>
    <w:rsid w:val="173E6AE4"/>
    <w:rsid w:val="174560C4"/>
    <w:rsid w:val="17457E73"/>
    <w:rsid w:val="174D4F79"/>
    <w:rsid w:val="177249E0"/>
    <w:rsid w:val="17793FC0"/>
    <w:rsid w:val="17920BDE"/>
    <w:rsid w:val="179606CE"/>
    <w:rsid w:val="17A56B63"/>
    <w:rsid w:val="17B648CC"/>
    <w:rsid w:val="17B86896"/>
    <w:rsid w:val="17C23271"/>
    <w:rsid w:val="17CA65CA"/>
    <w:rsid w:val="17D6560B"/>
    <w:rsid w:val="17EA27C8"/>
    <w:rsid w:val="17F550F5"/>
    <w:rsid w:val="17F84EE5"/>
    <w:rsid w:val="17FD699F"/>
    <w:rsid w:val="1804388A"/>
    <w:rsid w:val="18075128"/>
    <w:rsid w:val="180C6BE2"/>
    <w:rsid w:val="18100480"/>
    <w:rsid w:val="18181DEA"/>
    <w:rsid w:val="181D494B"/>
    <w:rsid w:val="182A2BE9"/>
    <w:rsid w:val="18383533"/>
    <w:rsid w:val="1844637C"/>
    <w:rsid w:val="18475E6C"/>
    <w:rsid w:val="184C3483"/>
    <w:rsid w:val="18610CDC"/>
    <w:rsid w:val="18741EB5"/>
    <w:rsid w:val="1876405C"/>
    <w:rsid w:val="1877100B"/>
    <w:rsid w:val="18800565"/>
    <w:rsid w:val="18842C1C"/>
    <w:rsid w:val="188744BB"/>
    <w:rsid w:val="18A84B5D"/>
    <w:rsid w:val="18B52DD6"/>
    <w:rsid w:val="18BF335E"/>
    <w:rsid w:val="18C179CD"/>
    <w:rsid w:val="18C820AD"/>
    <w:rsid w:val="18CB43A7"/>
    <w:rsid w:val="18DA45EA"/>
    <w:rsid w:val="18E84F59"/>
    <w:rsid w:val="1901601B"/>
    <w:rsid w:val="190B6E9A"/>
    <w:rsid w:val="19102702"/>
    <w:rsid w:val="19212219"/>
    <w:rsid w:val="192341E3"/>
    <w:rsid w:val="19285388"/>
    <w:rsid w:val="193C385F"/>
    <w:rsid w:val="19436634"/>
    <w:rsid w:val="19476BD5"/>
    <w:rsid w:val="194B373A"/>
    <w:rsid w:val="194D1260"/>
    <w:rsid w:val="194F4FD8"/>
    <w:rsid w:val="19600F94"/>
    <w:rsid w:val="196839D0"/>
    <w:rsid w:val="19687E48"/>
    <w:rsid w:val="198307A0"/>
    <w:rsid w:val="19831126"/>
    <w:rsid w:val="19852AA5"/>
    <w:rsid w:val="19874772"/>
    <w:rsid w:val="198C1D89"/>
    <w:rsid w:val="19924EC5"/>
    <w:rsid w:val="199D1D07"/>
    <w:rsid w:val="19AF7825"/>
    <w:rsid w:val="19B52627"/>
    <w:rsid w:val="19C074E9"/>
    <w:rsid w:val="19C92FDD"/>
    <w:rsid w:val="19CA465F"/>
    <w:rsid w:val="19F31E08"/>
    <w:rsid w:val="1A0758B3"/>
    <w:rsid w:val="1A0A53A3"/>
    <w:rsid w:val="1A1B310D"/>
    <w:rsid w:val="1A22449B"/>
    <w:rsid w:val="1A293A7B"/>
    <w:rsid w:val="1A2E1092"/>
    <w:rsid w:val="1A2E4BEE"/>
    <w:rsid w:val="1A2F0966"/>
    <w:rsid w:val="1A3146DE"/>
    <w:rsid w:val="1A320AC2"/>
    <w:rsid w:val="1A383CBF"/>
    <w:rsid w:val="1A424B3D"/>
    <w:rsid w:val="1A4C68B1"/>
    <w:rsid w:val="1A5605E9"/>
    <w:rsid w:val="1A562397"/>
    <w:rsid w:val="1A5D6629"/>
    <w:rsid w:val="1A6525DA"/>
    <w:rsid w:val="1A676352"/>
    <w:rsid w:val="1A6E5932"/>
    <w:rsid w:val="1A7D3DC7"/>
    <w:rsid w:val="1A824F3A"/>
    <w:rsid w:val="1A8C5DB8"/>
    <w:rsid w:val="1A974E89"/>
    <w:rsid w:val="1A9A04D5"/>
    <w:rsid w:val="1AAC0209"/>
    <w:rsid w:val="1AAD4D6B"/>
    <w:rsid w:val="1AB05F4B"/>
    <w:rsid w:val="1AB84DFF"/>
    <w:rsid w:val="1ACB68E1"/>
    <w:rsid w:val="1AD25EC1"/>
    <w:rsid w:val="1ADC6D40"/>
    <w:rsid w:val="1AE14356"/>
    <w:rsid w:val="1AE45E39"/>
    <w:rsid w:val="1AEC6857"/>
    <w:rsid w:val="1AF06347"/>
    <w:rsid w:val="1B027E29"/>
    <w:rsid w:val="1B0D6EF9"/>
    <w:rsid w:val="1B2A7AAB"/>
    <w:rsid w:val="1B302BE8"/>
    <w:rsid w:val="1B351FAC"/>
    <w:rsid w:val="1B3E6800"/>
    <w:rsid w:val="1B3F107D"/>
    <w:rsid w:val="1B466DA8"/>
    <w:rsid w:val="1B4D4249"/>
    <w:rsid w:val="1B590390"/>
    <w:rsid w:val="1B5C1C2F"/>
    <w:rsid w:val="1B656D35"/>
    <w:rsid w:val="1B7156DA"/>
    <w:rsid w:val="1B762CF0"/>
    <w:rsid w:val="1B7C5E2D"/>
    <w:rsid w:val="1B925650"/>
    <w:rsid w:val="1B9E72CC"/>
    <w:rsid w:val="1BBD091F"/>
    <w:rsid w:val="1BF14125"/>
    <w:rsid w:val="1BFB1448"/>
    <w:rsid w:val="1C13053F"/>
    <w:rsid w:val="1C1F660B"/>
    <w:rsid w:val="1C297D63"/>
    <w:rsid w:val="1C2F4C4D"/>
    <w:rsid w:val="1C3109C5"/>
    <w:rsid w:val="1C316C17"/>
    <w:rsid w:val="1C3B1844"/>
    <w:rsid w:val="1C406E5A"/>
    <w:rsid w:val="1C427076"/>
    <w:rsid w:val="1C4A5F2B"/>
    <w:rsid w:val="1C4F52EF"/>
    <w:rsid w:val="1C511068"/>
    <w:rsid w:val="1C534DE0"/>
    <w:rsid w:val="1C5446B4"/>
    <w:rsid w:val="1C5D5C5E"/>
    <w:rsid w:val="1C623275"/>
    <w:rsid w:val="1C662D19"/>
    <w:rsid w:val="1C6F14EE"/>
    <w:rsid w:val="1C7B69EC"/>
    <w:rsid w:val="1C8651B5"/>
    <w:rsid w:val="1CA4526E"/>
    <w:rsid w:val="1CA90EA4"/>
    <w:rsid w:val="1CAA0778"/>
    <w:rsid w:val="1CB05D8E"/>
    <w:rsid w:val="1CB3587E"/>
    <w:rsid w:val="1CC161ED"/>
    <w:rsid w:val="1CD777BF"/>
    <w:rsid w:val="1CD87093"/>
    <w:rsid w:val="1CE26164"/>
    <w:rsid w:val="1CE912A0"/>
    <w:rsid w:val="1CF245F9"/>
    <w:rsid w:val="1CFD60F7"/>
    <w:rsid w:val="1D097B94"/>
    <w:rsid w:val="1D0D1432"/>
    <w:rsid w:val="1D156539"/>
    <w:rsid w:val="1D1C3424"/>
    <w:rsid w:val="1D2E13A9"/>
    <w:rsid w:val="1D3764AF"/>
    <w:rsid w:val="1D3D339A"/>
    <w:rsid w:val="1D3E15EC"/>
    <w:rsid w:val="1D4A4435"/>
    <w:rsid w:val="1D530505"/>
    <w:rsid w:val="1D5521F6"/>
    <w:rsid w:val="1D6E6DC9"/>
    <w:rsid w:val="1D70376F"/>
    <w:rsid w:val="1D7A639C"/>
    <w:rsid w:val="1D7F39B2"/>
    <w:rsid w:val="1D813BCE"/>
    <w:rsid w:val="1D8A4831"/>
    <w:rsid w:val="1DAB29F9"/>
    <w:rsid w:val="1DAD01B3"/>
    <w:rsid w:val="1DB21FDA"/>
    <w:rsid w:val="1DB55626"/>
    <w:rsid w:val="1DC0433C"/>
    <w:rsid w:val="1DD2442A"/>
    <w:rsid w:val="1DE55F0B"/>
    <w:rsid w:val="1DE71C83"/>
    <w:rsid w:val="1DED6B6E"/>
    <w:rsid w:val="1DEF6D8A"/>
    <w:rsid w:val="1DF83E91"/>
    <w:rsid w:val="1DF93765"/>
    <w:rsid w:val="1E0068A1"/>
    <w:rsid w:val="1E0D7F54"/>
    <w:rsid w:val="1E18008F"/>
    <w:rsid w:val="1E2A7DC2"/>
    <w:rsid w:val="1E3B0AAC"/>
    <w:rsid w:val="1E42335E"/>
    <w:rsid w:val="1E566E09"/>
    <w:rsid w:val="1E6C03DB"/>
    <w:rsid w:val="1E6F1917"/>
    <w:rsid w:val="1E786D7F"/>
    <w:rsid w:val="1E7D7EF2"/>
    <w:rsid w:val="1E8A6AB3"/>
    <w:rsid w:val="1E933BB9"/>
    <w:rsid w:val="1E9D6A9C"/>
    <w:rsid w:val="1E9E60BA"/>
    <w:rsid w:val="1E9F255E"/>
    <w:rsid w:val="1EBF49AE"/>
    <w:rsid w:val="1ECC70CB"/>
    <w:rsid w:val="1EE44415"/>
    <w:rsid w:val="1EEA12FF"/>
    <w:rsid w:val="1EEE374C"/>
    <w:rsid w:val="1EF108E0"/>
    <w:rsid w:val="1EF40426"/>
    <w:rsid w:val="1EFA1543"/>
    <w:rsid w:val="1F013AA4"/>
    <w:rsid w:val="1F076A89"/>
    <w:rsid w:val="1F106FB8"/>
    <w:rsid w:val="1F1545CE"/>
    <w:rsid w:val="1F1A22B8"/>
    <w:rsid w:val="1F1F544D"/>
    <w:rsid w:val="1F2E38E2"/>
    <w:rsid w:val="1F372797"/>
    <w:rsid w:val="1F3F5AEF"/>
    <w:rsid w:val="1F410789"/>
    <w:rsid w:val="1F5C3FAB"/>
    <w:rsid w:val="1F6A2B6C"/>
    <w:rsid w:val="1F734E95"/>
    <w:rsid w:val="1F737547"/>
    <w:rsid w:val="1F8654CC"/>
    <w:rsid w:val="1F8E612F"/>
    <w:rsid w:val="1F8F25D3"/>
    <w:rsid w:val="1F9000F9"/>
    <w:rsid w:val="1F96708A"/>
    <w:rsid w:val="1F9C6A9E"/>
    <w:rsid w:val="1FA12306"/>
    <w:rsid w:val="1FA37E2C"/>
    <w:rsid w:val="1FA6791C"/>
    <w:rsid w:val="1FD06747"/>
    <w:rsid w:val="1FD10C80"/>
    <w:rsid w:val="1FD20711"/>
    <w:rsid w:val="1FDB75C6"/>
    <w:rsid w:val="1FE10954"/>
    <w:rsid w:val="1FE521F3"/>
    <w:rsid w:val="1FEF3071"/>
    <w:rsid w:val="1FF16DE9"/>
    <w:rsid w:val="1FF4715D"/>
    <w:rsid w:val="1FF8773E"/>
    <w:rsid w:val="200308CB"/>
    <w:rsid w:val="20052895"/>
    <w:rsid w:val="200563F1"/>
    <w:rsid w:val="20087C8F"/>
    <w:rsid w:val="200F6826"/>
    <w:rsid w:val="20140D2A"/>
    <w:rsid w:val="2023726A"/>
    <w:rsid w:val="202820DF"/>
    <w:rsid w:val="202A66CA"/>
    <w:rsid w:val="202C6073"/>
    <w:rsid w:val="202D5948"/>
    <w:rsid w:val="20340A84"/>
    <w:rsid w:val="204A64FA"/>
    <w:rsid w:val="204D7D98"/>
    <w:rsid w:val="204F167E"/>
    <w:rsid w:val="204F3B10"/>
    <w:rsid w:val="205630F0"/>
    <w:rsid w:val="2063580D"/>
    <w:rsid w:val="20817A88"/>
    <w:rsid w:val="208F6602"/>
    <w:rsid w:val="20A420AE"/>
    <w:rsid w:val="20AC4ABE"/>
    <w:rsid w:val="20AE4CDA"/>
    <w:rsid w:val="20B56069"/>
    <w:rsid w:val="20C91B14"/>
    <w:rsid w:val="20F12E19"/>
    <w:rsid w:val="20F14BC7"/>
    <w:rsid w:val="211D59BC"/>
    <w:rsid w:val="212B00D9"/>
    <w:rsid w:val="21344946"/>
    <w:rsid w:val="213F5933"/>
    <w:rsid w:val="214178FD"/>
    <w:rsid w:val="214211F1"/>
    <w:rsid w:val="21472A39"/>
    <w:rsid w:val="215C4736"/>
    <w:rsid w:val="215F113A"/>
    <w:rsid w:val="215F782F"/>
    <w:rsid w:val="215F7D83"/>
    <w:rsid w:val="21624D20"/>
    <w:rsid w:val="216B497A"/>
    <w:rsid w:val="216C24A0"/>
    <w:rsid w:val="21723F5A"/>
    <w:rsid w:val="2188160C"/>
    <w:rsid w:val="21902632"/>
    <w:rsid w:val="21B7196D"/>
    <w:rsid w:val="21C4408A"/>
    <w:rsid w:val="21D10024"/>
    <w:rsid w:val="21D267A7"/>
    <w:rsid w:val="21E0212B"/>
    <w:rsid w:val="21E72028"/>
    <w:rsid w:val="21EF739F"/>
    <w:rsid w:val="21F66939"/>
    <w:rsid w:val="21FB3F4F"/>
    <w:rsid w:val="21FE759C"/>
    <w:rsid w:val="22034BB2"/>
    <w:rsid w:val="220F17A9"/>
    <w:rsid w:val="220F3557"/>
    <w:rsid w:val="222334A6"/>
    <w:rsid w:val="22284619"/>
    <w:rsid w:val="22364F87"/>
    <w:rsid w:val="224376A4"/>
    <w:rsid w:val="22521696"/>
    <w:rsid w:val="2254148C"/>
    <w:rsid w:val="225C2514"/>
    <w:rsid w:val="22625D7D"/>
    <w:rsid w:val="226D10DE"/>
    <w:rsid w:val="227635D6"/>
    <w:rsid w:val="227B6E3E"/>
    <w:rsid w:val="227E470A"/>
    <w:rsid w:val="228A7081"/>
    <w:rsid w:val="22910410"/>
    <w:rsid w:val="22916662"/>
    <w:rsid w:val="22B24BF5"/>
    <w:rsid w:val="22BB723B"/>
    <w:rsid w:val="22C5630B"/>
    <w:rsid w:val="22DD18A7"/>
    <w:rsid w:val="22E22A19"/>
    <w:rsid w:val="22EF665A"/>
    <w:rsid w:val="22FD5AA5"/>
    <w:rsid w:val="23137077"/>
    <w:rsid w:val="23184F83"/>
    <w:rsid w:val="23264FFC"/>
    <w:rsid w:val="23294AEC"/>
    <w:rsid w:val="23384D2F"/>
    <w:rsid w:val="233F60BE"/>
    <w:rsid w:val="2351194D"/>
    <w:rsid w:val="23607DE2"/>
    <w:rsid w:val="23621241"/>
    <w:rsid w:val="23641680"/>
    <w:rsid w:val="2366189C"/>
    <w:rsid w:val="23720241"/>
    <w:rsid w:val="2378337E"/>
    <w:rsid w:val="237A70F6"/>
    <w:rsid w:val="23863CED"/>
    <w:rsid w:val="239C52BE"/>
    <w:rsid w:val="23B1063E"/>
    <w:rsid w:val="23B24AE2"/>
    <w:rsid w:val="23B95E70"/>
    <w:rsid w:val="23C230AC"/>
    <w:rsid w:val="23D26F32"/>
    <w:rsid w:val="23D274E9"/>
    <w:rsid w:val="23E34C9B"/>
    <w:rsid w:val="23FA1FE5"/>
    <w:rsid w:val="241035B6"/>
    <w:rsid w:val="2413090B"/>
    <w:rsid w:val="24184126"/>
    <w:rsid w:val="242F46A1"/>
    <w:rsid w:val="2438438C"/>
    <w:rsid w:val="244020ED"/>
    <w:rsid w:val="244C26BE"/>
    <w:rsid w:val="24594F5D"/>
    <w:rsid w:val="24606C77"/>
    <w:rsid w:val="246A7CCA"/>
    <w:rsid w:val="2480073C"/>
    <w:rsid w:val="2483647E"/>
    <w:rsid w:val="249B5576"/>
    <w:rsid w:val="24A00DDE"/>
    <w:rsid w:val="24A24B56"/>
    <w:rsid w:val="24A563F4"/>
    <w:rsid w:val="24AD52A9"/>
    <w:rsid w:val="24AF1021"/>
    <w:rsid w:val="24B14D99"/>
    <w:rsid w:val="24B2466D"/>
    <w:rsid w:val="24B65F0C"/>
    <w:rsid w:val="24C820E3"/>
    <w:rsid w:val="24EC5DD1"/>
    <w:rsid w:val="24ED56A6"/>
    <w:rsid w:val="24F609FE"/>
    <w:rsid w:val="24FD1D8D"/>
    <w:rsid w:val="24FD7FDE"/>
    <w:rsid w:val="25090731"/>
    <w:rsid w:val="250A44A9"/>
    <w:rsid w:val="250F1AC0"/>
    <w:rsid w:val="251610A0"/>
    <w:rsid w:val="25453733"/>
    <w:rsid w:val="254C061E"/>
    <w:rsid w:val="254C4AC2"/>
    <w:rsid w:val="254E25E8"/>
    <w:rsid w:val="25560DD8"/>
    <w:rsid w:val="25787665"/>
    <w:rsid w:val="257F27A2"/>
    <w:rsid w:val="25887057"/>
    <w:rsid w:val="25891872"/>
    <w:rsid w:val="25995402"/>
    <w:rsid w:val="25C1100C"/>
    <w:rsid w:val="25D02FFD"/>
    <w:rsid w:val="25D32AED"/>
    <w:rsid w:val="25D54AB7"/>
    <w:rsid w:val="25FC2044"/>
    <w:rsid w:val="25FF7D86"/>
    <w:rsid w:val="26062EC3"/>
    <w:rsid w:val="260B2287"/>
    <w:rsid w:val="261A696E"/>
    <w:rsid w:val="26235823"/>
    <w:rsid w:val="262B46D7"/>
    <w:rsid w:val="263A2B6C"/>
    <w:rsid w:val="2641214D"/>
    <w:rsid w:val="264F1540"/>
    <w:rsid w:val="266029E3"/>
    <w:rsid w:val="26760048"/>
    <w:rsid w:val="267E514F"/>
    <w:rsid w:val="26914E82"/>
    <w:rsid w:val="26A61FB0"/>
    <w:rsid w:val="26A821CC"/>
    <w:rsid w:val="26B7240F"/>
    <w:rsid w:val="26B741BD"/>
    <w:rsid w:val="26B97F35"/>
    <w:rsid w:val="26D20FF7"/>
    <w:rsid w:val="26D60AE7"/>
    <w:rsid w:val="26DB434F"/>
    <w:rsid w:val="26E86A6C"/>
    <w:rsid w:val="26EC4D03"/>
    <w:rsid w:val="26FB22FC"/>
    <w:rsid w:val="26FE1DEC"/>
    <w:rsid w:val="270F6D87"/>
    <w:rsid w:val="27111B1F"/>
    <w:rsid w:val="27117D71"/>
    <w:rsid w:val="271B0BF0"/>
    <w:rsid w:val="27207FB4"/>
    <w:rsid w:val="27231852"/>
    <w:rsid w:val="272E1487"/>
    <w:rsid w:val="27321A96"/>
    <w:rsid w:val="27383550"/>
    <w:rsid w:val="2749750B"/>
    <w:rsid w:val="2753038A"/>
    <w:rsid w:val="27533EE6"/>
    <w:rsid w:val="27561C28"/>
    <w:rsid w:val="275E288B"/>
    <w:rsid w:val="27617694"/>
    <w:rsid w:val="27637EA1"/>
    <w:rsid w:val="276500BD"/>
    <w:rsid w:val="278247CB"/>
    <w:rsid w:val="2786250D"/>
    <w:rsid w:val="27870033"/>
    <w:rsid w:val="278C389C"/>
    <w:rsid w:val="27944EBF"/>
    <w:rsid w:val="279664C8"/>
    <w:rsid w:val="27A24E6D"/>
    <w:rsid w:val="27A97FAA"/>
    <w:rsid w:val="27AE55C0"/>
    <w:rsid w:val="27B16E5E"/>
    <w:rsid w:val="27BD5803"/>
    <w:rsid w:val="27CC0AA8"/>
    <w:rsid w:val="27D52B4D"/>
    <w:rsid w:val="27DB3EDB"/>
    <w:rsid w:val="27E41E47"/>
    <w:rsid w:val="27E72880"/>
    <w:rsid w:val="27EC7E96"/>
    <w:rsid w:val="28081174"/>
    <w:rsid w:val="280B656E"/>
    <w:rsid w:val="2827649E"/>
    <w:rsid w:val="28277120"/>
    <w:rsid w:val="28335AC5"/>
    <w:rsid w:val="283C7070"/>
    <w:rsid w:val="284B72B3"/>
    <w:rsid w:val="28680C8D"/>
    <w:rsid w:val="286B1703"/>
    <w:rsid w:val="286D7229"/>
    <w:rsid w:val="286F595B"/>
    <w:rsid w:val="287A4FE0"/>
    <w:rsid w:val="287F6F5C"/>
    <w:rsid w:val="288F719F"/>
    <w:rsid w:val="28976054"/>
    <w:rsid w:val="28C055AB"/>
    <w:rsid w:val="28C11323"/>
    <w:rsid w:val="28C50E13"/>
    <w:rsid w:val="28D15A0A"/>
    <w:rsid w:val="28DE741C"/>
    <w:rsid w:val="28E3573D"/>
    <w:rsid w:val="28E7294E"/>
    <w:rsid w:val="28EA087A"/>
    <w:rsid w:val="28ED3EC6"/>
    <w:rsid w:val="28F96D0F"/>
    <w:rsid w:val="28FB2A87"/>
    <w:rsid w:val="28FE60D3"/>
    <w:rsid w:val="290C7316"/>
    <w:rsid w:val="291B0A33"/>
    <w:rsid w:val="29387837"/>
    <w:rsid w:val="294C32E2"/>
    <w:rsid w:val="296C128F"/>
    <w:rsid w:val="298567F4"/>
    <w:rsid w:val="298F31CF"/>
    <w:rsid w:val="29A1197B"/>
    <w:rsid w:val="29A46C7B"/>
    <w:rsid w:val="29AC1FD3"/>
    <w:rsid w:val="29AF054A"/>
    <w:rsid w:val="29B175E9"/>
    <w:rsid w:val="29D8068B"/>
    <w:rsid w:val="29DD3F3B"/>
    <w:rsid w:val="29DF41B6"/>
    <w:rsid w:val="29E3739C"/>
    <w:rsid w:val="29E96D83"/>
    <w:rsid w:val="29F85218"/>
    <w:rsid w:val="29FA0F90"/>
    <w:rsid w:val="29FD282F"/>
    <w:rsid w:val="2A0911D4"/>
    <w:rsid w:val="2A0C4820"/>
    <w:rsid w:val="2A0E2346"/>
    <w:rsid w:val="2A1060BE"/>
    <w:rsid w:val="2A1262DA"/>
    <w:rsid w:val="2A34303D"/>
    <w:rsid w:val="2A377AEF"/>
    <w:rsid w:val="2A3A75DF"/>
    <w:rsid w:val="2A441E71"/>
    <w:rsid w:val="2A4B17EC"/>
    <w:rsid w:val="2A4E308A"/>
    <w:rsid w:val="2A6D1762"/>
    <w:rsid w:val="2A7C7BF7"/>
    <w:rsid w:val="2A8645D2"/>
    <w:rsid w:val="2A8D3BB3"/>
    <w:rsid w:val="2AD510B6"/>
    <w:rsid w:val="2ADA66CC"/>
    <w:rsid w:val="2ADE7F6A"/>
    <w:rsid w:val="2AE15CAC"/>
    <w:rsid w:val="2AE337D3"/>
    <w:rsid w:val="2AE541D6"/>
    <w:rsid w:val="2AE61810"/>
    <w:rsid w:val="2AF23A16"/>
    <w:rsid w:val="2AF94DA4"/>
    <w:rsid w:val="2B0D4CF3"/>
    <w:rsid w:val="2B18775B"/>
    <w:rsid w:val="2B1A4D1A"/>
    <w:rsid w:val="2B1B2F6C"/>
    <w:rsid w:val="2B2A31B0"/>
    <w:rsid w:val="2B2A7653"/>
    <w:rsid w:val="2B2B6F28"/>
    <w:rsid w:val="2B2C33CC"/>
    <w:rsid w:val="2B367DA6"/>
    <w:rsid w:val="2B3758CC"/>
    <w:rsid w:val="2B3E4EAD"/>
    <w:rsid w:val="2B5C6960"/>
    <w:rsid w:val="2B5F689C"/>
    <w:rsid w:val="2B604E23"/>
    <w:rsid w:val="2B632B65"/>
    <w:rsid w:val="2B6761B2"/>
    <w:rsid w:val="2B7E174D"/>
    <w:rsid w:val="2B8054C5"/>
    <w:rsid w:val="2B8925CC"/>
    <w:rsid w:val="2B8B2FAB"/>
    <w:rsid w:val="2B8F395A"/>
    <w:rsid w:val="2B9351F9"/>
    <w:rsid w:val="2B980A61"/>
    <w:rsid w:val="2B9845BD"/>
    <w:rsid w:val="2B990335"/>
    <w:rsid w:val="2BA271EA"/>
    <w:rsid w:val="2BA9559E"/>
    <w:rsid w:val="2BAA2542"/>
    <w:rsid w:val="2BB138D1"/>
    <w:rsid w:val="2BB3182D"/>
    <w:rsid w:val="2BBB02AC"/>
    <w:rsid w:val="2BBB474F"/>
    <w:rsid w:val="2BD001FB"/>
    <w:rsid w:val="2BD10408"/>
    <w:rsid w:val="2BE772F2"/>
    <w:rsid w:val="2BEA293F"/>
    <w:rsid w:val="2BEE68D3"/>
    <w:rsid w:val="2BF612E4"/>
    <w:rsid w:val="2C054C27"/>
    <w:rsid w:val="2C0954BB"/>
    <w:rsid w:val="2C11436F"/>
    <w:rsid w:val="2C136339"/>
    <w:rsid w:val="2C161986"/>
    <w:rsid w:val="2C245E51"/>
    <w:rsid w:val="2C293467"/>
    <w:rsid w:val="2C29790B"/>
    <w:rsid w:val="2C2E09A7"/>
    <w:rsid w:val="2C3047F6"/>
    <w:rsid w:val="2C454678"/>
    <w:rsid w:val="2C70553A"/>
    <w:rsid w:val="2C7212B2"/>
    <w:rsid w:val="2C722DB5"/>
    <w:rsid w:val="2C73502A"/>
    <w:rsid w:val="2C7C7A3B"/>
    <w:rsid w:val="2C7D1A05"/>
    <w:rsid w:val="2C815051"/>
    <w:rsid w:val="2C972AC7"/>
    <w:rsid w:val="2C9C0EB8"/>
    <w:rsid w:val="2CB745C8"/>
    <w:rsid w:val="2CC755B5"/>
    <w:rsid w:val="2CDF7FCA"/>
    <w:rsid w:val="2CE43832"/>
    <w:rsid w:val="2CE93E39"/>
    <w:rsid w:val="2CED6B8B"/>
    <w:rsid w:val="2CFC5020"/>
    <w:rsid w:val="2CFF5CF1"/>
    <w:rsid w:val="2D016192"/>
    <w:rsid w:val="2D0B0DBF"/>
    <w:rsid w:val="2D0D4B37"/>
    <w:rsid w:val="2D155579"/>
    <w:rsid w:val="2D2500D2"/>
    <w:rsid w:val="2D3447B9"/>
    <w:rsid w:val="2D3E73E6"/>
    <w:rsid w:val="2D4542D1"/>
    <w:rsid w:val="2D517119"/>
    <w:rsid w:val="2D551111"/>
    <w:rsid w:val="2D5704A8"/>
    <w:rsid w:val="2D597D7C"/>
    <w:rsid w:val="2D5E5392"/>
    <w:rsid w:val="2D67693D"/>
    <w:rsid w:val="2D687FBF"/>
    <w:rsid w:val="2D7050C6"/>
    <w:rsid w:val="2D737D41"/>
    <w:rsid w:val="2D765527"/>
    <w:rsid w:val="2D7B23E8"/>
    <w:rsid w:val="2D8868B3"/>
    <w:rsid w:val="2D8A43D9"/>
    <w:rsid w:val="2D8C1F00"/>
    <w:rsid w:val="2D99286E"/>
    <w:rsid w:val="2DA21723"/>
    <w:rsid w:val="2DA336ED"/>
    <w:rsid w:val="2DA52FC1"/>
    <w:rsid w:val="2DA76D39"/>
    <w:rsid w:val="2DB31B82"/>
    <w:rsid w:val="2DC01BA9"/>
    <w:rsid w:val="2DCE6283"/>
    <w:rsid w:val="2DD65871"/>
    <w:rsid w:val="2DFC3ADD"/>
    <w:rsid w:val="2E057F04"/>
    <w:rsid w:val="2E0A3B00"/>
    <w:rsid w:val="2E165A50"/>
    <w:rsid w:val="2E1B14D5"/>
    <w:rsid w:val="2E1B3283"/>
    <w:rsid w:val="2E1B6482"/>
    <w:rsid w:val="2E3A195C"/>
    <w:rsid w:val="2E3A7BAD"/>
    <w:rsid w:val="2E3C1B78"/>
    <w:rsid w:val="2E4C78E1"/>
    <w:rsid w:val="2E58669C"/>
    <w:rsid w:val="2E61338C"/>
    <w:rsid w:val="2E6764C9"/>
    <w:rsid w:val="2E6A7D67"/>
    <w:rsid w:val="2E6E426D"/>
    <w:rsid w:val="2E7330BF"/>
    <w:rsid w:val="2E7B1F74"/>
    <w:rsid w:val="2E813A2E"/>
    <w:rsid w:val="2E870919"/>
    <w:rsid w:val="2E921798"/>
    <w:rsid w:val="2EA25753"/>
    <w:rsid w:val="2EA43279"/>
    <w:rsid w:val="2EA9088F"/>
    <w:rsid w:val="2EB86D24"/>
    <w:rsid w:val="2EB931C8"/>
    <w:rsid w:val="2EC61441"/>
    <w:rsid w:val="2EF53AD4"/>
    <w:rsid w:val="2F0E4B96"/>
    <w:rsid w:val="2F120B2A"/>
    <w:rsid w:val="2F1C3757"/>
    <w:rsid w:val="2F432A92"/>
    <w:rsid w:val="2F527179"/>
    <w:rsid w:val="2F764501"/>
    <w:rsid w:val="2F7B047E"/>
    <w:rsid w:val="2F994DA8"/>
    <w:rsid w:val="2FA15A0A"/>
    <w:rsid w:val="2FB614B6"/>
    <w:rsid w:val="2FC040E2"/>
    <w:rsid w:val="2FD14541"/>
    <w:rsid w:val="2FD61B58"/>
    <w:rsid w:val="2FD858D0"/>
    <w:rsid w:val="2FE53B49"/>
    <w:rsid w:val="2FEA115F"/>
    <w:rsid w:val="2FEE50F3"/>
    <w:rsid w:val="2FFB511A"/>
    <w:rsid w:val="30093CDB"/>
    <w:rsid w:val="300C557A"/>
    <w:rsid w:val="30183F1E"/>
    <w:rsid w:val="30197C97"/>
    <w:rsid w:val="302A3C52"/>
    <w:rsid w:val="30406FD1"/>
    <w:rsid w:val="30412803"/>
    <w:rsid w:val="30605481"/>
    <w:rsid w:val="30686739"/>
    <w:rsid w:val="30744ECD"/>
    <w:rsid w:val="30915A7F"/>
    <w:rsid w:val="30977539"/>
    <w:rsid w:val="309D4424"/>
    <w:rsid w:val="309F019C"/>
    <w:rsid w:val="30A65D73"/>
    <w:rsid w:val="30A9101A"/>
    <w:rsid w:val="30B8125D"/>
    <w:rsid w:val="30B8300C"/>
    <w:rsid w:val="30C3032E"/>
    <w:rsid w:val="30C6397A"/>
    <w:rsid w:val="30D81900"/>
    <w:rsid w:val="30DC4F4C"/>
    <w:rsid w:val="30F46739"/>
    <w:rsid w:val="310E0E7D"/>
    <w:rsid w:val="311F12DD"/>
    <w:rsid w:val="31295CB7"/>
    <w:rsid w:val="312B1A2F"/>
    <w:rsid w:val="31436D79"/>
    <w:rsid w:val="31442AF1"/>
    <w:rsid w:val="31452131"/>
    <w:rsid w:val="31456F95"/>
    <w:rsid w:val="31464ABB"/>
    <w:rsid w:val="315A40C3"/>
    <w:rsid w:val="315C7E3B"/>
    <w:rsid w:val="31745184"/>
    <w:rsid w:val="318D6246"/>
    <w:rsid w:val="31A517E2"/>
    <w:rsid w:val="31AA504A"/>
    <w:rsid w:val="31AF440F"/>
    <w:rsid w:val="31B45EC9"/>
    <w:rsid w:val="31C3435E"/>
    <w:rsid w:val="31E71DFA"/>
    <w:rsid w:val="31F75DB5"/>
    <w:rsid w:val="3207249C"/>
    <w:rsid w:val="32087FC3"/>
    <w:rsid w:val="320C7AB3"/>
    <w:rsid w:val="3216623C"/>
    <w:rsid w:val="3220530C"/>
    <w:rsid w:val="322070BA"/>
    <w:rsid w:val="32244DFC"/>
    <w:rsid w:val="322E5C7B"/>
    <w:rsid w:val="32382656"/>
    <w:rsid w:val="323B5CA2"/>
    <w:rsid w:val="3240150B"/>
    <w:rsid w:val="32425283"/>
    <w:rsid w:val="324A4137"/>
    <w:rsid w:val="324F79A0"/>
    <w:rsid w:val="325B6344"/>
    <w:rsid w:val="32607DFF"/>
    <w:rsid w:val="32655415"/>
    <w:rsid w:val="326571C3"/>
    <w:rsid w:val="32696CB3"/>
    <w:rsid w:val="32717916"/>
    <w:rsid w:val="32877139"/>
    <w:rsid w:val="32981EBD"/>
    <w:rsid w:val="32A001FB"/>
    <w:rsid w:val="32A25D21"/>
    <w:rsid w:val="32A52643"/>
    <w:rsid w:val="32BA306B"/>
    <w:rsid w:val="32CA5F98"/>
    <w:rsid w:val="32CE6B16"/>
    <w:rsid w:val="32E4633A"/>
    <w:rsid w:val="32FA3DAF"/>
    <w:rsid w:val="32FF3174"/>
    <w:rsid w:val="32FF4F22"/>
    <w:rsid w:val="33042538"/>
    <w:rsid w:val="330864CC"/>
    <w:rsid w:val="330A40C9"/>
    <w:rsid w:val="3314235B"/>
    <w:rsid w:val="33150BE9"/>
    <w:rsid w:val="332B5D17"/>
    <w:rsid w:val="33303B9C"/>
    <w:rsid w:val="333252F7"/>
    <w:rsid w:val="335039CF"/>
    <w:rsid w:val="335214F5"/>
    <w:rsid w:val="33527747"/>
    <w:rsid w:val="33582884"/>
    <w:rsid w:val="335E433E"/>
    <w:rsid w:val="33613E2E"/>
    <w:rsid w:val="33633703"/>
    <w:rsid w:val="3369683F"/>
    <w:rsid w:val="337B4EF0"/>
    <w:rsid w:val="337E22EA"/>
    <w:rsid w:val="33837901"/>
    <w:rsid w:val="33857B1D"/>
    <w:rsid w:val="33883169"/>
    <w:rsid w:val="338F44F8"/>
    <w:rsid w:val="33900270"/>
    <w:rsid w:val="33A8380B"/>
    <w:rsid w:val="33A87367"/>
    <w:rsid w:val="33AA7583"/>
    <w:rsid w:val="33AB6E58"/>
    <w:rsid w:val="33B02D19"/>
    <w:rsid w:val="33B656A0"/>
    <w:rsid w:val="33C341A1"/>
    <w:rsid w:val="33C72A37"/>
    <w:rsid w:val="33CA5530"/>
    <w:rsid w:val="33CF0D98"/>
    <w:rsid w:val="33D939C5"/>
    <w:rsid w:val="33DB598F"/>
    <w:rsid w:val="33F0287B"/>
    <w:rsid w:val="33F16F60"/>
    <w:rsid w:val="33F86541"/>
    <w:rsid w:val="33FB7DDF"/>
    <w:rsid w:val="34060532"/>
    <w:rsid w:val="340A14C3"/>
    <w:rsid w:val="340A6274"/>
    <w:rsid w:val="340D18C0"/>
    <w:rsid w:val="340F5638"/>
    <w:rsid w:val="34256C0A"/>
    <w:rsid w:val="34270BD4"/>
    <w:rsid w:val="342804A8"/>
    <w:rsid w:val="34362BC5"/>
    <w:rsid w:val="34367069"/>
    <w:rsid w:val="344277BC"/>
    <w:rsid w:val="344374B7"/>
    <w:rsid w:val="344A041F"/>
    <w:rsid w:val="344E43B3"/>
    <w:rsid w:val="34512836"/>
    <w:rsid w:val="34592D57"/>
    <w:rsid w:val="34594B05"/>
    <w:rsid w:val="34675474"/>
    <w:rsid w:val="346D235F"/>
    <w:rsid w:val="346D6896"/>
    <w:rsid w:val="347B4A7C"/>
    <w:rsid w:val="347E456C"/>
    <w:rsid w:val="34806536"/>
    <w:rsid w:val="348C4EDB"/>
    <w:rsid w:val="348F22D5"/>
    <w:rsid w:val="349124F1"/>
    <w:rsid w:val="34A55F9D"/>
    <w:rsid w:val="34AE4E51"/>
    <w:rsid w:val="34B955A4"/>
    <w:rsid w:val="34BB30CA"/>
    <w:rsid w:val="34C93A39"/>
    <w:rsid w:val="34D32B0A"/>
    <w:rsid w:val="34D523DE"/>
    <w:rsid w:val="34E40873"/>
    <w:rsid w:val="35026F4B"/>
    <w:rsid w:val="35040F15"/>
    <w:rsid w:val="35076310"/>
    <w:rsid w:val="350C7DCA"/>
    <w:rsid w:val="350F0893"/>
    <w:rsid w:val="351078BA"/>
    <w:rsid w:val="351F18AB"/>
    <w:rsid w:val="351F7AFD"/>
    <w:rsid w:val="3529272A"/>
    <w:rsid w:val="35327830"/>
    <w:rsid w:val="353E4427"/>
    <w:rsid w:val="35431A3E"/>
    <w:rsid w:val="35496928"/>
    <w:rsid w:val="354D6418"/>
    <w:rsid w:val="35613C72"/>
    <w:rsid w:val="35661288"/>
    <w:rsid w:val="3566572C"/>
    <w:rsid w:val="356A25EF"/>
    <w:rsid w:val="356E45E1"/>
    <w:rsid w:val="35777939"/>
    <w:rsid w:val="358160C2"/>
    <w:rsid w:val="358217D8"/>
    <w:rsid w:val="358E6A31"/>
    <w:rsid w:val="35926521"/>
    <w:rsid w:val="359702F7"/>
    <w:rsid w:val="3598340C"/>
    <w:rsid w:val="359C5426"/>
    <w:rsid w:val="359E4EC6"/>
    <w:rsid w:val="359E6C74"/>
    <w:rsid w:val="35A40002"/>
    <w:rsid w:val="35B50461"/>
    <w:rsid w:val="35B77D36"/>
    <w:rsid w:val="35C42453"/>
    <w:rsid w:val="35D72186"/>
    <w:rsid w:val="35E52AF5"/>
    <w:rsid w:val="35E6061B"/>
    <w:rsid w:val="35F04FF6"/>
    <w:rsid w:val="35FC1BEC"/>
    <w:rsid w:val="36035424"/>
    <w:rsid w:val="36156865"/>
    <w:rsid w:val="36227D2F"/>
    <w:rsid w:val="36286FF1"/>
    <w:rsid w:val="363870C8"/>
    <w:rsid w:val="36484E32"/>
    <w:rsid w:val="364C4922"/>
    <w:rsid w:val="3667175C"/>
    <w:rsid w:val="36723C5D"/>
    <w:rsid w:val="368045CB"/>
    <w:rsid w:val="369260AD"/>
    <w:rsid w:val="36A06BCC"/>
    <w:rsid w:val="36A22794"/>
    <w:rsid w:val="36A75FFC"/>
    <w:rsid w:val="36AE738B"/>
    <w:rsid w:val="36B129D7"/>
    <w:rsid w:val="36BD312A"/>
    <w:rsid w:val="36D93CDC"/>
    <w:rsid w:val="36E52680"/>
    <w:rsid w:val="36E70D89"/>
    <w:rsid w:val="36E903C3"/>
    <w:rsid w:val="36F01751"/>
    <w:rsid w:val="37092813"/>
    <w:rsid w:val="371F0324"/>
    <w:rsid w:val="371F2036"/>
    <w:rsid w:val="3720190B"/>
    <w:rsid w:val="373A29CC"/>
    <w:rsid w:val="373B6246"/>
    <w:rsid w:val="373F6235"/>
    <w:rsid w:val="37405B09"/>
    <w:rsid w:val="37533A8E"/>
    <w:rsid w:val="375D66BB"/>
    <w:rsid w:val="3763389D"/>
    <w:rsid w:val="3765074A"/>
    <w:rsid w:val="3776777C"/>
    <w:rsid w:val="377C1237"/>
    <w:rsid w:val="378325C5"/>
    <w:rsid w:val="379C71E3"/>
    <w:rsid w:val="37AB38CA"/>
    <w:rsid w:val="37B7226F"/>
    <w:rsid w:val="37D01583"/>
    <w:rsid w:val="37D5272F"/>
    <w:rsid w:val="37D90437"/>
    <w:rsid w:val="37F505D8"/>
    <w:rsid w:val="37F963E3"/>
    <w:rsid w:val="37FA215C"/>
    <w:rsid w:val="3805464F"/>
    <w:rsid w:val="381274A5"/>
    <w:rsid w:val="381476C1"/>
    <w:rsid w:val="38183972"/>
    <w:rsid w:val="381A45AC"/>
    <w:rsid w:val="381B27FE"/>
    <w:rsid w:val="381E22EE"/>
    <w:rsid w:val="382A2A41"/>
    <w:rsid w:val="382D2F86"/>
    <w:rsid w:val="38390ED6"/>
    <w:rsid w:val="383E64EC"/>
    <w:rsid w:val="38433B03"/>
    <w:rsid w:val="384653A1"/>
    <w:rsid w:val="3851753C"/>
    <w:rsid w:val="385950D4"/>
    <w:rsid w:val="385E27D7"/>
    <w:rsid w:val="38623EC4"/>
    <w:rsid w:val="386C12AB"/>
    <w:rsid w:val="387E4B3B"/>
    <w:rsid w:val="388760E5"/>
    <w:rsid w:val="38877E93"/>
    <w:rsid w:val="388859B9"/>
    <w:rsid w:val="38887767"/>
    <w:rsid w:val="388A1731"/>
    <w:rsid w:val="388C54AA"/>
    <w:rsid w:val="389B393F"/>
    <w:rsid w:val="389D185B"/>
    <w:rsid w:val="38AC5B4C"/>
    <w:rsid w:val="38AC78FA"/>
    <w:rsid w:val="38B3739F"/>
    <w:rsid w:val="38B8629F"/>
    <w:rsid w:val="38D40BFF"/>
    <w:rsid w:val="38DB01DF"/>
    <w:rsid w:val="38E5105E"/>
    <w:rsid w:val="38F17A02"/>
    <w:rsid w:val="38F512A1"/>
    <w:rsid w:val="38F66DC7"/>
    <w:rsid w:val="390019F4"/>
    <w:rsid w:val="39074B30"/>
    <w:rsid w:val="39161217"/>
    <w:rsid w:val="391A0D07"/>
    <w:rsid w:val="391E1E7A"/>
    <w:rsid w:val="39276F80"/>
    <w:rsid w:val="3930052B"/>
    <w:rsid w:val="393578EF"/>
    <w:rsid w:val="393A3157"/>
    <w:rsid w:val="394C2E8B"/>
    <w:rsid w:val="39567866"/>
    <w:rsid w:val="39611FAB"/>
    <w:rsid w:val="396445F3"/>
    <w:rsid w:val="39672EE6"/>
    <w:rsid w:val="396F26D5"/>
    <w:rsid w:val="397A3554"/>
    <w:rsid w:val="397B72CC"/>
    <w:rsid w:val="398E5251"/>
    <w:rsid w:val="399A59A4"/>
    <w:rsid w:val="39A045B9"/>
    <w:rsid w:val="39A92C0E"/>
    <w:rsid w:val="39A95BE7"/>
    <w:rsid w:val="39B60304"/>
    <w:rsid w:val="39BA4298"/>
    <w:rsid w:val="39C42A21"/>
    <w:rsid w:val="39CA6372"/>
    <w:rsid w:val="39D72754"/>
    <w:rsid w:val="39DC420F"/>
    <w:rsid w:val="39DE1D35"/>
    <w:rsid w:val="39EC3F23"/>
    <w:rsid w:val="39F2758E"/>
    <w:rsid w:val="39F50E2C"/>
    <w:rsid w:val="39F73821"/>
    <w:rsid w:val="39FD5DE0"/>
    <w:rsid w:val="39FE4185"/>
    <w:rsid w:val="3A045513"/>
    <w:rsid w:val="3A125E82"/>
    <w:rsid w:val="3A150D4C"/>
    <w:rsid w:val="3A2F07E2"/>
    <w:rsid w:val="3A3429F6"/>
    <w:rsid w:val="3A3556CD"/>
    <w:rsid w:val="3A3A0DE4"/>
    <w:rsid w:val="3A3E6C77"/>
    <w:rsid w:val="3A437DEA"/>
    <w:rsid w:val="3A4D2A17"/>
    <w:rsid w:val="3A543DA5"/>
    <w:rsid w:val="3A6F6E31"/>
    <w:rsid w:val="3A742699"/>
    <w:rsid w:val="3A824DB6"/>
    <w:rsid w:val="3A8521B0"/>
    <w:rsid w:val="3A886145"/>
    <w:rsid w:val="3A914FF9"/>
    <w:rsid w:val="3A946897"/>
    <w:rsid w:val="3A9A4EE0"/>
    <w:rsid w:val="3AA7481D"/>
    <w:rsid w:val="3AAB598F"/>
    <w:rsid w:val="3ABC194A"/>
    <w:rsid w:val="3ABC7B9C"/>
    <w:rsid w:val="3AC52EF5"/>
    <w:rsid w:val="3ACF167E"/>
    <w:rsid w:val="3AE710BD"/>
    <w:rsid w:val="3AEF7F72"/>
    <w:rsid w:val="3AF37A62"/>
    <w:rsid w:val="3AF410E4"/>
    <w:rsid w:val="3B023801"/>
    <w:rsid w:val="3B181276"/>
    <w:rsid w:val="3B1D2341"/>
    <w:rsid w:val="3B1D4ADF"/>
    <w:rsid w:val="3B22557F"/>
    <w:rsid w:val="3B2A0FAA"/>
    <w:rsid w:val="3B4252FA"/>
    <w:rsid w:val="3B563B4D"/>
    <w:rsid w:val="3B5B5607"/>
    <w:rsid w:val="3B614E2E"/>
    <w:rsid w:val="3B697D24"/>
    <w:rsid w:val="3B783AC3"/>
    <w:rsid w:val="3B84690C"/>
    <w:rsid w:val="3B9C1EA7"/>
    <w:rsid w:val="3BA0301A"/>
    <w:rsid w:val="3BAA5C47"/>
    <w:rsid w:val="3BB54D17"/>
    <w:rsid w:val="3BC92571"/>
    <w:rsid w:val="3BD3519D"/>
    <w:rsid w:val="3BDB4052"/>
    <w:rsid w:val="3BF35840"/>
    <w:rsid w:val="3BF75330"/>
    <w:rsid w:val="3BFE66BE"/>
    <w:rsid w:val="3C025A83"/>
    <w:rsid w:val="3C090BBF"/>
    <w:rsid w:val="3C552056"/>
    <w:rsid w:val="3C577B7C"/>
    <w:rsid w:val="3C62051E"/>
    <w:rsid w:val="3C6C3AB4"/>
    <w:rsid w:val="3C6D55F2"/>
    <w:rsid w:val="3C771FCD"/>
    <w:rsid w:val="3C7C3A87"/>
    <w:rsid w:val="3C8B3CCA"/>
    <w:rsid w:val="3C925F16"/>
    <w:rsid w:val="3C942B7F"/>
    <w:rsid w:val="3C9C5ED7"/>
    <w:rsid w:val="3CB44FCF"/>
    <w:rsid w:val="3CDB255C"/>
    <w:rsid w:val="3CDC4526"/>
    <w:rsid w:val="3CE753A4"/>
    <w:rsid w:val="3CED04E1"/>
    <w:rsid w:val="3CF03B2D"/>
    <w:rsid w:val="3CF63839"/>
    <w:rsid w:val="3CF8135F"/>
    <w:rsid w:val="3CFE624A"/>
    <w:rsid w:val="3D0418D3"/>
    <w:rsid w:val="3D09356D"/>
    <w:rsid w:val="3D0D46DF"/>
    <w:rsid w:val="3D0F2205"/>
    <w:rsid w:val="3D1E68EC"/>
    <w:rsid w:val="3D375B6E"/>
    <w:rsid w:val="3D3B749E"/>
    <w:rsid w:val="3D406863"/>
    <w:rsid w:val="3D4C16AB"/>
    <w:rsid w:val="3D594F2A"/>
    <w:rsid w:val="3D595B76"/>
    <w:rsid w:val="3D5B18EE"/>
    <w:rsid w:val="3D6E33D0"/>
    <w:rsid w:val="3D766728"/>
    <w:rsid w:val="3D766F81"/>
    <w:rsid w:val="3D874491"/>
    <w:rsid w:val="3D8C6359"/>
    <w:rsid w:val="3D9D1F07"/>
    <w:rsid w:val="3DAC5CA6"/>
    <w:rsid w:val="3DB42DAD"/>
    <w:rsid w:val="3DBA4867"/>
    <w:rsid w:val="3DBB413B"/>
    <w:rsid w:val="3DBF1E7D"/>
    <w:rsid w:val="3DCC459A"/>
    <w:rsid w:val="3DD376D7"/>
    <w:rsid w:val="3DD551FD"/>
    <w:rsid w:val="3DD60F75"/>
    <w:rsid w:val="3DDD0555"/>
    <w:rsid w:val="3DEA67CE"/>
    <w:rsid w:val="3DEE57BE"/>
    <w:rsid w:val="3DFA1107"/>
    <w:rsid w:val="3E265A58"/>
    <w:rsid w:val="3E2E0DB1"/>
    <w:rsid w:val="3E421CF8"/>
    <w:rsid w:val="3E52223F"/>
    <w:rsid w:val="3E6A003B"/>
    <w:rsid w:val="3E6E3FBD"/>
    <w:rsid w:val="3E772758"/>
    <w:rsid w:val="3E894239"/>
    <w:rsid w:val="3E8A248B"/>
    <w:rsid w:val="3E94330A"/>
    <w:rsid w:val="3EB968CD"/>
    <w:rsid w:val="3EC3774B"/>
    <w:rsid w:val="3EDE4585"/>
    <w:rsid w:val="3EE1406D"/>
    <w:rsid w:val="3EEA4CD8"/>
    <w:rsid w:val="3EEC6CA2"/>
    <w:rsid w:val="3EF5367D"/>
    <w:rsid w:val="3F033FEC"/>
    <w:rsid w:val="3F073ADC"/>
    <w:rsid w:val="3F3348D1"/>
    <w:rsid w:val="3F3441A5"/>
    <w:rsid w:val="3F422D66"/>
    <w:rsid w:val="3F4343E8"/>
    <w:rsid w:val="3F5C54AA"/>
    <w:rsid w:val="3F780536"/>
    <w:rsid w:val="3F783DDA"/>
    <w:rsid w:val="3F8E5FAB"/>
    <w:rsid w:val="3FA94B93"/>
    <w:rsid w:val="3FB05F21"/>
    <w:rsid w:val="3FB928FC"/>
    <w:rsid w:val="3FBB675E"/>
    <w:rsid w:val="3FC90D91"/>
    <w:rsid w:val="3FE23C01"/>
    <w:rsid w:val="3FFB2F15"/>
    <w:rsid w:val="400326A5"/>
    <w:rsid w:val="40185875"/>
    <w:rsid w:val="402E6E46"/>
    <w:rsid w:val="403501D5"/>
    <w:rsid w:val="4050500F"/>
    <w:rsid w:val="40552625"/>
    <w:rsid w:val="406B009A"/>
    <w:rsid w:val="406D3E12"/>
    <w:rsid w:val="40703903"/>
    <w:rsid w:val="407056B1"/>
    <w:rsid w:val="4070745F"/>
    <w:rsid w:val="4077259B"/>
    <w:rsid w:val="407D4B5E"/>
    <w:rsid w:val="40844CB8"/>
    <w:rsid w:val="40872922"/>
    <w:rsid w:val="408D1DBF"/>
    <w:rsid w:val="40953369"/>
    <w:rsid w:val="409F7D44"/>
    <w:rsid w:val="40A92971"/>
    <w:rsid w:val="40B90E06"/>
    <w:rsid w:val="40C41559"/>
    <w:rsid w:val="40C61775"/>
    <w:rsid w:val="40CD2B03"/>
    <w:rsid w:val="40E02836"/>
    <w:rsid w:val="40F55BB6"/>
    <w:rsid w:val="410F4ECA"/>
    <w:rsid w:val="410F6C78"/>
    <w:rsid w:val="41195D48"/>
    <w:rsid w:val="41197AF6"/>
    <w:rsid w:val="411A73CB"/>
    <w:rsid w:val="411B386E"/>
    <w:rsid w:val="41232723"/>
    <w:rsid w:val="413606A8"/>
    <w:rsid w:val="41540B2E"/>
    <w:rsid w:val="41562AF9"/>
    <w:rsid w:val="41597EF3"/>
    <w:rsid w:val="415B1EBD"/>
    <w:rsid w:val="41635215"/>
    <w:rsid w:val="41670862"/>
    <w:rsid w:val="41727207"/>
    <w:rsid w:val="41792343"/>
    <w:rsid w:val="419B050B"/>
    <w:rsid w:val="41A575DC"/>
    <w:rsid w:val="41A90E7A"/>
    <w:rsid w:val="41AE46E3"/>
    <w:rsid w:val="41B415CD"/>
    <w:rsid w:val="41BB0BAE"/>
    <w:rsid w:val="41C37A62"/>
    <w:rsid w:val="41C51A2C"/>
    <w:rsid w:val="41C71300"/>
    <w:rsid w:val="41E579D9"/>
    <w:rsid w:val="41E9571B"/>
    <w:rsid w:val="41F52311"/>
    <w:rsid w:val="41F61BE6"/>
    <w:rsid w:val="41FB36A0"/>
    <w:rsid w:val="41FE5DE4"/>
    <w:rsid w:val="42002A64"/>
    <w:rsid w:val="42004812"/>
    <w:rsid w:val="42020FBA"/>
    <w:rsid w:val="42073DF3"/>
    <w:rsid w:val="42164036"/>
    <w:rsid w:val="421F738E"/>
    <w:rsid w:val="42220C2D"/>
    <w:rsid w:val="42240501"/>
    <w:rsid w:val="422A188F"/>
    <w:rsid w:val="42332E3A"/>
    <w:rsid w:val="423746D8"/>
    <w:rsid w:val="423F17DF"/>
    <w:rsid w:val="42417305"/>
    <w:rsid w:val="42424E2B"/>
    <w:rsid w:val="42446DF5"/>
    <w:rsid w:val="424566C9"/>
    <w:rsid w:val="42537038"/>
    <w:rsid w:val="4258464E"/>
    <w:rsid w:val="42731488"/>
    <w:rsid w:val="42755200"/>
    <w:rsid w:val="42756FAE"/>
    <w:rsid w:val="427F7E2D"/>
    <w:rsid w:val="42855A38"/>
    <w:rsid w:val="428F79ED"/>
    <w:rsid w:val="429531AD"/>
    <w:rsid w:val="429E1005"/>
    <w:rsid w:val="42A15FF5"/>
    <w:rsid w:val="42A45AE6"/>
    <w:rsid w:val="42AE0712"/>
    <w:rsid w:val="42BA70B7"/>
    <w:rsid w:val="42C35F6C"/>
    <w:rsid w:val="42EB74CC"/>
    <w:rsid w:val="4303280C"/>
    <w:rsid w:val="430420E0"/>
    <w:rsid w:val="43056584"/>
    <w:rsid w:val="43192030"/>
    <w:rsid w:val="43195B8C"/>
    <w:rsid w:val="431A1904"/>
    <w:rsid w:val="431C742A"/>
    <w:rsid w:val="431F37EA"/>
    <w:rsid w:val="432D5ADB"/>
    <w:rsid w:val="433724B6"/>
    <w:rsid w:val="433E1A96"/>
    <w:rsid w:val="43506AF6"/>
    <w:rsid w:val="4354288A"/>
    <w:rsid w:val="4355293C"/>
    <w:rsid w:val="435B43F6"/>
    <w:rsid w:val="43662929"/>
    <w:rsid w:val="436E7C96"/>
    <w:rsid w:val="436F1C50"/>
    <w:rsid w:val="43713C1A"/>
    <w:rsid w:val="437E6337"/>
    <w:rsid w:val="43866F99"/>
    <w:rsid w:val="43882D11"/>
    <w:rsid w:val="438C0A54"/>
    <w:rsid w:val="43916D7E"/>
    <w:rsid w:val="43943464"/>
    <w:rsid w:val="43963680"/>
    <w:rsid w:val="43A51B15"/>
    <w:rsid w:val="43C755E8"/>
    <w:rsid w:val="43CF26EE"/>
    <w:rsid w:val="43D63A7D"/>
    <w:rsid w:val="43DB72E5"/>
    <w:rsid w:val="43E443EC"/>
    <w:rsid w:val="43EA577A"/>
    <w:rsid w:val="43EE526A"/>
    <w:rsid w:val="43EF4B3E"/>
    <w:rsid w:val="43F263DD"/>
    <w:rsid w:val="43F7487C"/>
    <w:rsid w:val="43FF1225"/>
    <w:rsid w:val="440C3942"/>
    <w:rsid w:val="44110F59"/>
    <w:rsid w:val="44112D07"/>
    <w:rsid w:val="441A605F"/>
    <w:rsid w:val="441B5933"/>
    <w:rsid w:val="442742D8"/>
    <w:rsid w:val="44352E99"/>
    <w:rsid w:val="4440539A"/>
    <w:rsid w:val="444C01E3"/>
    <w:rsid w:val="4451295E"/>
    <w:rsid w:val="445552E9"/>
    <w:rsid w:val="446217B4"/>
    <w:rsid w:val="44727C49"/>
    <w:rsid w:val="448B0D0B"/>
    <w:rsid w:val="449D459A"/>
    <w:rsid w:val="44A117BD"/>
    <w:rsid w:val="44AA2023"/>
    <w:rsid w:val="44B244EA"/>
    <w:rsid w:val="44D02BC2"/>
    <w:rsid w:val="44DC1567"/>
    <w:rsid w:val="44DF2E05"/>
    <w:rsid w:val="44E26451"/>
    <w:rsid w:val="44E328F5"/>
    <w:rsid w:val="44E81CBA"/>
    <w:rsid w:val="44E93C84"/>
    <w:rsid w:val="44EE3048"/>
    <w:rsid w:val="450338D7"/>
    <w:rsid w:val="45063999"/>
    <w:rsid w:val="45097749"/>
    <w:rsid w:val="453A5831"/>
    <w:rsid w:val="453F38A4"/>
    <w:rsid w:val="453F611C"/>
    <w:rsid w:val="45423923"/>
    <w:rsid w:val="455235D7"/>
    <w:rsid w:val="45553697"/>
    <w:rsid w:val="45660E30"/>
    <w:rsid w:val="456D6663"/>
    <w:rsid w:val="45795008"/>
    <w:rsid w:val="457A48DC"/>
    <w:rsid w:val="45837C34"/>
    <w:rsid w:val="45AD4CB1"/>
    <w:rsid w:val="45AE23B4"/>
    <w:rsid w:val="45B1654F"/>
    <w:rsid w:val="45BC6CA2"/>
    <w:rsid w:val="45C2075D"/>
    <w:rsid w:val="45F621B4"/>
    <w:rsid w:val="46195EA3"/>
    <w:rsid w:val="462D194E"/>
    <w:rsid w:val="462E7BA0"/>
    <w:rsid w:val="46357180"/>
    <w:rsid w:val="4642364B"/>
    <w:rsid w:val="465A6BE7"/>
    <w:rsid w:val="467B090B"/>
    <w:rsid w:val="468B405E"/>
    <w:rsid w:val="468B4FF2"/>
    <w:rsid w:val="46911EDD"/>
    <w:rsid w:val="469336F6"/>
    <w:rsid w:val="469A6FE4"/>
    <w:rsid w:val="46A936CA"/>
    <w:rsid w:val="46AE6F33"/>
    <w:rsid w:val="46B300A5"/>
    <w:rsid w:val="46C87FF5"/>
    <w:rsid w:val="46CB3641"/>
    <w:rsid w:val="46D324F5"/>
    <w:rsid w:val="46DB13AA"/>
    <w:rsid w:val="46E14574"/>
    <w:rsid w:val="46E91D19"/>
    <w:rsid w:val="46EB3CE3"/>
    <w:rsid w:val="46EC35B7"/>
    <w:rsid w:val="46EE5581"/>
    <w:rsid w:val="46FF778E"/>
    <w:rsid w:val="471D19C3"/>
    <w:rsid w:val="47262F6D"/>
    <w:rsid w:val="472921B0"/>
    <w:rsid w:val="472B0583"/>
    <w:rsid w:val="472E3BD0"/>
    <w:rsid w:val="47375382"/>
    <w:rsid w:val="47613FA5"/>
    <w:rsid w:val="47685334"/>
    <w:rsid w:val="476F66C2"/>
    <w:rsid w:val="4770243A"/>
    <w:rsid w:val="477A0BC3"/>
    <w:rsid w:val="477C0DDF"/>
    <w:rsid w:val="478A34FC"/>
    <w:rsid w:val="47946129"/>
    <w:rsid w:val="47967C46"/>
    <w:rsid w:val="47975C19"/>
    <w:rsid w:val="4799373F"/>
    <w:rsid w:val="47A0687C"/>
    <w:rsid w:val="47AD0D2F"/>
    <w:rsid w:val="47B61DE1"/>
    <w:rsid w:val="47BC742D"/>
    <w:rsid w:val="47C22C96"/>
    <w:rsid w:val="47D429C9"/>
    <w:rsid w:val="47E0136E"/>
    <w:rsid w:val="47E14962"/>
    <w:rsid w:val="47EA3F9B"/>
    <w:rsid w:val="47F92430"/>
    <w:rsid w:val="47F941DE"/>
    <w:rsid w:val="47FB1DC1"/>
    <w:rsid w:val="4801245F"/>
    <w:rsid w:val="480706A9"/>
    <w:rsid w:val="48082673"/>
    <w:rsid w:val="480F755D"/>
    <w:rsid w:val="4817787D"/>
    <w:rsid w:val="481F45DB"/>
    <w:rsid w:val="4820176A"/>
    <w:rsid w:val="48256D81"/>
    <w:rsid w:val="485458B8"/>
    <w:rsid w:val="485853A8"/>
    <w:rsid w:val="486024AF"/>
    <w:rsid w:val="48684EBF"/>
    <w:rsid w:val="486D24D6"/>
    <w:rsid w:val="488A3088"/>
    <w:rsid w:val="488C32A4"/>
    <w:rsid w:val="488E4182"/>
    <w:rsid w:val="48914AE9"/>
    <w:rsid w:val="489565B3"/>
    <w:rsid w:val="489D2DBB"/>
    <w:rsid w:val="48A405ED"/>
    <w:rsid w:val="48B12D0A"/>
    <w:rsid w:val="48BA396D"/>
    <w:rsid w:val="48BC5439"/>
    <w:rsid w:val="48BD34D6"/>
    <w:rsid w:val="48D32C81"/>
    <w:rsid w:val="48F13107"/>
    <w:rsid w:val="48F84495"/>
    <w:rsid w:val="48FB42D1"/>
    <w:rsid w:val="48FC21D7"/>
    <w:rsid w:val="48FD385A"/>
    <w:rsid w:val="490B241B"/>
    <w:rsid w:val="49105C83"/>
    <w:rsid w:val="49117305"/>
    <w:rsid w:val="491A440C"/>
    <w:rsid w:val="492339A4"/>
    <w:rsid w:val="49246A8D"/>
    <w:rsid w:val="49261002"/>
    <w:rsid w:val="493279A7"/>
    <w:rsid w:val="493A4AAE"/>
    <w:rsid w:val="493C4382"/>
    <w:rsid w:val="494D658F"/>
    <w:rsid w:val="49520049"/>
    <w:rsid w:val="49575660"/>
    <w:rsid w:val="49746212"/>
    <w:rsid w:val="49816239"/>
    <w:rsid w:val="498875C7"/>
    <w:rsid w:val="498E6BA8"/>
    <w:rsid w:val="4990607D"/>
    <w:rsid w:val="49926698"/>
    <w:rsid w:val="49935F6C"/>
    <w:rsid w:val="49A87C69"/>
    <w:rsid w:val="49AB1508"/>
    <w:rsid w:val="49B605D8"/>
    <w:rsid w:val="49D547D7"/>
    <w:rsid w:val="49D96075"/>
    <w:rsid w:val="49E669E4"/>
    <w:rsid w:val="49F033BE"/>
    <w:rsid w:val="49FB248F"/>
    <w:rsid w:val="49FC7FB5"/>
    <w:rsid w:val="4A003601"/>
    <w:rsid w:val="4A084BAC"/>
    <w:rsid w:val="4A17094B"/>
    <w:rsid w:val="4A174DEF"/>
    <w:rsid w:val="4A280DAA"/>
    <w:rsid w:val="4A317C5F"/>
    <w:rsid w:val="4A34303A"/>
    <w:rsid w:val="4A3A2045"/>
    <w:rsid w:val="4A3B171B"/>
    <w:rsid w:val="4A404346"/>
    <w:rsid w:val="4A413C1A"/>
    <w:rsid w:val="4A443E36"/>
    <w:rsid w:val="4A5120AF"/>
    <w:rsid w:val="4A6C0C97"/>
    <w:rsid w:val="4A6C513B"/>
    <w:rsid w:val="4A6F58F0"/>
    <w:rsid w:val="4A82670C"/>
    <w:rsid w:val="4A8F596C"/>
    <w:rsid w:val="4A934476"/>
    <w:rsid w:val="4AAC3789"/>
    <w:rsid w:val="4AC960E9"/>
    <w:rsid w:val="4AD1554A"/>
    <w:rsid w:val="4ADD3943"/>
    <w:rsid w:val="4ADF3B5F"/>
    <w:rsid w:val="4AE35216"/>
    <w:rsid w:val="4AF926DB"/>
    <w:rsid w:val="4AFC7BF7"/>
    <w:rsid w:val="4B1347D3"/>
    <w:rsid w:val="4B137364"/>
    <w:rsid w:val="4B1C090F"/>
    <w:rsid w:val="4B234B64"/>
    <w:rsid w:val="4B245A16"/>
    <w:rsid w:val="4B320132"/>
    <w:rsid w:val="4B3317B5"/>
    <w:rsid w:val="4B337A07"/>
    <w:rsid w:val="4B3519D1"/>
    <w:rsid w:val="4B3774F7"/>
    <w:rsid w:val="4B3A6458"/>
    <w:rsid w:val="4B406426"/>
    <w:rsid w:val="4B49547C"/>
    <w:rsid w:val="4B4E4840"/>
    <w:rsid w:val="4B533C05"/>
    <w:rsid w:val="4B5C0D0B"/>
    <w:rsid w:val="4B605C4D"/>
    <w:rsid w:val="4B693428"/>
    <w:rsid w:val="4B736055"/>
    <w:rsid w:val="4B83273C"/>
    <w:rsid w:val="4B923308"/>
    <w:rsid w:val="4BA32DDE"/>
    <w:rsid w:val="4BAA7FD1"/>
    <w:rsid w:val="4BB26B7D"/>
    <w:rsid w:val="4BB328F5"/>
    <w:rsid w:val="4BB40B47"/>
    <w:rsid w:val="4BB52B12"/>
    <w:rsid w:val="4BB70638"/>
    <w:rsid w:val="4BC0573E"/>
    <w:rsid w:val="4BC45CCD"/>
    <w:rsid w:val="4BC66ACD"/>
    <w:rsid w:val="4BCB5E91"/>
    <w:rsid w:val="4BD034A7"/>
    <w:rsid w:val="4BEA4569"/>
    <w:rsid w:val="4C0118B3"/>
    <w:rsid w:val="4C017B05"/>
    <w:rsid w:val="4C0F3FD0"/>
    <w:rsid w:val="4C123AC0"/>
    <w:rsid w:val="4C215AB1"/>
    <w:rsid w:val="4C26756B"/>
    <w:rsid w:val="4C286E40"/>
    <w:rsid w:val="4C4B0D80"/>
    <w:rsid w:val="4C4F6AC2"/>
    <w:rsid w:val="4C545E87"/>
    <w:rsid w:val="4C7D0C98"/>
    <w:rsid w:val="4C885B30"/>
    <w:rsid w:val="4C9170DB"/>
    <w:rsid w:val="4CA010CC"/>
    <w:rsid w:val="4CA566E2"/>
    <w:rsid w:val="4CBB7CB4"/>
    <w:rsid w:val="4CBD1C7E"/>
    <w:rsid w:val="4CC052CA"/>
    <w:rsid w:val="4CC528E0"/>
    <w:rsid w:val="4CC56D84"/>
    <w:rsid w:val="4CD60F91"/>
    <w:rsid w:val="4CD6689C"/>
    <w:rsid w:val="4CDA2830"/>
    <w:rsid w:val="4CE03BBE"/>
    <w:rsid w:val="4CEA67EB"/>
    <w:rsid w:val="4CEC60BF"/>
    <w:rsid w:val="4CFA4C80"/>
    <w:rsid w:val="4CFA6A2E"/>
    <w:rsid w:val="4D0A4797"/>
    <w:rsid w:val="4D1A70D0"/>
    <w:rsid w:val="4D2717ED"/>
    <w:rsid w:val="4D2B308B"/>
    <w:rsid w:val="4D3B0DF4"/>
    <w:rsid w:val="4D453A21"/>
    <w:rsid w:val="4D477799"/>
    <w:rsid w:val="4D4D3536"/>
    <w:rsid w:val="4D50664E"/>
    <w:rsid w:val="4D5C3245"/>
    <w:rsid w:val="4D5F2D35"/>
    <w:rsid w:val="4D6614CB"/>
    <w:rsid w:val="4D704F42"/>
    <w:rsid w:val="4D720CBA"/>
    <w:rsid w:val="4D7A191D"/>
    <w:rsid w:val="4D7D06BE"/>
    <w:rsid w:val="4D7F6F33"/>
    <w:rsid w:val="4D872E29"/>
    <w:rsid w:val="4D88451E"/>
    <w:rsid w:val="4D92310A"/>
    <w:rsid w:val="4DA1334D"/>
    <w:rsid w:val="4DA846DC"/>
    <w:rsid w:val="4DA92202"/>
    <w:rsid w:val="4DB12E65"/>
    <w:rsid w:val="4DB766CD"/>
    <w:rsid w:val="4DBB7B38"/>
    <w:rsid w:val="4DBE3EFF"/>
    <w:rsid w:val="4DD3102D"/>
    <w:rsid w:val="4DD3727F"/>
    <w:rsid w:val="4DDD3C5A"/>
    <w:rsid w:val="4DEE5E67"/>
    <w:rsid w:val="4DFF0074"/>
    <w:rsid w:val="4E035DB6"/>
    <w:rsid w:val="4E061402"/>
    <w:rsid w:val="4E10402F"/>
    <w:rsid w:val="4E105DDD"/>
    <w:rsid w:val="4E24521E"/>
    <w:rsid w:val="4E3234CE"/>
    <w:rsid w:val="4E3B5550"/>
    <w:rsid w:val="4E5C1022"/>
    <w:rsid w:val="4E6F6FA8"/>
    <w:rsid w:val="4E741A89"/>
    <w:rsid w:val="4E74636C"/>
    <w:rsid w:val="4E830CA5"/>
    <w:rsid w:val="4E944C60"/>
    <w:rsid w:val="4EA56E6D"/>
    <w:rsid w:val="4EAB73AD"/>
    <w:rsid w:val="4EB86BA1"/>
    <w:rsid w:val="4ECF7A46"/>
    <w:rsid w:val="4ED60DD5"/>
    <w:rsid w:val="4ED67027"/>
    <w:rsid w:val="4EDB63EB"/>
    <w:rsid w:val="4EF22CB2"/>
    <w:rsid w:val="4F005E52"/>
    <w:rsid w:val="4F053468"/>
    <w:rsid w:val="4F0A10D5"/>
    <w:rsid w:val="4F0C2A48"/>
    <w:rsid w:val="4F0E056F"/>
    <w:rsid w:val="4F161B19"/>
    <w:rsid w:val="4F1D2EA8"/>
    <w:rsid w:val="4F3E697A"/>
    <w:rsid w:val="4F40059C"/>
    <w:rsid w:val="4F4641AC"/>
    <w:rsid w:val="4F473A81"/>
    <w:rsid w:val="4F5F526E"/>
    <w:rsid w:val="4F6C1739"/>
    <w:rsid w:val="4F6F4D85"/>
    <w:rsid w:val="4F7658BD"/>
    <w:rsid w:val="4F7A5C04"/>
    <w:rsid w:val="4F876573"/>
    <w:rsid w:val="4F8B6063"/>
    <w:rsid w:val="4F905428"/>
    <w:rsid w:val="4F9529F9"/>
    <w:rsid w:val="4FA72771"/>
    <w:rsid w:val="4FC7696F"/>
    <w:rsid w:val="4FCC21D8"/>
    <w:rsid w:val="4FCE41A2"/>
    <w:rsid w:val="4FCE5F50"/>
    <w:rsid w:val="4FDF63AF"/>
    <w:rsid w:val="4FF534DD"/>
    <w:rsid w:val="4FFD5396"/>
    <w:rsid w:val="501A73E7"/>
    <w:rsid w:val="501C4F0D"/>
    <w:rsid w:val="50212524"/>
    <w:rsid w:val="502B6EFE"/>
    <w:rsid w:val="504B75A0"/>
    <w:rsid w:val="5059087E"/>
    <w:rsid w:val="50600E53"/>
    <w:rsid w:val="50642410"/>
    <w:rsid w:val="50650662"/>
    <w:rsid w:val="506863A4"/>
    <w:rsid w:val="50783BF0"/>
    <w:rsid w:val="507C775A"/>
    <w:rsid w:val="5095081C"/>
    <w:rsid w:val="509B0528"/>
    <w:rsid w:val="50A7016E"/>
    <w:rsid w:val="50B82E88"/>
    <w:rsid w:val="50C25AB5"/>
    <w:rsid w:val="50C730CB"/>
    <w:rsid w:val="50C9764B"/>
    <w:rsid w:val="50CA6717"/>
    <w:rsid w:val="50CF01D2"/>
    <w:rsid w:val="50D15CF8"/>
    <w:rsid w:val="50DD28EE"/>
    <w:rsid w:val="50F073B7"/>
    <w:rsid w:val="50F33EC0"/>
    <w:rsid w:val="50F57ED1"/>
    <w:rsid w:val="51024103"/>
    <w:rsid w:val="510A2FB8"/>
    <w:rsid w:val="510C4F82"/>
    <w:rsid w:val="51165E00"/>
    <w:rsid w:val="51180D53"/>
    <w:rsid w:val="51181B78"/>
    <w:rsid w:val="511B3845"/>
    <w:rsid w:val="511F2F07"/>
    <w:rsid w:val="512B7B4D"/>
    <w:rsid w:val="5141620C"/>
    <w:rsid w:val="51491D32"/>
    <w:rsid w:val="51493AE0"/>
    <w:rsid w:val="514A5AAA"/>
    <w:rsid w:val="51516E38"/>
    <w:rsid w:val="515F3303"/>
    <w:rsid w:val="516967FB"/>
    <w:rsid w:val="516A1CA8"/>
    <w:rsid w:val="51894824"/>
    <w:rsid w:val="51BD002A"/>
    <w:rsid w:val="51C413B8"/>
    <w:rsid w:val="51D07D5D"/>
    <w:rsid w:val="51D2559D"/>
    <w:rsid w:val="51D84E64"/>
    <w:rsid w:val="51DD247A"/>
    <w:rsid w:val="51E47CAD"/>
    <w:rsid w:val="51E7154B"/>
    <w:rsid w:val="51EE6435"/>
    <w:rsid w:val="51FC6DA4"/>
    <w:rsid w:val="52003542"/>
    <w:rsid w:val="52020133"/>
    <w:rsid w:val="52081BED"/>
    <w:rsid w:val="520B6FE7"/>
    <w:rsid w:val="521045FE"/>
    <w:rsid w:val="52174AA4"/>
    <w:rsid w:val="52232583"/>
    <w:rsid w:val="522602C5"/>
    <w:rsid w:val="522E2CD6"/>
    <w:rsid w:val="52410886"/>
    <w:rsid w:val="524349D3"/>
    <w:rsid w:val="52447C09"/>
    <w:rsid w:val="526037D7"/>
    <w:rsid w:val="52630BD1"/>
    <w:rsid w:val="526F384E"/>
    <w:rsid w:val="52770B21"/>
    <w:rsid w:val="5285323E"/>
    <w:rsid w:val="52862B12"/>
    <w:rsid w:val="52AD009F"/>
    <w:rsid w:val="52C8312A"/>
    <w:rsid w:val="52CB6777"/>
    <w:rsid w:val="52E635B0"/>
    <w:rsid w:val="52F263F9"/>
    <w:rsid w:val="52FD1026"/>
    <w:rsid w:val="53012DD3"/>
    <w:rsid w:val="530E3233"/>
    <w:rsid w:val="53130849"/>
    <w:rsid w:val="531E0F9C"/>
    <w:rsid w:val="532365B3"/>
    <w:rsid w:val="53240041"/>
    <w:rsid w:val="53340106"/>
    <w:rsid w:val="533802B0"/>
    <w:rsid w:val="534529CD"/>
    <w:rsid w:val="534F73A8"/>
    <w:rsid w:val="53542C10"/>
    <w:rsid w:val="53582700"/>
    <w:rsid w:val="53861D4A"/>
    <w:rsid w:val="53876B42"/>
    <w:rsid w:val="53A07C03"/>
    <w:rsid w:val="53A51A58"/>
    <w:rsid w:val="53A771E4"/>
    <w:rsid w:val="53A94D0A"/>
    <w:rsid w:val="53A96AB8"/>
    <w:rsid w:val="53AB6CD4"/>
    <w:rsid w:val="53B10062"/>
    <w:rsid w:val="53B92A73"/>
    <w:rsid w:val="53BA6F17"/>
    <w:rsid w:val="53BF452D"/>
    <w:rsid w:val="53E421E6"/>
    <w:rsid w:val="53FC12DE"/>
    <w:rsid w:val="540006A2"/>
    <w:rsid w:val="540E1011"/>
    <w:rsid w:val="54176117"/>
    <w:rsid w:val="54177EC5"/>
    <w:rsid w:val="541D1254"/>
    <w:rsid w:val="54234686"/>
    <w:rsid w:val="542D593B"/>
    <w:rsid w:val="543F566E"/>
    <w:rsid w:val="54457F5D"/>
    <w:rsid w:val="544B5DC1"/>
    <w:rsid w:val="544B7B6F"/>
    <w:rsid w:val="545F7ABE"/>
    <w:rsid w:val="546926EB"/>
    <w:rsid w:val="54705828"/>
    <w:rsid w:val="54890697"/>
    <w:rsid w:val="549F1511"/>
    <w:rsid w:val="54A51975"/>
    <w:rsid w:val="54AB6860"/>
    <w:rsid w:val="54AD082A"/>
    <w:rsid w:val="54B82403"/>
    <w:rsid w:val="54C50673"/>
    <w:rsid w:val="54CA13DC"/>
    <w:rsid w:val="54E104D3"/>
    <w:rsid w:val="54FB1595"/>
    <w:rsid w:val="551408A9"/>
    <w:rsid w:val="5523289A"/>
    <w:rsid w:val="552865AE"/>
    <w:rsid w:val="552F56E3"/>
    <w:rsid w:val="552F6C70"/>
    <w:rsid w:val="552F7491"/>
    <w:rsid w:val="553B2061"/>
    <w:rsid w:val="553E5926"/>
    <w:rsid w:val="55434CEA"/>
    <w:rsid w:val="554A6079"/>
    <w:rsid w:val="5560764A"/>
    <w:rsid w:val="55705593"/>
    <w:rsid w:val="55733821"/>
    <w:rsid w:val="557E3F74"/>
    <w:rsid w:val="55B46734"/>
    <w:rsid w:val="55C23E61"/>
    <w:rsid w:val="55CC1183"/>
    <w:rsid w:val="55D41DE6"/>
    <w:rsid w:val="55D6790C"/>
    <w:rsid w:val="55E42029"/>
    <w:rsid w:val="55EC5382"/>
    <w:rsid w:val="55FA7E56"/>
    <w:rsid w:val="55FF38E3"/>
    <w:rsid w:val="560B1CAC"/>
    <w:rsid w:val="56171C71"/>
    <w:rsid w:val="56242D6E"/>
    <w:rsid w:val="56293EE0"/>
    <w:rsid w:val="56294236"/>
    <w:rsid w:val="56334D5F"/>
    <w:rsid w:val="564156CE"/>
    <w:rsid w:val="564451BE"/>
    <w:rsid w:val="564B45A4"/>
    <w:rsid w:val="56521689"/>
    <w:rsid w:val="565A49CF"/>
    <w:rsid w:val="565D1DDC"/>
    <w:rsid w:val="566678C1"/>
    <w:rsid w:val="566B274A"/>
    <w:rsid w:val="566D0271"/>
    <w:rsid w:val="567710EF"/>
    <w:rsid w:val="567C6706"/>
    <w:rsid w:val="56B440F1"/>
    <w:rsid w:val="56B45E9F"/>
    <w:rsid w:val="56B55774"/>
    <w:rsid w:val="56B714EC"/>
    <w:rsid w:val="56C1680E"/>
    <w:rsid w:val="56C65BD3"/>
    <w:rsid w:val="56C9121F"/>
    <w:rsid w:val="56CB1C67"/>
    <w:rsid w:val="56CD51B3"/>
    <w:rsid w:val="57044B1F"/>
    <w:rsid w:val="57087F99"/>
    <w:rsid w:val="570A3D11"/>
    <w:rsid w:val="570F1328"/>
    <w:rsid w:val="571B7CCD"/>
    <w:rsid w:val="57203535"/>
    <w:rsid w:val="572052E3"/>
    <w:rsid w:val="57221BE6"/>
    <w:rsid w:val="57390153"/>
    <w:rsid w:val="573E7711"/>
    <w:rsid w:val="57631674"/>
    <w:rsid w:val="578735B4"/>
    <w:rsid w:val="578A48DD"/>
    <w:rsid w:val="579730CB"/>
    <w:rsid w:val="57B123DF"/>
    <w:rsid w:val="57B27F05"/>
    <w:rsid w:val="57BE68AA"/>
    <w:rsid w:val="57C55E8A"/>
    <w:rsid w:val="57D26822"/>
    <w:rsid w:val="57D33B5A"/>
    <w:rsid w:val="57D60097"/>
    <w:rsid w:val="57E5652D"/>
    <w:rsid w:val="57F624E8"/>
    <w:rsid w:val="5809221B"/>
    <w:rsid w:val="580F7106"/>
    <w:rsid w:val="581C06D7"/>
    <w:rsid w:val="581E79A5"/>
    <w:rsid w:val="581F37ED"/>
    <w:rsid w:val="582E1C82"/>
    <w:rsid w:val="583077A8"/>
    <w:rsid w:val="58346B6C"/>
    <w:rsid w:val="5842572D"/>
    <w:rsid w:val="584A6390"/>
    <w:rsid w:val="584C2108"/>
    <w:rsid w:val="584E5E80"/>
    <w:rsid w:val="585D4315"/>
    <w:rsid w:val="5866766D"/>
    <w:rsid w:val="58676F42"/>
    <w:rsid w:val="58726012"/>
    <w:rsid w:val="58781CC6"/>
    <w:rsid w:val="587A6C75"/>
    <w:rsid w:val="587F24DD"/>
    <w:rsid w:val="58810003"/>
    <w:rsid w:val="58831FCD"/>
    <w:rsid w:val="58951D01"/>
    <w:rsid w:val="589D0BB5"/>
    <w:rsid w:val="58A61818"/>
    <w:rsid w:val="58A75590"/>
    <w:rsid w:val="58AA61C9"/>
    <w:rsid w:val="58B008E9"/>
    <w:rsid w:val="58BC728D"/>
    <w:rsid w:val="58BF0B2C"/>
    <w:rsid w:val="58DA7713"/>
    <w:rsid w:val="58ED5699"/>
    <w:rsid w:val="58FD3402"/>
    <w:rsid w:val="590F3861"/>
    <w:rsid w:val="59101387"/>
    <w:rsid w:val="59154BEF"/>
    <w:rsid w:val="592310BA"/>
    <w:rsid w:val="592A2449"/>
    <w:rsid w:val="592B4413"/>
    <w:rsid w:val="59305585"/>
    <w:rsid w:val="59405903"/>
    <w:rsid w:val="59461A9A"/>
    <w:rsid w:val="595079D6"/>
    <w:rsid w:val="59617E35"/>
    <w:rsid w:val="59682F71"/>
    <w:rsid w:val="59723DF0"/>
    <w:rsid w:val="59861649"/>
    <w:rsid w:val="5988716F"/>
    <w:rsid w:val="5992246A"/>
    <w:rsid w:val="599B154D"/>
    <w:rsid w:val="599B50F5"/>
    <w:rsid w:val="599C2C1B"/>
    <w:rsid w:val="59A0270B"/>
    <w:rsid w:val="59AC7302"/>
    <w:rsid w:val="59B724FA"/>
    <w:rsid w:val="59B937CD"/>
    <w:rsid w:val="59C503C4"/>
    <w:rsid w:val="59D14FBA"/>
    <w:rsid w:val="59D9150B"/>
    <w:rsid w:val="59D95C1D"/>
    <w:rsid w:val="59DE4FE1"/>
    <w:rsid w:val="59EA607C"/>
    <w:rsid w:val="5A097BEB"/>
    <w:rsid w:val="5A0A227A"/>
    <w:rsid w:val="5A125193"/>
    <w:rsid w:val="5A137381"/>
    <w:rsid w:val="5A2570B4"/>
    <w:rsid w:val="5A3B0686"/>
    <w:rsid w:val="5A3D43FE"/>
    <w:rsid w:val="5A3F1F24"/>
    <w:rsid w:val="5A47527D"/>
    <w:rsid w:val="5A4C63EF"/>
    <w:rsid w:val="5A5534F6"/>
    <w:rsid w:val="5A5D05FC"/>
    <w:rsid w:val="5A780F87"/>
    <w:rsid w:val="5A7B0A82"/>
    <w:rsid w:val="5A7D545A"/>
    <w:rsid w:val="5A84202D"/>
    <w:rsid w:val="5A85202A"/>
    <w:rsid w:val="5A902780"/>
    <w:rsid w:val="5A9304C2"/>
    <w:rsid w:val="5A9D6C4B"/>
    <w:rsid w:val="5AB50438"/>
    <w:rsid w:val="5ABA77FD"/>
    <w:rsid w:val="5AC643F3"/>
    <w:rsid w:val="5ADB6D0C"/>
    <w:rsid w:val="5ADD173D"/>
    <w:rsid w:val="5AE14D89"/>
    <w:rsid w:val="5AF56A87"/>
    <w:rsid w:val="5AFC1BC3"/>
    <w:rsid w:val="5AFC6067"/>
    <w:rsid w:val="5B0647F0"/>
    <w:rsid w:val="5B1213E7"/>
    <w:rsid w:val="5B264E92"/>
    <w:rsid w:val="5B336299"/>
    <w:rsid w:val="5B386973"/>
    <w:rsid w:val="5B435A44"/>
    <w:rsid w:val="5B4A5024"/>
    <w:rsid w:val="5B555777"/>
    <w:rsid w:val="5B57329D"/>
    <w:rsid w:val="5B6854AA"/>
    <w:rsid w:val="5B68667D"/>
    <w:rsid w:val="5B6B6D49"/>
    <w:rsid w:val="5B721E85"/>
    <w:rsid w:val="5B8878FB"/>
    <w:rsid w:val="5BA858A7"/>
    <w:rsid w:val="5BBC75A4"/>
    <w:rsid w:val="5BEA5EBF"/>
    <w:rsid w:val="5BEC7E8A"/>
    <w:rsid w:val="5C0056E3"/>
    <w:rsid w:val="5C1318BA"/>
    <w:rsid w:val="5C190553"/>
    <w:rsid w:val="5C2313D1"/>
    <w:rsid w:val="5C263BB1"/>
    <w:rsid w:val="5C2D4455"/>
    <w:rsid w:val="5C311D40"/>
    <w:rsid w:val="5C337866"/>
    <w:rsid w:val="5C361105"/>
    <w:rsid w:val="5C3B2BBF"/>
    <w:rsid w:val="5C3E7FB9"/>
    <w:rsid w:val="5C4E46A0"/>
    <w:rsid w:val="5C514191"/>
    <w:rsid w:val="5C5679F9"/>
    <w:rsid w:val="5C657C3C"/>
    <w:rsid w:val="5C677510"/>
    <w:rsid w:val="5C6A0DAE"/>
    <w:rsid w:val="5C78171D"/>
    <w:rsid w:val="5C853E3A"/>
    <w:rsid w:val="5C8C341B"/>
    <w:rsid w:val="5C936557"/>
    <w:rsid w:val="5C961BA3"/>
    <w:rsid w:val="5CB32755"/>
    <w:rsid w:val="5CB571A6"/>
    <w:rsid w:val="5CBA1D36"/>
    <w:rsid w:val="5CBA3AE4"/>
    <w:rsid w:val="5CBA7F88"/>
    <w:rsid w:val="5CCB7A9F"/>
    <w:rsid w:val="5CEB6393"/>
    <w:rsid w:val="5CF07506"/>
    <w:rsid w:val="5CFA4828"/>
    <w:rsid w:val="5CFA65D6"/>
    <w:rsid w:val="5D0134C1"/>
    <w:rsid w:val="5D0208DA"/>
    <w:rsid w:val="5D1A4582"/>
    <w:rsid w:val="5D1F3745"/>
    <w:rsid w:val="5D2667F5"/>
    <w:rsid w:val="5D283143"/>
    <w:rsid w:val="5D2E6280"/>
    <w:rsid w:val="5D483FDC"/>
    <w:rsid w:val="5D4B6E32"/>
    <w:rsid w:val="5D5201C0"/>
    <w:rsid w:val="5D526412"/>
    <w:rsid w:val="5D656145"/>
    <w:rsid w:val="5D675118"/>
    <w:rsid w:val="5D7719D5"/>
    <w:rsid w:val="5D7E06F2"/>
    <w:rsid w:val="5D8A5BAC"/>
    <w:rsid w:val="5D8A795A"/>
    <w:rsid w:val="5D932CA5"/>
    <w:rsid w:val="5DA56542"/>
    <w:rsid w:val="5DAA1DAA"/>
    <w:rsid w:val="5DB524FD"/>
    <w:rsid w:val="5DB87A62"/>
    <w:rsid w:val="5DCD3CEB"/>
    <w:rsid w:val="5DCD7847"/>
    <w:rsid w:val="5DD40BD5"/>
    <w:rsid w:val="5DD9443E"/>
    <w:rsid w:val="5DE03A1E"/>
    <w:rsid w:val="5DE11544"/>
    <w:rsid w:val="5E007C1C"/>
    <w:rsid w:val="5E0159D2"/>
    <w:rsid w:val="5E0314BA"/>
    <w:rsid w:val="5E0771FD"/>
    <w:rsid w:val="5E23390B"/>
    <w:rsid w:val="5E317DD6"/>
    <w:rsid w:val="5E371164"/>
    <w:rsid w:val="5E5B30A5"/>
    <w:rsid w:val="5E5D4F9F"/>
    <w:rsid w:val="5E622685"/>
    <w:rsid w:val="5E6E2DD8"/>
    <w:rsid w:val="5E6F4DA2"/>
    <w:rsid w:val="5E8A398A"/>
    <w:rsid w:val="5E912F6A"/>
    <w:rsid w:val="5E9640DD"/>
    <w:rsid w:val="5EA93E10"/>
    <w:rsid w:val="5ECA1FD8"/>
    <w:rsid w:val="5ECF75EF"/>
    <w:rsid w:val="5ED15115"/>
    <w:rsid w:val="5ED30E8D"/>
    <w:rsid w:val="5ED510A9"/>
    <w:rsid w:val="5EE237C6"/>
    <w:rsid w:val="5EF17565"/>
    <w:rsid w:val="5EFA28BD"/>
    <w:rsid w:val="5EFD23AE"/>
    <w:rsid w:val="5F294F51"/>
    <w:rsid w:val="5F4B3119"/>
    <w:rsid w:val="5F5A7800"/>
    <w:rsid w:val="5F5D0D5A"/>
    <w:rsid w:val="5F5F4E16"/>
    <w:rsid w:val="5F64242D"/>
    <w:rsid w:val="5F645F89"/>
    <w:rsid w:val="5F702B80"/>
    <w:rsid w:val="5F7268F8"/>
    <w:rsid w:val="5F750196"/>
    <w:rsid w:val="5F906D7E"/>
    <w:rsid w:val="5F9745B0"/>
    <w:rsid w:val="5F9B4A6D"/>
    <w:rsid w:val="5FA34D03"/>
    <w:rsid w:val="5FA82319"/>
    <w:rsid w:val="5FAD16DE"/>
    <w:rsid w:val="5FAF36A8"/>
    <w:rsid w:val="5FB52C88"/>
    <w:rsid w:val="5FB77C38"/>
    <w:rsid w:val="5FBB0B6C"/>
    <w:rsid w:val="5FC829BC"/>
    <w:rsid w:val="5FD01870"/>
    <w:rsid w:val="5FD70E51"/>
    <w:rsid w:val="5FDC6467"/>
    <w:rsid w:val="5FE62E42"/>
    <w:rsid w:val="5FF90DC7"/>
    <w:rsid w:val="600D6620"/>
    <w:rsid w:val="60163727"/>
    <w:rsid w:val="60193217"/>
    <w:rsid w:val="60194FC5"/>
    <w:rsid w:val="601C2637"/>
    <w:rsid w:val="60283B02"/>
    <w:rsid w:val="602C2F4B"/>
    <w:rsid w:val="603E4A2C"/>
    <w:rsid w:val="60634492"/>
    <w:rsid w:val="60681AA9"/>
    <w:rsid w:val="606D5311"/>
    <w:rsid w:val="607448F1"/>
    <w:rsid w:val="607E751E"/>
    <w:rsid w:val="608508AD"/>
    <w:rsid w:val="60917251"/>
    <w:rsid w:val="60964868"/>
    <w:rsid w:val="60AA20C1"/>
    <w:rsid w:val="60B42F40"/>
    <w:rsid w:val="60DC2C4D"/>
    <w:rsid w:val="60E47381"/>
    <w:rsid w:val="60E750C3"/>
    <w:rsid w:val="60EC6ACC"/>
    <w:rsid w:val="60EF5D26"/>
    <w:rsid w:val="60F33A68"/>
    <w:rsid w:val="60F5158E"/>
    <w:rsid w:val="60F90953"/>
    <w:rsid w:val="61025A59"/>
    <w:rsid w:val="610619ED"/>
    <w:rsid w:val="61112140"/>
    <w:rsid w:val="61151C31"/>
    <w:rsid w:val="611B6B1B"/>
    <w:rsid w:val="611D6D37"/>
    <w:rsid w:val="6129748A"/>
    <w:rsid w:val="61300818"/>
    <w:rsid w:val="613A51F3"/>
    <w:rsid w:val="61406582"/>
    <w:rsid w:val="614B11AE"/>
    <w:rsid w:val="61646714"/>
    <w:rsid w:val="61693D2A"/>
    <w:rsid w:val="6171498D"/>
    <w:rsid w:val="617418F1"/>
    <w:rsid w:val="61891CD7"/>
    <w:rsid w:val="618B3CA1"/>
    <w:rsid w:val="618D2EF4"/>
    <w:rsid w:val="618F19E3"/>
    <w:rsid w:val="61973278"/>
    <w:rsid w:val="61B2747F"/>
    <w:rsid w:val="61B96A60"/>
    <w:rsid w:val="61C34F67"/>
    <w:rsid w:val="61C827FF"/>
    <w:rsid w:val="61C96577"/>
    <w:rsid w:val="61CE3B8D"/>
    <w:rsid w:val="61D175F9"/>
    <w:rsid w:val="61DB4C28"/>
    <w:rsid w:val="61E37639"/>
    <w:rsid w:val="61EA6C19"/>
    <w:rsid w:val="61F77588"/>
    <w:rsid w:val="61F950AE"/>
    <w:rsid w:val="620677CB"/>
    <w:rsid w:val="620C3034"/>
    <w:rsid w:val="620F042E"/>
    <w:rsid w:val="621243C2"/>
    <w:rsid w:val="621A6DD3"/>
    <w:rsid w:val="623B56C7"/>
    <w:rsid w:val="623B7475"/>
    <w:rsid w:val="62436329"/>
    <w:rsid w:val="62481B92"/>
    <w:rsid w:val="625B7B17"/>
    <w:rsid w:val="626A5FAC"/>
    <w:rsid w:val="626D637B"/>
    <w:rsid w:val="62740BD9"/>
    <w:rsid w:val="627666FF"/>
    <w:rsid w:val="627D7A8D"/>
    <w:rsid w:val="628C1A7E"/>
    <w:rsid w:val="62957AAD"/>
    <w:rsid w:val="62970423"/>
    <w:rsid w:val="629B7F14"/>
    <w:rsid w:val="62A167FD"/>
    <w:rsid w:val="62A72D5C"/>
    <w:rsid w:val="62AA45FB"/>
    <w:rsid w:val="62BF00A6"/>
    <w:rsid w:val="62DD22DA"/>
    <w:rsid w:val="62EC18F5"/>
    <w:rsid w:val="62EE098B"/>
    <w:rsid w:val="62F12229"/>
    <w:rsid w:val="62F835B8"/>
    <w:rsid w:val="630006BE"/>
    <w:rsid w:val="63065CD5"/>
    <w:rsid w:val="630A5099"/>
    <w:rsid w:val="630B32EB"/>
    <w:rsid w:val="631D4DCC"/>
    <w:rsid w:val="632779F9"/>
    <w:rsid w:val="632D05E2"/>
    <w:rsid w:val="63416D0D"/>
    <w:rsid w:val="635270C9"/>
    <w:rsid w:val="63536A40"/>
    <w:rsid w:val="635602DE"/>
    <w:rsid w:val="63640C4D"/>
    <w:rsid w:val="637529E0"/>
    <w:rsid w:val="63981255"/>
    <w:rsid w:val="639A4E6A"/>
    <w:rsid w:val="639C43C2"/>
    <w:rsid w:val="639F1C85"/>
    <w:rsid w:val="639F57E1"/>
    <w:rsid w:val="63A270C5"/>
    <w:rsid w:val="63AE67B1"/>
    <w:rsid w:val="63B03E93"/>
    <w:rsid w:val="63B91534"/>
    <w:rsid w:val="63C4349A"/>
    <w:rsid w:val="63CE4319"/>
    <w:rsid w:val="63E678B4"/>
    <w:rsid w:val="63EB4ECB"/>
    <w:rsid w:val="63FA6EBC"/>
    <w:rsid w:val="640B10C9"/>
    <w:rsid w:val="641066DF"/>
    <w:rsid w:val="64122457"/>
    <w:rsid w:val="64191A38"/>
    <w:rsid w:val="64264155"/>
    <w:rsid w:val="642B176B"/>
    <w:rsid w:val="642B52C7"/>
    <w:rsid w:val="642D103F"/>
    <w:rsid w:val="64326656"/>
    <w:rsid w:val="643B03A5"/>
    <w:rsid w:val="643E4FFA"/>
    <w:rsid w:val="64405216"/>
    <w:rsid w:val="64430863"/>
    <w:rsid w:val="6445282D"/>
    <w:rsid w:val="64552344"/>
    <w:rsid w:val="645666EE"/>
    <w:rsid w:val="645C7B76"/>
    <w:rsid w:val="646F3406"/>
    <w:rsid w:val="64742D97"/>
    <w:rsid w:val="64947310"/>
    <w:rsid w:val="64994927"/>
    <w:rsid w:val="649B2A12"/>
    <w:rsid w:val="64A05CB5"/>
    <w:rsid w:val="64A84B6A"/>
    <w:rsid w:val="64B17EC2"/>
    <w:rsid w:val="64B60462"/>
    <w:rsid w:val="64B61035"/>
    <w:rsid w:val="64C23E7D"/>
    <w:rsid w:val="64C25C2B"/>
    <w:rsid w:val="64C71494"/>
    <w:rsid w:val="64CC6AAA"/>
    <w:rsid w:val="64CD637E"/>
    <w:rsid w:val="64D05AAE"/>
    <w:rsid w:val="64D12312"/>
    <w:rsid w:val="64DE67DD"/>
    <w:rsid w:val="64DF4A2F"/>
    <w:rsid w:val="65046244"/>
    <w:rsid w:val="651D7306"/>
    <w:rsid w:val="65240694"/>
    <w:rsid w:val="652C579B"/>
    <w:rsid w:val="652F2B95"/>
    <w:rsid w:val="65384140"/>
    <w:rsid w:val="653C55F0"/>
    <w:rsid w:val="65424FBE"/>
    <w:rsid w:val="654C3747"/>
    <w:rsid w:val="655645C6"/>
    <w:rsid w:val="6558033E"/>
    <w:rsid w:val="655A40B6"/>
    <w:rsid w:val="655B7E2E"/>
    <w:rsid w:val="655D7702"/>
    <w:rsid w:val="655F16CC"/>
    <w:rsid w:val="655F347A"/>
    <w:rsid w:val="655F59C8"/>
    <w:rsid w:val="656071F2"/>
    <w:rsid w:val="65624D19"/>
    <w:rsid w:val="656F7435"/>
    <w:rsid w:val="65815194"/>
    <w:rsid w:val="65876E75"/>
    <w:rsid w:val="659A6BA8"/>
    <w:rsid w:val="659F5F6D"/>
    <w:rsid w:val="65AD68DC"/>
    <w:rsid w:val="65AE61B0"/>
    <w:rsid w:val="65DC4ACB"/>
    <w:rsid w:val="65DE4CE7"/>
    <w:rsid w:val="66083B12"/>
    <w:rsid w:val="66124991"/>
    <w:rsid w:val="661C136B"/>
    <w:rsid w:val="661F70AE"/>
    <w:rsid w:val="66320B8F"/>
    <w:rsid w:val="66383CCB"/>
    <w:rsid w:val="66410DD2"/>
    <w:rsid w:val="66415276"/>
    <w:rsid w:val="664D7777"/>
    <w:rsid w:val="665705F5"/>
    <w:rsid w:val="665723A3"/>
    <w:rsid w:val="66662D60"/>
    <w:rsid w:val="66666A8A"/>
    <w:rsid w:val="66756CCD"/>
    <w:rsid w:val="66772A46"/>
    <w:rsid w:val="667B683E"/>
    <w:rsid w:val="667C62AE"/>
    <w:rsid w:val="667E4D5B"/>
    <w:rsid w:val="66AB26EF"/>
    <w:rsid w:val="66BE68C6"/>
    <w:rsid w:val="66CC2D91"/>
    <w:rsid w:val="66D63C10"/>
    <w:rsid w:val="66DB77C1"/>
    <w:rsid w:val="66E520A5"/>
    <w:rsid w:val="66EA3218"/>
    <w:rsid w:val="6716225F"/>
    <w:rsid w:val="6732696D"/>
    <w:rsid w:val="673B72C9"/>
    <w:rsid w:val="673D77EB"/>
    <w:rsid w:val="674C7A2E"/>
    <w:rsid w:val="67650AF0"/>
    <w:rsid w:val="676B045C"/>
    <w:rsid w:val="678371C8"/>
    <w:rsid w:val="67955879"/>
    <w:rsid w:val="679A2E90"/>
    <w:rsid w:val="67A61834"/>
    <w:rsid w:val="67AE693B"/>
    <w:rsid w:val="67B101D9"/>
    <w:rsid w:val="67B6759E"/>
    <w:rsid w:val="67BD092C"/>
    <w:rsid w:val="67C2658F"/>
    <w:rsid w:val="67C63C85"/>
    <w:rsid w:val="67D16185"/>
    <w:rsid w:val="67DA7730"/>
    <w:rsid w:val="67FD341E"/>
    <w:rsid w:val="67FD6F7B"/>
    <w:rsid w:val="68012F0F"/>
    <w:rsid w:val="68061D81"/>
    <w:rsid w:val="680E1188"/>
    <w:rsid w:val="68137D6E"/>
    <w:rsid w:val="681C1AF7"/>
    <w:rsid w:val="682B1D3A"/>
    <w:rsid w:val="682B3AE8"/>
    <w:rsid w:val="682C1C91"/>
    <w:rsid w:val="682D5AB2"/>
    <w:rsid w:val="682E35D8"/>
    <w:rsid w:val="682E5386"/>
    <w:rsid w:val="683055A2"/>
    <w:rsid w:val="683926A8"/>
    <w:rsid w:val="68401C47"/>
    <w:rsid w:val="68437083"/>
    <w:rsid w:val="685272C6"/>
    <w:rsid w:val="68550B65"/>
    <w:rsid w:val="68692862"/>
    <w:rsid w:val="68694610"/>
    <w:rsid w:val="687234C5"/>
    <w:rsid w:val="68752FB5"/>
    <w:rsid w:val="687A4A6F"/>
    <w:rsid w:val="687C2595"/>
    <w:rsid w:val="688C4491"/>
    <w:rsid w:val="68925915"/>
    <w:rsid w:val="689773CF"/>
    <w:rsid w:val="689B6EBF"/>
    <w:rsid w:val="689D5CFC"/>
    <w:rsid w:val="689E250C"/>
    <w:rsid w:val="68A67612"/>
    <w:rsid w:val="68AB4C28"/>
    <w:rsid w:val="68C1435D"/>
    <w:rsid w:val="68C31F72"/>
    <w:rsid w:val="68C33372"/>
    <w:rsid w:val="68CD1043"/>
    <w:rsid w:val="68D128E1"/>
    <w:rsid w:val="68D20407"/>
    <w:rsid w:val="68D51FA4"/>
    <w:rsid w:val="68DB72BC"/>
    <w:rsid w:val="68EF0DFD"/>
    <w:rsid w:val="68F20AA9"/>
    <w:rsid w:val="69054339"/>
    <w:rsid w:val="690B3872"/>
    <w:rsid w:val="691722BE"/>
    <w:rsid w:val="691C1682"/>
    <w:rsid w:val="693D7F76"/>
    <w:rsid w:val="69431305"/>
    <w:rsid w:val="6945507D"/>
    <w:rsid w:val="694E3F32"/>
    <w:rsid w:val="694F7CAA"/>
    <w:rsid w:val="6953779A"/>
    <w:rsid w:val="695B664F"/>
    <w:rsid w:val="69777119"/>
    <w:rsid w:val="698E432E"/>
    <w:rsid w:val="69BB533F"/>
    <w:rsid w:val="69CB5582"/>
    <w:rsid w:val="69CC4E56"/>
    <w:rsid w:val="69DA57C5"/>
    <w:rsid w:val="69E0792C"/>
    <w:rsid w:val="69F0323B"/>
    <w:rsid w:val="69F525FF"/>
    <w:rsid w:val="6A0171F6"/>
    <w:rsid w:val="6A0740E0"/>
    <w:rsid w:val="6A0942FC"/>
    <w:rsid w:val="6A0B1E23"/>
    <w:rsid w:val="6A0B3BD1"/>
    <w:rsid w:val="6A0D5B9B"/>
    <w:rsid w:val="6A10568B"/>
    <w:rsid w:val="6A130CD7"/>
    <w:rsid w:val="6A1A3E14"/>
    <w:rsid w:val="6A276272"/>
    <w:rsid w:val="6A2A4826"/>
    <w:rsid w:val="6A503CD9"/>
    <w:rsid w:val="6A721EA2"/>
    <w:rsid w:val="6A723C50"/>
    <w:rsid w:val="6A892D47"/>
    <w:rsid w:val="6A8B2F63"/>
    <w:rsid w:val="6A8B6AC0"/>
    <w:rsid w:val="6A8D0A8A"/>
    <w:rsid w:val="6A9A4F55"/>
    <w:rsid w:val="6A9F07BD"/>
    <w:rsid w:val="6AA10091"/>
    <w:rsid w:val="6AA20AE2"/>
    <w:rsid w:val="6AA67D9D"/>
    <w:rsid w:val="6AC67AF8"/>
    <w:rsid w:val="6ACA583A"/>
    <w:rsid w:val="6ADA67F0"/>
    <w:rsid w:val="6AE34B4E"/>
    <w:rsid w:val="6AF91C7B"/>
    <w:rsid w:val="6B1E5B86"/>
    <w:rsid w:val="6B217424"/>
    <w:rsid w:val="6B480E55"/>
    <w:rsid w:val="6B486350"/>
    <w:rsid w:val="6B4C1713"/>
    <w:rsid w:val="6B6C4B43"/>
    <w:rsid w:val="6B785296"/>
    <w:rsid w:val="6B7D28AC"/>
    <w:rsid w:val="6B80239C"/>
    <w:rsid w:val="6B8974A3"/>
    <w:rsid w:val="6B910106"/>
    <w:rsid w:val="6BAF2C82"/>
    <w:rsid w:val="6BBD2C45"/>
    <w:rsid w:val="6BC524A5"/>
    <w:rsid w:val="6BD46244"/>
    <w:rsid w:val="6BD821D8"/>
    <w:rsid w:val="6BE02E3B"/>
    <w:rsid w:val="6BE97F42"/>
    <w:rsid w:val="6BFB1A23"/>
    <w:rsid w:val="6C0703C8"/>
    <w:rsid w:val="6C0E79A8"/>
    <w:rsid w:val="6C164AAF"/>
    <w:rsid w:val="6C1B03AA"/>
    <w:rsid w:val="6C1F5711"/>
    <w:rsid w:val="6C256AA0"/>
    <w:rsid w:val="6C2947E2"/>
    <w:rsid w:val="6C2E3BA6"/>
    <w:rsid w:val="6C354096"/>
    <w:rsid w:val="6C354F35"/>
    <w:rsid w:val="6C376EFF"/>
    <w:rsid w:val="6C4038DA"/>
    <w:rsid w:val="6C450EF0"/>
    <w:rsid w:val="6C497A46"/>
    <w:rsid w:val="6C4A6B37"/>
    <w:rsid w:val="6C691465"/>
    <w:rsid w:val="6C731F01"/>
    <w:rsid w:val="6C8B2DA7"/>
    <w:rsid w:val="6C937EAD"/>
    <w:rsid w:val="6C951E77"/>
    <w:rsid w:val="6C9A748E"/>
    <w:rsid w:val="6CA67BE1"/>
    <w:rsid w:val="6CA755A1"/>
    <w:rsid w:val="6CB6720B"/>
    <w:rsid w:val="6CB93DB8"/>
    <w:rsid w:val="6CBE13CE"/>
    <w:rsid w:val="6CDC1854"/>
    <w:rsid w:val="6CDD437B"/>
    <w:rsid w:val="6CED104F"/>
    <w:rsid w:val="6CF162F2"/>
    <w:rsid w:val="6CFC39A7"/>
    <w:rsid w:val="6D1159A2"/>
    <w:rsid w:val="6D2902B8"/>
    <w:rsid w:val="6D34343E"/>
    <w:rsid w:val="6D3C6797"/>
    <w:rsid w:val="6D437B25"/>
    <w:rsid w:val="6D5238C5"/>
    <w:rsid w:val="6D5B09CB"/>
    <w:rsid w:val="6D6016CB"/>
    <w:rsid w:val="6D633D24"/>
    <w:rsid w:val="6D6C6555"/>
    <w:rsid w:val="6D821BCD"/>
    <w:rsid w:val="6D9E2FAE"/>
    <w:rsid w:val="6D9E4D5C"/>
    <w:rsid w:val="6DC0127B"/>
    <w:rsid w:val="6DC522E8"/>
    <w:rsid w:val="6DDE33AA"/>
    <w:rsid w:val="6DE54739"/>
    <w:rsid w:val="6DF66946"/>
    <w:rsid w:val="6DFA6436"/>
    <w:rsid w:val="6DFB3F5C"/>
    <w:rsid w:val="6E070B53"/>
    <w:rsid w:val="6E11552E"/>
    <w:rsid w:val="6E13574A"/>
    <w:rsid w:val="6E217E67"/>
    <w:rsid w:val="6E292877"/>
    <w:rsid w:val="6E2A65EF"/>
    <w:rsid w:val="6E3A4A84"/>
    <w:rsid w:val="6E4A0A40"/>
    <w:rsid w:val="6E4F6056"/>
    <w:rsid w:val="6E535B46"/>
    <w:rsid w:val="6E71421E"/>
    <w:rsid w:val="6E7D0E15"/>
    <w:rsid w:val="6E7F693B"/>
    <w:rsid w:val="6E8B1784"/>
    <w:rsid w:val="6E8C2E06"/>
    <w:rsid w:val="6E9D3265"/>
    <w:rsid w:val="6E9F0D8B"/>
    <w:rsid w:val="6EA14B04"/>
    <w:rsid w:val="6EB86DBB"/>
    <w:rsid w:val="6ECC76A7"/>
    <w:rsid w:val="6ED24CBD"/>
    <w:rsid w:val="6EDF562C"/>
    <w:rsid w:val="6EE27AEB"/>
    <w:rsid w:val="6EF03395"/>
    <w:rsid w:val="6EFA06B8"/>
    <w:rsid w:val="6F062BB9"/>
    <w:rsid w:val="6F174DC6"/>
    <w:rsid w:val="6F1B2B08"/>
    <w:rsid w:val="6F225EF0"/>
    <w:rsid w:val="6F241291"/>
    <w:rsid w:val="6F2E3EBD"/>
    <w:rsid w:val="6F3B1A8C"/>
    <w:rsid w:val="6F3E05A4"/>
    <w:rsid w:val="6F3E2352"/>
    <w:rsid w:val="6F40683E"/>
    <w:rsid w:val="6F423F38"/>
    <w:rsid w:val="6F435BCA"/>
    <w:rsid w:val="6F4A6F49"/>
    <w:rsid w:val="6F5B1156"/>
    <w:rsid w:val="6F6A3147"/>
    <w:rsid w:val="6F6F69B0"/>
    <w:rsid w:val="6F8C57B4"/>
    <w:rsid w:val="6F914B78"/>
    <w:rsid w:val="6F9208F0"/>
    <w:rsid w:val="6F926B42"/>
    <w:rsid w:val="6FA7439C"/>
    <w:rsid w:val="6FAB550E"/>
    <w:rsid w:val="6FB42615"/>
    <w:rsid w:val="6FB6638D"/>
    <w:rsid w:val="6FC30AAA"/>
    <w:rsid w:val="6FC82564"/>
    <w:rsid w:val="6FCA0EA6"/>
    <w:rsid w:val="6FDC3986"/>
    <w:rsid w:val="6FE27182"/>
    <w:rsid w:val="6FE4739E"/>
    <w:rsid w:val="6FED5B27"/>
    <w:rsid w:val="6FFE7D34"/>
    <w:rsid w:val="701557A9"/>
    <w:rsid w:val="70187047"/>
    <w:rsid w:val="70253512"/>
    <w:rsid w:val="702C2AF3"/>
    <w:rsid w:val="70333E81"/>
    <w:rsid w:val="7040659E"/>
    <w:rsid w:val="706434B3"/>
    <w:rsid w:val="706758D9"/>
    <w:rsid w:val="70871AD7"/>
    <w:rsid w:val="708E2E66"/>
    <w:rsid w:val="70904E30"/>
    <w:rsid w:val="709F71D7"/>
    <w:rsid w:val="70A703CB"/>
    <w:rsid w:val="70AD3C34"/>
    <w:rsid w:val="70BD199D"/>
    <w:rsid w:val="70C1148D"/>
    <w:rsid w:val="70C1323B"/>
    <w:rsid w:val="70CC1BE0"/>
    <w:rsid w:val="70CE5958"/>
    <w:rsid w:val="70E376D8"/>
    <w:rsid w:val="70E60EF4"/>
    <w:rsid w:val="70ED4030"/>
    <w:rsid w:val="70EE5FFA"/>
    <w:rsid w:val="70F51137"/>
    <w:rsid w:val="7104581E"/>
    <w:rsid w:val="71080E6A"/>
    <w:rsid w:val="711041C2"/>
    <w:rsid w:val="71105F71"/>
    <w:rsid w:val="71117E32"/>
    <w:rsid w:val="71145A61"/>
    <w:rsid w:val="711772FF"/>
    <w:rsid w:val="711F4406"/>
    <w:rsid w:val="712437CA"/>
    <w:rsid w:val="713954C7"/>
    <w:rsid w:val="713F6856"/>
    <w:rsid w:val="714251A9"/>
    <w:rsid w:val="71535E5D"/>
    <w:rsid w:val="71593474"/>
    <w:rsid w:val="715A71EC"/>
    <w:rsid w:val="717A147D"/>
    <w:rsid w:val="71B46975"/>
    <w:rsid w:val="71B57D64"/>
    <w:rsid w:val="71BB5EDC"/>
    <w:rsid w:val="71C11019"/>
    <w:rsid w:val="71C13871"/>
    <w:rsid w:val="71C31235"/>
    <w:rsid w:val="71C64881"/>
    <w:rsid w:val="71CB1E97"/>
    <w:rsid w:val="71D13952"/>
    <w:rsid w:val="71E11323"/>
    <w:rsid w:val="71E60A7F"/>
    <w:rsid w:val="71EC253A"/>
    <w:rsid w:val="71F16A95"/>
    <w:rsid w:val="71F72C8D"/>
    <w:rsid w:val="720A0C12"/>
    <w:rsid w:val="720C2BDC"/>
    <w:rsid w:val="72271884"/>
    <w:rsid w:val="72331F17"/>
    <w:rsid w:val="72347A3D"/>
    <w:rsid w:val="72361A07"/>
    <w:rsid w:val="723637B5"/>
    <w:rsid w:val="723D2D95"/>
    <w:rsid w:val="724D0AFE"/>
    <w:rsid w:val="725620A9"/>
    <w:rsid w:val="725B321B"/>
    <w:rsid w:val="726E73F3"/>
    <w:rsid w:val="72800ED4"/>
    <w:rsid w:val="728E539F"/>
    <w:rsid w:val="72907369"/>
    <w:rsid w:val="72916C3D"/>
    <w:rsid w:val="72936E59"/>
    <w:rsid w:val="729E1648"/>
    <w:rsid w:val="72AC1CC9"/>
    <w:rsid w:val="72C15774"/>
    <w:rsid w:val="72C40DC1"/>
    <w:rsid w:val="72C93215"/>
    <w:rsid w:val="72D51220"/>
    <w:rsid w:val="72F86CBC"/>
    <w:rsid w:val="72FD2525"/>
    <w:rsid w:val="73005EB5"/>
    <w:rsid w:val="73133AF6"/>
    <w:rsid w:val="73221F8B"/>
    <w:rsid w:val="732E26DE"/>
    <w:rsid w:val="733223B6"/>
    <w:rsid w:val="734939BC"/>
    <w:rsid w:val="73571C35"/>
    <w:rsid w:val="73620071"/>
    <w:rsid w:val="73692554"/>
    <w:rsid w:val="736B748E"/>
    <w:rsid w:val="736D3206"/>
    <w:rsid w:val="736E6F7E"/>
    <w:rsid w:val="73754A66"/>
    <w:rsid w:val="737C78ED"/>
    <w:rsid w:val="73813156"/>
    <w:rsid w:val="73814F04"/>
    <w:rsid w:val="73830C7C"/>
    <w:rsid w:val="7384216F"/>
    <w:rsid w:val="7399224D"/>
    <w:rsid w:val="739D1DC6"/>
    <w:rsid w:val="73A624F6"/>
    <w:rsid w:val="73B40E35"/>
    <w:rsid w:val="73B9644B"/>
    <w:rsid w:val="73C13552"/>
    <w:rsid w:val="73C3551C"/>
    <w:rsid w:val="73CA68AB"/>
    <w:rsid w:val="73E7745D"/>
    <w:rsid w:val="73E84F83"/>
    <w:rsid w:val="74150907"/>
    <w:rsid w:val="74212243"/>
    <w:rsid w:val="74324450"/>
    <w:rsid w:val="743B1CE7"/>
    <w:rsid w:val="74424693"/>
    <w:rsid w:val="744E128A"/>
    <w:rsid w:val="745D771F"/>
    <w:rsid w:val="745F0A3D"/>
    <w:rsid w:val="745F3497"/>
    <w:rsid w:val="746A3AAE"/>
    <w:rsid w:val="746E5488"/>
    <w:rsid w:val="74730CF0"/>
    <w:rsid w:val="74822D12"/>
    <w:rsid w:val="7487479C"/>
    <w:rsid w:val="7487654A"/>
    <w:rsid w:val="748E78D8"/>
    <w:rsid w:val="749F1AE5"/>
    <w:rsid w:val="74A013B9"/>
    <w:rsid w:val="74A7099A"/>
    <w:rsid w:val="74B44E65"/>
    <w:rsid w:val="74B51309"/>
    <w:rsid w:val="74B84955"/>
    <w:rsid w:val="74B86703"/>
    <w:rsid w:val="74CB28DA"/>
    <w:rsid w:val="74E474F8"/>
    <w:rsid w:val="74E53270"/>
    <w:rsid w:val="74E97E9C"/>
    <w:rsid w:val="74EB75B6"/>
    <w:rsid w:val="74EE481B"/>
    <w:rsid w:val="74F160B9"/>
    <w:rsid w:val="74F91BBA"/>
    <w:rsid w:val="750556C0"/>
    <w:rsid w:val="75093403"/>
    <w:rsid w:val="75137DDD"/>
    <w:rsid w:val="751853F4"/>
    <w:rsid w:val="751B4EE4"/>
    <w:rsid w:val="751D0C5C"/>
    <w:rsid w:val="752161F5"/>
    <w:rsid w:val="75322959"/>
    <w:rsid w:val="75461056"/>
    <w:rsid w:val="75510906"/>
    <w:rsid w:val="755328D0"/>
    <w:rsid w:val="755E374E"/>
    <w:rsid w:val="7561323F"/>
    <w:rsid w:val="75736ACE"/>
    <w:rsid w:val="75882579"/>
    <w:rsid w:val="758962F1"/>
    <w:rsid w:val="75970A0E"/>
    <w:rsid w:val="75A4312B"/>
    <w:rsid w:val="75A60C51"/>
    <w:rsid w:val="75AE2186"/>
    <w:rsid w:val="75B74C0D"/>
    <w:rsid w:val="75BC2223"/>
    <w:rsid w:val="75C5557C"/>
    <w:rsid w:val="75C8506C"/>
    <w:rsid w:val="75CA2B92"/>
    <w:rsid w:val="75D02172"/>
    <w:rsid w:val="75E1612D"/>
    <w:rsid w:val="760A5684"/>
    <w:rsid w:val="761958C7"/>
    <w:rsid w:val="761D53B8"/>
    <w:rsid w:val="76284324"/>
    <w:rsid w:val="762C6819"/>
    <w:rsid w:val="762D1373"/>
    <w:rsid w:val="762D19E3"/>
    <w:rsid w:val="763149BF"/>
    <w:rsid w:val="76366479"/>
    <w:rsid w:val="76432944"/>
    <w:rsid w:val="76487F5B"/>
    <w:rsid w:val="76780840"/>
    <w:rsid w:val="7683109C"/>
    <w:rsid w:val="76836B12"/>
    <w:rsid w:val="76880357"/>
    <w:rsid w:val="7696032B"/>
    <w:rsid w:val="76960CC6"/>
    <w:rsid w:val="76AC673B"/>
    <w:rsid w:val="76B15B00"/>
    <w:rsid w:val="76BF279D"/>
    <w:rsid w:val="76C27D0D"/>
    <w:rsid w:val="76CA6BC2"/>
    <w:rsid w:val="76D17F50"/>
    <w:rsid w:val="76D812DE"/>
    <w:rsid w:val="76F53C3E"/>
    <w:rsid w:val="7708107F"/>
    <w:rsid w:val="770E4D00"/>
    <w:rsid w:val="77132317"/>
    <w:rsid w:val="77161E07"/>
    <w:rsid w:val="7718792D"/>
    <w:rsid w:val="771A18F7"/>
    <w:rsid w:val="77212C85"/>
    <w:rsid w:val="77356731"/>
    <w:rsid w:val="77366005"/>
    <w:rsid w:val="773D7394"/>
    <w:rsid w:val="77456248"/>
    <w:rsid w:val="77521091"/>
    <w:rsid w:val="775841CD"/>
    <w:rsid w:val="775A1CF3"/>
    <w:rsid w:val="77644920"/>
    <w:rsid w:val="77686276"/>
    <w:rsid w:val="7783749C"/>
    <w:rsid w:val="77843214"/>
    <w:rsid w:val="779A47E6"/>
    <w:rsid w:val="77A458E3"/>
    <w:rsid w:val="77A6318B"/>
    <w:rsid w:val="77B07B65"/>
    <w:rsid w:val="77B81E62"/>
    <w:rsid w:val="77BE04D4"/>
    <w:rsid w:val="77C27899"/>
    <w:rsid w:val="77D84510"/>
    <w:rsid w:val="77ED0DBA"/>
    <w:rsid w:val="77F959B0"/>
    <w:rsid w:val="7806114E"/>
    <w:rsid w:val="78085BF3"/>
    <w:rsid w:val="7820118F"/>
    <w:rsid w:val="7826607A"/>
    <w:rsid w:val="782A3DBC"/>
    <w:rsid w:val="782A5B6A"/>
    <w:rsid w:val="783B1395"/>
    <w:rsid w:val="783E1615"/>
    <w:rsid w:val="78484242"/>
    <w:rsid w:val="784B5AE0"/>
    <w:rsid w:val="784B788E"/>
    <w:rsid w:val="7860333A"/>
    <w:rsid w:val="786D5A56"/>
    <w:rsid w:val="78725B8D"/>
    <w:rsid w:val="78750782"/>
    <w:rsid w:val="788D7EA7"/>
    <w:rsid w:val="7898331C"/>
    <w:rsid w:val="78992CEF"/>
    <w:rsid w:val="78A7540C"/>
    <w:rsid w:val="78AD22F7"/>
    <w:rsid w:val="78AF10BF"/>
    <w:rsid w:val="78B10039"/>
    <w:rsid w:val="78C760A6"/>
    <w:rsid w:val="78C80EDF"/>
    <w:rsid w:val="78DE0702"/>
    <w:rsid w:val="78E33F6B"/>
    <w:rsid w:val="78E71CAD"/>
    <w:rsid w:val="78E81581"/>
    <w:rsid w:val="78EE6B97"/>
    <w:rsid w:val="78EF46BD"/>
    <w:rsid w:val="78F47B2C"/>
    <w:rsid w:val="790264A7"/>
    <w:rsid w:val="79091C23"/>
    <w:rsid w:val="790E548B"/>
    <w:rsid w:val="790F6B0E"/>
    <w:rsid w:val="792E3438"/>
    <w:rsid w:val="793842B6"/>
    <w:rsid w:val="793D367B"/>
    <w:rsid w:val="793F3897"/>
    <w:rsid w:val="79442C5B"/>
    <w:rsid w:val="794762A8"/>
    <w:rsid w:val="794C7D62"/>
    <w:rsid w:val="794F5DED"/>
    <w:rsid w:val="795D3D1D"/>
    <w:rsid w:val="795D4447"/>
    <w:rsid w:val="796B01E8"/>
    <w:rsid w:val="7977378C"/>
    <w:rsid w:val="797C0647"/>
    <w:rsid w:val="798219D5"/>
    <w:rsid w:val="79870D9A"/>
    <w:rsid w:val="798B088A"/>
    <w:rsid w:val="798E037A"/>
    <w:rsid w:val="799C4845"/>
    <w:rsid w:val="79A61220"/>
    <w:rsid w:val="79A951B4"/>
    <w:rsid w:val="79B3393D"/>
    <w:rsid w:val="79B778D1"/>
    <w:rsid w:val="79D815F5"/>
    <w:rsid w:val="79DF0BD6"/>
    <w:rsid w:val="79DF2984"/>
    <w:rsid w:val="7A106FE1"/>
    <w:rsid w:val="7A1A39BC"/>
    <w:rsid w:val="7A266805"/>
    <w:rsid w:val="7A320D06"/>
    <w:rsid w:val="7A3C1B84"/>
    <w:rsid w:val="7A401675"/>
    <w:rsid w:val="7A4153ED"/>
    <w:rsid w:val="7A440A39"/>
    <w:rsid w:val="7A684727"/>
    <w:rsid w:val="7A6C06BC"/>
    <w:rsid w:val="7A6D4434"/>
    <w:rsid w:val="7A715CD2"/>
    <w:rsid w:val="7A7830A3"/>
    <w:rsid w:val="7A7C4677"/>
    <w:rsid w:val="7A7E3F4B"/>
    <w:rsid w:val="7A811C8D"/>
    <w:rsid w:val="7A8344D9"/>
    <w:rsid w:val="7A910122"/>
    <w:rsid w:val="7AA37E55"/>
    <w:rsid w:val="7AAC0AB8"/>
    <w:rsid w:val="7AAD65DE"/>
    <w:rsid w:val="7AB404E5"/>
    <w:rsid w:val="7AB756AF"/>
    <w:rsid w:val="7AC2652D"/>
    <w:rsid w:val="7AC83418"/>
    <w:rsid w:val="7AC9522D"/>
    <w:rsid w:val="7ACF0C4A"/>
    <w:rsid w:val="7AD24297"/>
    <w:rsid w:val="7AE2097E"/>
    <w:rsid w:val="7AE26D8B"/>
    <w:rsid w:val="7AED2E7F"/>
    <w:rsid w:val="7AEF2531"/>
    <w:rsid w:val="7AF34939"/>
    <w:rsid w:val="7AF661D7"/>
    <w:rsid w:val="7B0703E4"/>
    <w:rsid w:val="7B191EC6"/>
    <w:rsid w:val="7B2C39A7"/>
    <w:rsid w:val="7B3867F0"/>
    <w:rsid w:val="7B430CF1"/>
    <w:rsid w:val="7B51102C"/>
    <w:rsid w:val="7B551150"/>
    <w:rsid w:val="7B5F1FCE"/>
    <w:rsid w:val="7B6C46EB"/>
    <w:rsid w:val="7B6E2211"/>
    <w:rsid w:val="7B6E3FBF"/>
    <w:rsid w:val="7B6F1AE6"/>
    <w:rsid w:val="7B7D06A6"/>
    <w:rsid w:val="7B933A26"/>
    <w:rsid w:val="7B9A1258"/>
    <w:rsid w:val="7B9F686F"/>
    <w:rsid w:val="7BA06143"/>
    <w:rsid w:val="7BA93249"/>
    <w:rsid w:val="7BB120FE"/>
    <w:rsid w:val="7BCE0F02"/>
    <w:rsid w:val="7BD04B54"/>
    <w:rsid w:val="7BD81D81"/>
    <w:rsid w:val="7BDA1655"/>
    <w:rsid w:val="7BDF57BA"/>
    <w:rsid w:val="7BF60FF9"/>
    <w:rsid w:val="7BFA3AA5"/>
    <w:rsid w:val="7C093CE8"/>
    <w:rsid w:val="7C1032C9"/>
    <w:rsid w:val="7C15268D"/>
    <w:rsid w:val="7C217284"/>
    <w:rsid w:val="7C2428D0"/>
    <w:rsid w:val="7C260B82"/>
    <w:rsid w:val="7C2D5C29"/>
    <w:rsid w:val="7C413482"/>
    <w:rsid w:val="7C572CA5"/>
    <w:rsid w:val="7C600E26"/>
    <w:rsid w:val="7C6255BF"/>
    <w:rsid w:val="7C6B6751"/>
    <w:rsid w:val="7C6F4493"/>
    <w:rsid w:val="7C725D24"/>
    <w:rsid w:val="7C7C270C"/>
    <w:rsid w:val="7C7F3FAA"/>
    <w:rsid w:val="7C8021FC"/>
    <w:rsid w:val="7C991510"/>
    <w:rsid w:val="7CA83501"/>
    <w:rsid w:val="7CAD0B17"/>
    <w:rsid w:val="7CAE0B4B"/>
    <w:rsid w:val="7CC85951"/>
    <w:rsid w:val="7CCA73CD"/>
    <w:rsid w:val="7CD75B94"/>
    <w:rsid w:val="7CDB38D7"/>
    <w:rsid w:val="7CF03860"/>
    <w:rsid w:val="7CF17FFD"/>
    <w:rsid w:val="7CF414B3"/>
    <w:rsid w:val="7CF44998"/>
    <w:rsid w:val="7CF6426C"/>
    <w:rsid w:val="7CF76237"/>
    <w:rsid w:val="7CF93D5D"/>
    <w:rsid w:val="7D0050EB"/>
    <w:rsid w:val="7D1172F8"/>
    <w:rsid w:val="7D1961AD"/>
    <w:rsid w:val="7D376633"/>
    <w:rsid w:val="7D3D633F"/>
    <w:rsid w:val="7D494CE4"/>
    <w:rsid w:val="7D4C20DE"/>
    <w:rsid w:val="7D4E40A8"/>
    <w:rsid w:val="7D580A83"/>
    <w:rsid w:val="7D5F15B7"/>
    <w:rsid w:val="7D657A65"/>
    <w:rsid w:val="7D6C452F"/>
    <w:rsid w:val="7D7004C3"/>
    <w:rsid w:val="7D706F68"/>
    <w:rsid w:val="7D7D04EA"/>
    <w:rsid w:val="7D851A94"/>
    <w:rsid w:val="7DA10339"/>
    <w:rsid w:val="7DA43CC8"/>
    <w:rsid w:val="7DAF266D"/>
    <w:rsid w:val="7DB14637"/>
    <w:rsid w:val="7DB3215D"/>
    <w:rsid w:val="7DBB1012"/>
    <w:rsid w:val="7DE22A43"/>
    <w:rsid w:val="7DF82266"/>
    <w:rsid w:val="7DF84014"/>
    <w:rsid w:val="7DFA5FDE"/>
    <w:rsid w:val="7E0429B9"/>
    <w:rsid w:val="7E096221"/>
    <w:rsid w:val="7E0B3D48"/>
    <w:rsid w:val="7E132BFC"/>
    <w:rsid w:val="7E19220E"/>
    <w:rsid w:val="7E235535"/>
    <w:rsid w:val="7E265025"/>
    <w:rsid w:val="7E2A6591"/>
    <w:rsid w:val="7E2B43EA"/>
    <w:rsid w:val="7E4B683A"/>
    <w:rsid w:val="7E584AB3"/>
    <w:rsid w:val="7E620F9A"/>
    <w:rsid w:val="7E7A0ECD"/>
    <w:rsid w:val="7E7F64E4"/>
    <w:rsid w:val="7E865AC4"/>
    <w:rsid w:val="7E8D29AE"/>
    <w:rsid w:val="7E955D07"/>
    <w:rsid w:val="7E957AB5"/>
    <w:rsid w:val="7E9C7095"/>
    <w:rsid w:val="7EA30424"/>
    <w:rsid w:val="7EA45F4A"/>
    <w:rsid w:val="7EA67F14"/>
    <w:rsid w:val="7EA90965"/>
    <w:rsid w:val="7EAA7A04"/>
    <w:rsid w:val="7EAF501B"/>
    <w:rsid w:val="7EBD79FB"/>
    <w:rsid w:val="7EC860DC"/>
    <w:rsid w:val="7ECB34D7"/>
    <w:rsid w:val="7ED56104"/>
    <w:rsid w:val="7EDF7549"/>
    <w:rsid w:val="7EE04E40"/>
    <w:rsid w:val="7EE34CC4"/>
    <w:rsid w:val="7EEC1DCB"/>
    <w:rsid w:val="7EF96296"/>
    <w:rsid w:val="7EFC5D86"/>
    <w:rsid w:val="7EFC7B34"/>
    <w:rsid w:val="7F0569E9"/>
    <w:rsid w:val="7F182BC0"/>
    <w:rsid w:val="7F250E39"/>
    <w:rsid w:val="7F286B7B"/>
    <w:rsid w:val="7F2C0419"/>
    <w:rsid w:val="7F546226"/>
    <w:rsid w:val="7F567244"/>
    <w:rsid w:val="7F791185"/>
    <w:rsid w:val="7F8C2C66"/>
    <w:rsid w:val="7F985AAF"/>
    <w:rsid w:val="7FB64187"/>
    <w:rsid w:val="7FBF128D"/>
    <w:rsid w:val="7FCA378E"/>
    <w:rsid w:val="7FCC5758"/>
    <w:rsid w:val="7FDE7BC8"/>
    <w:rsid w:val="7FE17456"/>
    <w:rsid w:val="7FE231CE"/>
    <w:rsid w:val="7FEC1957"/>
    <w:rsid w:val="7FED0200"/>
    <w:rsid w:val="7FF01447"/>
    <w:rsid w:val="7FF60A27"/>
    <w:rsid w:val="7FF8654D"/>
    <w:rsid w:val="EA792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1"/>
    <w:qFormat/>
    <w:uiPriority w:val="0"/>
    <w:pPr>
      <w:ind w:left="-641" w:firstLine="200" w:firstLineChars="200"/>
      <w:outlineLvl w:val="0"/>
    </w:pPr>
    <w:rPr>
      <w:rFonts w:ascii="Times New Roman" w:hAnsi="Times New Roman" w:eastAsia="方正仿宋_GBK"/>
      <w:b/>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0"/>
    <w:pPr>
      <w:ind w:firstLine="420" w:firstLineChars="200"/>
    </w:pPr>
  </w:style>
  <w:style w:type="paragraph" w:styleId="4">
    <w:name w:val="Body Text Indent"/>
    <w:basedOn w:val="1"/>
    <w:link w:val="19"/>
    <w:qFormat/>
    <w:uiPriority w:val="0"/>
    <w:pPr>
      <w:spacing w:line="600" w:lineRule="exact"/>
      <w:ind w:firstLine="632" w:firstLineChars="200"/>
    </w:pPr>
    <w:rPr>
      <w:rFonts w:ascii="仿宋_GB2312" w:hAnsi="仿宋_GB2312" w:eastAsia="仿宋_GB2312" w:cs="仿宋_GB2312"/>
      <w:spacing w:val="-2"/>
      <w:sz w:val="32"/>
      <w:szCs w:val="32"/>
    </w:rPr>
  </w:style>
  <w:style w:type="paragraph" w:styleId="5">
    <w:name w:val="Date"/>
    <w:basedOn w:val="1"/>
    <w:next w:val="1"/>
    <w:link w:val="13"/>
    <w:qFormat/>
    <w:uiPriority w:val="0"/>
    <w:pPr>
      <w:ind w:left="100" w:leftChars="2500"/>
    </w:p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0"/>
    <w:rPr>
      <w:kern w:val="2"/>
      <w:sz w:val="18"/>
      <w:szCs w:val="18"/>
    </w:rPr>
  </w:style>
  <w:style w:type="character" w:customStyle="1" w:styleId="12">
    <w:name w:val="页脚 字符"/>
    <w:basedOn w:val="10"/>
    <w:link w:val="6"/>
    <w:qFormat/>
    <w:uiPriority w:val="0"/>
    <w:rPr>
      <w:kern w:val="2"/>
      <w:sz w:val="18"/>
      <w:szCs w:val="18"/>
    </w:rPr>
  </w:style>
  <w:style w:type="character" w:customStyle="1" w:styleId="13">
    <w:name w:val="日期 字符"/>
    <w:basedOn w:val="10"/>
    <w:link w:val="5"/>
    <w:qFormat/>
    <w:uiPriority w:val="0"/>
    <w:rPr>
      <w:kern w:val="2"/>
      <w:sz w:val="21"/>
      <w:szCs w:val="24"/>
    </w:rPr>
  </w:style>
  <w:style w:type="paragraph" w:customStyle="1" w:styleId="14">
    <w:name w:val="标准文件_一级条标题"/>
    <w:basedOn w:val="15"/>
    <w:next w:val="16"/>
    <w:qFormat/>
    <w:uiPriority w:val="0"/>
    <w:pPr>
      <w:numPr>
        <w:ilvl w:val="2"/>
      </w:numPr>
      <w:spacing w:beforeLines="50" w:afterLines="50"/>
      <w:outlineLvl w:val="1"/>
    </w:pPr>
  </w:style>
  <w:style w:type="paragraph" w:customStyle="1" w:styleId="15">
    <w:name w:val="标准文件_章标题"/>
    <w:next w:val="16"/>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16">
    <w:name w:val="标准文件_段"/>
    <w:link w:val="1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7">
    <w:name w:val="List Paragraph"/>
    <w:basedOn w:val="1"/>
    <w:qFormat/>
    <w:uiPriority w:val="99"/>
    <w:pPr>
      <w:ind w:firstLine="420" w:firstLineChars="200"/>
    </w:pPr>
  </w:style>
  <w:style w:type="character" w:customStyle="1" w:styleId="18">
    <w:name w:val="标准文件_段 Char"/>
    <w:link w:val="16"/>
    <w:qFormat/>
    <w:uiPriority w:val="0"/>
    <w:rPr>
      <w:rFonts w:ascii="宋体"/>
      <w:sz w:val="21"/>
    </w:rPr>
  </w:style>
  <w:style w:type="character" w:customStyle="1" w:styleId="19">
    <w:name w:val="正文文本缩进 字符"/>
    <w:basedOn w:val="10"/>
    <w:link w:val="4"/>
    <w:qFormat/>
    <w:uiPriority w:val="0"/>
    <w:rPr>
      <w:rFonts w:ascii="仿宋_GB2312" w:hAnsi="仿宋_GB2312" w:eastAsia="仿宋_GB2312" w:cs="仿宋_GB2312"/>
      <w:spacing w:val="-2"/>
      <w:kern w:val="2"/>
      <w:sz w:val="32"/>
      <w:szCs w:val="32"/>
    </w:rPr>
  </w:style>
  <w:style w:type="character" w:customStyle="1" w:styleId="20">
    <w:name w:val="段 Char"/>
    <w:link w:val="21"/>
    <w:qFormat/>
    <w:uiPriority w:val="0"/>
    <w:rPr>
      <w:rFonts w:ascii="宋体"/>
      <w:sz w:val="21"/>
    </w:rPr>
  </w:style>
  <w:style w:type="paragraph" w:customStyle="1" w:styleId="21">
    <w:name w:val="段"/>
    <w:link w:val="2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styleId="22">
    <w:name w:val="Placeholder Text"/>
    <w:basedOn w:val="10"/>
    <w:semiHidden/>
    <w:qFormat/>
    <w:uiPriority w:val="99"/>
    <w:rPr>
      <w:color w:val="808080"/>
    </w:rPr>
  </w:style>
  <w:style w:type="paragraph" w:customStyle="1" w:styleId="23">
    <w:name w:val="标准文件_二级条标题"/>
    <w:next w:val="16"/>
    <w:qFormat/>
    <w:uiPriority w:val="0"/>
    <w:pPr>
      <w:widowControl w:val="0"/>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24">
    <w:name w:val="标准文件_三级条标题"/>
    <w:basedOn w:val="23"/>
    <w:next w:val="16"/>
    <w:qFormat/>
    <w:uiPriority w:val="0"/>
    <w:pPr>
      <w:widowControl/>
      <w:outlineLvl w:val="3"/>
    </w:pPr>
  </w:style>
  <w:style w:type="paragraph" w:customStyle="1" w:styleId="25">
    <w:name w:val="标准文件_四级条标题"/>
    <w:next w:val="16"/>
    <w:qFormat/>
    <w:uiPriority w:val="0"/>
    <w:pPr>
      <w:widowControl w:val="0"/>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26">
    <w:name w:val="标准文件_五级条标题"/>
    <w:next w:val="16"/>
    <w:qFormat/>
    <w:uiPriority w:val="0"/>
    <w:pPr>
      <w:widowControl w:val="0"/>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27">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28">
    <w:name w:val="标准文件_术语条一"/>
    <w:basedOn w:val="1"/>
    <w:next w:val="16"/>
    <w:qFormat/>
    <w:uiPriority w:val="0"/>
    <w:pPr>
      <w:widowControl/>
      <w:numPr>
        <w:ilvl w:val="2"/>
        <w:numId w:val="2"/>
      </w:numPr>
    </w:pPr>
    <w:rPr>
      <w:rFonts w:ascii="宋体" w:hAnsi="Times New Roman" w:eastAsia="宋体" w:cs="Times New Roman"/>
      <w:kern w:val="0"/>
      <w:szCs w:val="20"/>
    </w:rPr>
  </w:style>
  <w:style w:type="paragraph" w:customStyle="1" w:styleId="29">
    <w:name w:val="标准文件_一级无标题"/>
    <w:basedOn w:val="14"/>
    <w:qFormat/>
    <w:uiPriority w:val="0"/>
    <w:pPr>
      <w:numPr>
        <w:ilvl w:val="0"/>
        <w:numId w:val="0"/>
      </w:numPr>
      <w:tabs>
        <w:tab w:val="left" w:pos="2160"/>
      </w:tabs>
      <w:spacing w:beforeLines="0" w:afterLines="0"/>
      <w:ind w:left="2160" w:hanging="720"/>
      <w:outlineLvl w:val="9"/>
    </w:pPr>
    <w:rPr>
      <w:rFonts w:ascii="宋体" w:eastAsia="宋体"/>
    </w:rPr>
  </w:style>
  <w:style w:type="paragraph" w:customStyle="1" w:styleId="30">
    <w:name w:val="标准文件_二级无标题"/>
    <w:basedOn w:val="23"/>
    <w:qFormat/>
    <w:uiPriority w:val="0"/>
    <w:pPr>
      <w:numPr>
        <w:ilvl w:val="3"/>
        <w:numId w:val="2"/>
      </w:numPr>
      <w:spacing w:before="0" w:beforeLines="0" w:after="0" w:afterLines="0"/>
      <w:outlineLvl w:val="9"/>
    </w:pPr>
    <w:rPr>
      <w:rFonts w:ascii="宋体" w:eastAsia="宋体"/>
    </w:rPr>
  </w:style>
  <w:style w:type="character" w:customStyle="1" w:styleId="31">
    <w:name w:val="标题 1 字符"/>
    <w:basedOn w:val="10"/>
    <w:link w:val="2"/>
    <w:qFormat/>
    <w:uiPriority w:val="0"/>
    <w:rPr>
      <w:rFonts w:eastAsia="方正仿宋_GBK" w:cstheme="minorBidi"/>
      <w:b/>
      <w:kern w:val="2"/>
      <w:sz w:val="32"/>
      <w:szCs w:val="32"/>
    </w:rPr>
  </w:style>
  <w:style w:type="table" w:customStyle="1" w:styleId="32">
    <w:name w:val="Table Normal"/>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33">
    <w:name w:val="标准文件_标准正文"/>
    <w:basedOn w:val="1"/>
    <w:next w:val="16"/>
    <w:qFormat/>
    <w:uiPriority w:val="0"/>
    <w:pPr>
      <w:snapToGrid w:val="0"/>
      <w:ind w:firstLine="200" w:firstLineChars="200"/>
    </w:pPr>
    <w:rPr>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7690</Words>
  <Characters>8025</Characters>
  <Lines>77</Lines>
  <Paragraphs>21</Paragraphs>
  <TotalTime>0</TotalTime>
  <ScaleCrop>false</ScaleCrop>
  <LinksUpToDate>false</LinksUpToDate>
  <CharactersWithSpaces>8148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2023-12-22T08:58:00Z</dcterms:created>
  <dc:creator>熊妈妈团子</dc:creator>
  <cp:lastModifiedBy>greatwall</cp:lastModifiedBy>
  <cp:lastPrinted>2023-10-08T16:15:00Z</cp:lastPrinted>
  <dcterms:modified xsi:type="dcterms:W3CDTF">2025-08-07T08:30:50Z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FBDFF671307D41369A897456E36C6B1B_13</vt:lpwstr>
  </property>
  <property fmtid="{D5CDD505-2E9C-101B-9397-08002B2CF9AE}" pid="4" name="KSOTemplateDocerSaveRecord">
    <vt:lpwstr>eyJoZGlkIjoiZGU4YTk4NjY2ZmRkODI0NGMyMDYzOGIyMzkyZWM2ZTIiLCJ1c2VySWQiOiIxNTgxOTc0NTExIn0=</vt:lpwstr>
  </property>
</Properties>
</file>