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82807">
      <w:pPr>
        <w:pStyle w:val="11"/>
        <w:keepNext w:val="0"/>
        <w:keepLines w:val="0"/>
        <w:pageBreakBefore w:val="0"/>
        <w:widowControl w:val="0"/>
        <w:kinsoku/>
        <w:wordWrap/>
        <w:overflowPunct/>
        <w:topLinePunct w:val="0"/>
        <w:autoSpaceDE/>
        <w:autoSpaceDN/>
        <w:bidi w:val="0"/>
        <w:adjustRightInd w:val="0"/>
        <w:snapToGrid w:val="0"/>
        <w:spacing w:line="570" w:lineRule="exact"/>
        <w:ind w:left="0" w:leftChars="0" w:firstLine="0" w:firstLineChars="0"/>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附件4</w:t>
      </w:r>
    </w:p>
    <w:p w14:paraId="28911E3C">
      <w:pPr>
        <w:pStyle w:val="11"/>
        <w:keepNext w:val="0"/>
        <w:keepLines w:val="0"/>
        <w:pageBreakBefore w:val="0"/>
        <w:widowControl w:val="0"/>
        <w:kinsoku/>
        <w:wordWrap/>
        <w:overflowPunct/>
        <w:topLinePunct w:val="0"/>
        <w:autoSpaceDE/>
        <w:autoSpaceDN/>
        <w:bidi w:val="0"/>
        <w:adjustRightInd w:val="0"/>
        <w:snapToGrid w:val="0"/>
        <w:spacing w:line="570" w:lineRule="exact"/>
        <w:ind w:left="0" w:leftChars="0" w:firstLine="0" w:firstLineChars="0"/>
        <w:jc w:val="center"/>
        <w:textAlignment w:val="auto"/>
        <w:rPr>
          <w:rFonts w:hint="default" w:ascii="Times New Roman" w:hAnsi="Times New Roman" w:eastAsia="方正小标宋简体" w:cs="Times New Roman"/>
          <w:color w:val="auto"/>
          <w:kern w:val="2"/>
          <w:sz w:val="40"/>
          <w:szCs w:val="40"/>
          <w:lang w:val="en-US" w:eastAsia="zh-CN" w:bidi="zh-TW"/>
        </w:rPr>
      </w:pPr>
      <w:bookmarkStart w:id="0" w:name="_GoBack"/>
      <w:r>
        <w:rPr>
          <w:rFonts w:hint="default" w:ascii="Times New Roman" w:hAnsi="Times New Roman" w:eastAsia="方正小标宋简体" w:cs="Times New Roman"/>
          <w:color w:val="auto"/>
          <w:kern w:val="2"/>
          <w:sz w:val="40"/>
          <w:szCs w:val="40"/>
          <w:lang w:val="en-US" w:eastAsia="zh-CN" w:bidi="zh-TW"/>
        </w:rPr>
        <w:t>联农带农要求</w:t>
      </w:r>
      <w:bookmarkEnd w:id="0"/>
    </w:p>
    <w:p w14:paraId="078122F9">
      <w:pPr>
        <w:pStyle w:val="11"/>
        <w:keepNext w:val="0"/>
        <w:keepLines w:val="0"/>
        <w:pageBreakBefore w:val="0"/>
        <w:widowControl w:val="0"/>
        <w:kinsoku/>
        <w:wordWrap/>
        <w:overflowPunct/>
        <w:topLinePunct w:val="0"/>
        <w:autoSpaceDE/>
        <w:autoSpaceDN/>
        <w:bidi w:val="0"/>
        <w:adjustRightInd w:val="0"/>
        <w:snapToGrid w:val="0"/>
        <w:spacing w:line="570" w:lineRule="exact"/>
        <w:ind w:left="0" w:leftChars="0" w:firstLine="0" w:firstLineChars="0"/>
        <w:jc w:val="center"/>
        <w:textAlignment w:val="auto"/>
        <w:rPr>
          <w:rFonts w:hint="default" w:ascii="Times New Roman" w:hAnsi="Times New Roman" w:eastAsia="仿宋" w:cs="Times New Roman"/>
          <w:b/>
          <w:bCs/>
          <w:color w:val="auto"/>
          <w:kern w:val="2"/>
          <w:sz w:val="44"/>
          <w:szCs w:val="44"/>
          <w:lang w:val="en-US" w:eastAsia="zh-CN" w:bidi="ar-SA"/>
        </w:rPr>
      </w:pPr>
    </w:p>
    <w:p w14:paraId="5818E08F">
      <w:pPr>
        <w:pStyle w:val="11"/>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textAlignment w:val="auto"/>
        <w:rPr>
          <w:rFonts w:hint="default" w:ascii="Times New Roman" w:hAnsi="Times New Roman" w:eastAsia="仿宋" w:cs="Times New Roman"/>
          <w:b/>
          <w:bCs/>
          <w:color w:val="auto"/>
          <w:kern w:val="2"/>
          <w:sz w:val="32"/>
          <w:szCs w:val="32"/>
          <w:lang w:val="en-US" w:eastAsia="zh-CN" w:bidi="ar-SA"/>
        </w:rPr>
      </w:pPr>
      <w:r>
        <w:rPr>
          <w:rFonts w:hint="default" w:ascii="Times New Roman" w:hAnsi="Times New Roman" w:eastAsia="仿宋" w:cs="Times New Roman"/>
          <w:b/>
          <w:bCs/>
          <w:color w:val="auto"/>
          <w:kern w:val="2"/>
          <w:sz w:val="32"/>
          <w:szCs w:val="32"/>
          <w:lang w:val="en-US" w:eastAsia="zh-CN" w:bidi="ar-SA"/>
        </w:rPr>
        <w:t>每个集群资金支持的项目原则上要建立不少于3种利益联结机制。</w:t>
      </w:r>
      <w:r>
        <w:rPr>
          <w:rFonts w:hint="eastAsia" w:ascii="Times New Roman" w:hAnsi="Times New Roman" w:eastAsia="仿宋" w:cs="Times New Roman"/>
          <w:b/>
          <w:bCs/>
          <w:color w:val="auto"/>
          <w:kern w:val="2"/>
          <w:sz w:val="32"/>
          <w:szCs w:val="32"/>
          <w:lang w:val="en-US" w:eastAsia="zh-CN" w:bidi="ar-SA"/>
        </w:rPr>
        <w:t>（</w:t>
      </w:r>
      <w:r>
        <w:rPr>
          <w:rFonts w:hint="default" w:ascii="Times New Roman" w:hAnsi="Times New Roman" w:eastAsia="仿宋" w:cs="Times New Roman"/>
          <w:b/>
          <w:bCs/>
          <w:color w:val="auto"/>
          <w:kern w:val="2"/>
          <w:sz w:val="32"/>
          <w:szCs w:val="32"/>
          <w:lang w:val="en-US" w:eastAsia="zh-CN" w:bidi="ar-SA"/>
        </w:rPr>
        <w:t>以下3种方式中必须选择2种以上</w:t>
      </w:r>
      <w:r>
        <w:rPr>
          <w:rFonts w:hint="eastAsia" w:ascii="Times New Roman" w:hAnsi="Times New Roman" w:eastAsia="仿宋" w:cs="Times New Roman"/>
          <w:b/>
          <w:bCs/>
          <w:color w:val="auto"/>
          <w:kern w:val="2"/>
          <w:sz w:val="32"/>
          <w:szCs w:val="32"/>
          <w:lang w:val="en-US" w:eastAsia="zh-CN" w:bidi="ar-SA"/>
        </w:rPr>
        <w:t>）</w:t>
      </w:r>
    </w:p>
    <w:p w14:paraId="50916542">
      <w:pPr>
        <w:pStyle w:val="11"/>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b/>
          <w:bCs/>
          <w:color w:val="auto"/>
          <w:kern w:val="2"/>
          <w:sz w:val="32"/>
          <w:szCs w:val="32"/>
          <w:lang w:val="en-US" w:eastAsia="zh-CN" w:bidi="ar-SA"/>
        </w:rPr>
        <w:t>①吸纳就业。</w:t>
      </w:r>
      <w:r>
        <w:rPr>
          <w:rFonts w:hint="default" w:ascii="Times New Roman" w:hAnsi="Times New Roman" w:eastAsia="仿宋" w:cs="Times New Roman"/>
          <w:color w:val="auto"/>
          <w:kern w:val="2"/>
          <w:sz w:val="32"/>
          <w:szCs w:val="32"/>
          <w:lang w:val="en-US" w:eastAsia="zh-CN" w:bidi="ar-SA"/>
        </w:rPr>
        <w:t>项目主体吸纳农村劳动力〔优先保障脱贫劳动力</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含监测对象，下同</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〕长期就业或季节性务工，合理确定工资水平，规范用工合同，明确用工时间、工资标准和工资发放方式。项目实施期内，项目主体发放给农村劳动力的工资额度达到集群资金支持额度的30%</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含</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以上，其中发放给脱贫劳动力的工资额度达到集群资金支持额度的15%</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含</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以上，且通过实施项目新增脱贫劳动力就业，原则按项目资金量</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同时选择入股分红方式的，不包括入股资金</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不低于1人/10万元折算</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非完整 数值，按四舍五入处理</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。发放工资需保留必要的银行转账或其他支付记录，作为项目验收完成获得集群资金支持的依据。</w:t>
      </w:r>
    </w:p>
    <w:p w14:paraId="1EEA03C4">
      <w:pPr>
        <w:pStyle w:val="11"/>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b/>
          <w:bCs/>
          <w:color w:val="auto"/>
          <w:kern w:val="2"/>
          <w:sz w:val="32"/>
          <w:szCs w:val="32"/>
          <w:lang w:val="en-US" w:eastAsia="zh-CN" w:bidi="ar-SA"/>
        </w:rPr>
        <w:t>②订单收购。</w:t>
      </w:r>
      <w:r>
        <w:rPr>
          <w:rFonts w:hint="default" w:ascii="Times New Roman" w:hAnsi="Times New Roman" w:eastAsia="仿宋" w:cs="Times New Roman"/>
          <w:color w:val="auto"/>
          <w:kern w:val="2"/>
          <w:sz w:val="32"/>
          <w:szCs w:val="32"/>
          <w:lang w:val="en-US" w:eastAsia="zh-CN" w:bidi="ar-SA"/>
        </w:rPr>
        <w:t>项目主体与农户</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优先保障脱贫户、监测户</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开展订单生产，统一提供种苗、技术、农资、收购等服务，签订农产品购销合同或协议，明确期限、内容、方式等，形成稳定的购销关系。项目实施期内，项目主体通过此种方式给农户带来的直接收益达到集群资金支持额度的20%</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含</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以上，其中给脱贫户带来的直接收益达到集群资金支持额度的10%</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含</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以上。提供种苗、农资按市场价计算农户收益，收购产品按照支付给农户的资金计算农户收益。</w:t>
      </w:r>
    </w:p>
    <w:p w14:paraId="0D64C2C1">
      <w:pPr>
        <w:pStyle w:val="11"/>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b/>
          <w:bCs/>
          <w:color w:val="auto"/>
          <w:kern w:val="2"/>
          <w:sz w:val="32"/>
          <w:szCs w:val="32"/>
          <w:lang w:val="en-US" w:eastAsia="zh-CN" w:bidi="ar-SA"/>
        </w:rPr>
        <w:t>③保底收益+入股分红。</w:t>
      </w:r>
      <w:r>
        <w:rPr>
          <w:rFonts w:hint="default" w:ascii="Times New Roman" w:hAnsi="Times New Roman" w:eastAsia="仿宋" w:cs="Times New Roman"/>
          <w:color w:val="auto"/>
          <w:kern w:val="2"/>
          <w:sz w:val="32"/>
          <w:szCs w:val="32"/>
          <w:lang w:val="en-US" w:eastAsia="zh-CN" w:bidi="ar-SA"/>
        </w:rPr>
        <w:t xml:space="preserve"> 将一定额度的集群资金</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不低于项 目获得集群资金的40%</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进行折股量化，与项目主体签订协议，明确受益对象</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优先脱贫人口，且不低于受益对象总数的50%</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合作期限、保底收益比例、收益发放形式、分红兑现时限等。合作期限原则上不得少于3年。约定的保底收益比例要尊重市场规律，原则上不得低于6%。受益对象为村集体的，相关收益的二次分配工作参照扶贫项目资产后续管理规定执行，并向脱贫户倾斜。约定协议到期后收回入股本金，确权到户的退还农户鼓励重新发展产业，确权到村的由县级统筹在权属所在村重新实施产业项目。对于入股资金额度较大的项目，要采取建立资金共管账户、进行抵押担保等方式保障资金安全。</w:t>
      </w:r>
    </w:p>
    <w:p w14:paraId="3CC6D958">
      <w:pPr>
        <w:pStyle w:val="11"/>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textAlignment w:val="auto"/>
        <w:rPr>
          <w:rFonts w:hint="default" w:ascii="Times New Roman" w:hAnsi="Times New Roman" w:eastAsia="仿宋" w:cs="Times New Roman"/>
          <w:b/>
          <w:bCs/>
          <w:color w:val="auto"/>
          <w:kern w:val="2"/>
          <w:sz w:val="32"/>
          <w:szCs w:val="32"/>
          <w:lang w:val="en-US" w:eastAsia="zh-CN" w:bidi="ar-SA"/>
        </w:rPr>
      </w:pPr>
      <w:r>
        <w:rPr>
          <w:rFonts w:hint="eastAsia" w:ascii="Times New Roman" w:hAnsi="Times New Roman" w:eastAsia="仿宋" w:cs="Times New Roman"/>
          <w:b/>
          <w:bCs/>
          <w:color w:val="auto"/>
          <w:kern w:val="2"/>
          <w:sz w:val="32"/>
          <w:szCs w:val="32"/>
          <w:lang w:val="en-US" w:eastAsia="zh-CN" w:bidi="ar-SA"/>
        </w:rPr>
        <w:t>（</w:t>
      </w:r>
      <w:r>
        <w:rPr>
          <w:rFonts w:hint="default" w:ascii="Times New Roman" w:hAnsi="Times New Roman" w:eastAsia="仿宋" w:cs="Times New Roman"/>
          <w:b/>
          <w:bCs/>
          <w:color w:val="auto"/>
          <w:kern w:val="2"/>
          <w:sz w:val="32"/>
          <w:szCs w:val="32"/>
          <w:lang w:val="en-US" w:eastAsia="zh-CN" w:bidi="ar-SA"/>
        </w:rPr>
        <w:t>以下4种方式中任选1项以上，确保单个项目联农带农机制不少于3项</w:t>
      </w:r>
      <w:r>
        <w:rPr>
          <w:rFonts w:hint="eastAsia" w:ascii="Times New Roman" w:hAnsi="Times New Roman" w:eastAsia="仿宋" w:cs="Times New Roman"/>
          <w:b/>
          <w:bCs/>
          <w:color w:val="auto"/>
          <w:kern w:val="2"/>
          <w:sz w:val="32"/>
          <w:szCs w:val="32"/>
          <w:lang w:val="en-US" w:eastAsia="zh-CN" w:bidi="ar-SA"/>
        </w:rPr>
        <w:t>）</w:t>
      </w:r>
    </w:p>
    <w:p w14:paraId="6ECB839A">
      <w:pPr>
        <w:pStyle w:val="11"/>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b/>
          <w:bCs/>
          <w:color w:val="auto"/>
          <w:kern w:val="2"/>
          <w:sz w:val="32"/>
          <w:szCs w:val="32"/>
          <w:lang w:val="en-US" w:eastAsia="zh-CN" w:bidi="ar-SA"/>
        </w:rPr>
        <w:t>④资产租赁。</w:t>
      </w:r>
      <w:r>
        <w:rPr>
          <w:rFonts w:hint="default" w:ascii="Times New Roman" w:hAnsi="Times New Roman" w:eastAsia="仿宋" w:cs="Times New Roman"/>
          <w:color w:val="auto"/>
          <w:kern w:val="2"/>
          <w:sz w:val="32"/>
          <w:szCs w:val="32"/>
          <w:lang w:val="en-US" w:eastAsia="zh-CN" w:bidi="ar-SA"/>
        </w:rPr>
        <w:t>使用一定额度的集群资金</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不得少于项目获得集群资金的20%</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形成经营性资产</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如生产设备、生产厂房、生产基地等</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确权到村集体，与项目主体签订协议，明确合作期限、租金额度、租金动态调整方式等。村集体获得租金收益要明确具体分配方案，具体使用范围参照扶贫项目资产后续管理有关规定执行，并向脱贫户倾斜。使用集群资金形成的资产不得重复 享受其他财政补贴。</w:t>
      </w:r>
    </w:p>
    <w:p w14:paraId="7458BB16">
      <w:pPr>
        <w:pStyle w:val="11"/>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b/>
          <w:bCs/>
          <w:color w:val="auto"/>
          <w:kern w:val="2"/>
          <w:sz w:val="32"/>
          <w:szCs w:val="32"/>
          <w:lang w:val="en-US" w:eastAsia="zh-CN" w:bidi="ar-SA"/>
        </w:rPr>
        <w:t>⑤托养托管。</w:t>
      </w:r>
      <w:r>
        <w:rPr>
          <w:rFonts w:hint="default" w:ascii="Times New Roman" w:hAnsi="Times New Roman" w:eastAsia="仿宋" w:cs="Times New Roman"/>
          <w:color w:val="auto"/>
          <w:kern w:val="2"/>
          <w:sz w:val="32"/>
          <w:szCs w:val="32"/>
          <w:lang w:val="en-US" w:eastAsia="zh-CN" w:bidi="ar-SA"/>
        </w:rPr>
        <w:t>对于无技术且自身劳动能力较弱的脱贫户，按   照2000元/人的标准，将集群资金委托给项目主体，签订“托养托管”协议，享受产业发展分红。协议期限原则上不得少于3年。分红比例可适当高于第3种联农带农方式“保底收益+入股分红”的比例。“托养托管”脱贫户数，由企业实施的项目不得少于20户、专业合作社及农业社会化服务组织等实施的项目不得少于10 户。协议到期后，本金应退还脱贫户或重新约定“托养托管”相关事宜。</w:t>
      </w:r>
    </w:p>
    <w:p w14:paraId="0A35254B">
      <w:pPr>
        <w:pStyle w:val="11"/>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b/>
          <w:bCs/>
          <w:color w:val="auto"/>
          <w:kern w:val="2"/>
          <w:sz w:val="32"/>
          <w:szCs w:val="32"/>
          <w:lang w:val="en-US" w:eastAsia="zh-CN" w:bidi="ar-SA"/>
        </w:rPr>
        <w:t>⑥配套服务。</w:t>
      </w:r>
      <w:r>
        <w:rPr>
          <w:rFonts w:hint="default" w:ascii="Times New Roman" w:hAnsi="Times New Roman" w:eastAsia="仿宋" w:cs="Times New Roman"/>
          <w:color w:val="auto"/>
          <w:kern w:val="2"/>
          <w:sz w:val="32"/>
          <w:szCs w:val="32"/>
          <w:lang w:val="en-US" w:eastAsia="zh-CN" w:bidi="ar-SA"/>
        </w:rPr>
        <w:t>对有生产经营服务需求的农户，提供农业技术 推广、农机作业、植物保护、优良品种、适用技术、农产品质量 把关、疫病防治、供求信息、产品营销、烘干加工和仓储物流等 服务，实行服务费用减免，帮助农户降低发展产业成本。减免的 服务费用按照市场价计算，达到集群资金支持额度的10%</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含</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 xml:space="preserve"> 以 上 。</w:t>
      </w:r>
    </w:p>
    <w:p w14:paraId="0B3B336F">
      <w:pPr>
        <w:pStyle w:val="11"/>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b/>
          <w:bCs/>
          <w:color w:val="auto"/>
          <w:kern w:val="2"/>
          <w:sz w:val="32"/>
          <w:szCs w:val="32"/>
          <w:lang w:val="en-US" w:eastAsia="zh-CN" w:bidi="ar-SA"/>
        </w:rPr>
        <w:t>⑦其他方式。</w:t>
      </w:r>
      <w:r>
        <w:rPr>
          <w:rFonts w:hint="default" w:ascii="Times New Roman" w:hAnsi="Times New Roman" w:eastAsia="仿宋" w:cs="Times New Roman"/>
          <w:color w:val="auto"/>
          <w:kern w:val="2"/>
          <w:sz w:val="32"/>
          <w:szCs w:val="32"/>
          <w:lang w:val="en-US" w:eastAsia="zh-CN" w:bidi="ar-SA"/>
        </w:rPr>
        <w:t>对农户</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优先保障脱贫户</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拥有的闲置或低效 利用的土地</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山场、水面</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等资源进行流转或租赁，实行实物计 租货币结算、租金动态调整等计价方式，让农户获得稳定租金收入，或对农户</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优先保障脱贫户</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开展产前、产中、产后免费规 范化的培训服务和指导</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1年不少于2次</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提升技术水平，增加经营性收入。</w:t>
      </w:r>
    </w:p>
    <w:p w14:paraId="78EE16DD">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 w:cs="Times New Roman"/>
          <w:color w:val="auto"/>
          <w:spacing w:val="0"/>
          <w:kern w:val="0"/>
          <w:sz w:val="24"/>
          <w:szCs w:val="24"/>
          <w:lang w:eastAsia="zh-CN" w:bidi="ar"/>
        </w:rPr>
      </w:pPr>
      <w:r>
        <w:rPr>
          <w:rFonts w:hint="default" w:ascii="Times New Roman" w:hAnsi="Times New Roman" w:eastAsia="仿宋_GB2312" w:cs="Times New Roman"/>
          <w:color w:val="auto"/>
          <w:sz w:val="32"/>
          <w:szCs w:val="32"/>
          <w:lang w:val="en-US" w:eastAsia="zh-CN"/>
        </w:rPr>
        <w:t>项目验收实行“建设内容+联农带农”双验收模式，即项目主体既要完成项目建设内容，也要兑现联农带农承诺。比如，某项目主体申请200万元建设标准化蔬菜种植基地，联农带农机制是吸纳就业、订单收购和配套服务。在项目验收时，既要验收是否完成200万元财政资金涉及的标准化蔬菜种植基地建设内容，也要验收吸纳就业、订单收购、配套服务是否达到要求。其中，吸纳就业既可以是标准化蔬菜种植基地建设过程中平整土地、布设水肥一体化设施等产生的务工，也可以是蔬菜采摘、运输等其他与项目主体日常经营相关、但与本次项目建设内容无关的务工。建议吸纳就业主要计算项目主体自身经营相关的务工（更加持续），项目建设内容相关的务工（一次性）作为补充。</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E02F9A60-8B78-4D83-BFA8-F3DB0AD3116D}"/>
  </w:font>
  <w:font w:name="仿宋_GB2312">
    <w:altName w:val="仿宋"/>
    <w:panose1 w:val="02010609030101010101"/>
    <w:charset w:val="86"/>
    <w:family w:val="auto"/>
    <w:pitch w:val="default"/>
    <w:sig w:usb0="00000000" w:usb1="00000000" w:usb2="00000000" w:usb3="00000000" w:csb0="00040000" w:csb1="00000000"/>
    <w:embedRegular r:id="rId2" w:fontKey="{64D8FA23-11FE-4840-A7EE-B6F256401723}"/>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40BB7B54-8CC8-49EC-BE50-437DBCD1F6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A4A45">
    <w:pPr>
      <w:spacing w:line="40" w:lineRule="exact"/>
      <w:ind w:firstLine="8130"/>
    </w:pPr>
    <w:r>
      <w:drawing>
        <wp:inline distT="0" distB="0" distL="0" distR="0">
          <wp:extent cx="107315" cy="25400"/>
          <wp:effectExtent l="0" t="0" r="6985" b="3175"/>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
                  <a:stretch>
                    <a:fillRect/>
                  </a:stretch>
                </pic:blipFill>
                <pic:spPr>
                  <a:xfrm>
                    <a:off x="0" y="0"/>
                    <a:ext cx="107906" cy="25420"/>
                  </a:xfrm>
                  <a:prstGeom prst="rect">
                    <a:avLst/>
                  </a:prstGeom>
                </pic:spPr>
              </pic:pic>
            </a:graphicData>
          </a:graphic>
        </wp:inline>
      </w:drawing>
    </w:r>
  </w:p>
  <w:p w14:paraId="02579694">
    <w:pPr>
      <w:spacing w:line="239" w:lineRule="auto"/>
      <w:ind w:left="8330"/>
      <w:rPr>
        <w:rFonts w:ascii="宋体" w:hAnsi="宋体" w:eastAsia="宋体" w:cs="宋体"/>
        <w:sz w:val="7"/>
        <w:szCs w:val="7"/>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48260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7DCEFA">
                          <w:pPr>
                            <w:pStyle w:val="3"/>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8pt;height:144pt;width:144pt;mso-position-horizontal:outside;mso-position-horizontal-relative:margin;mso-wrap-style:none;z-index:251659264;mso-width-relative:page;mso-height-relative:page;" filled="f" stroked="f" coordsize="21600,21600" o:gfxdata="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w3yUHTAAAABwEAAA8AAAAAAAAAAQAgAAAAIgAAAGRycy9kb3ducmV2LnhtbFBLAQIU&#10;ABQAAAAIAIdO4kAkgka0MQIAAGEEAAAOAAAAAAAAAAEAIAAAACIBAABkcnMvZTJvRG9jLnhtbFBL&#10;BQYAAAAABgAGAFkBAADFBQAAAAA=&#10;">
              <v:fill on="f" focussize="0,0"/>
              <v:stroke on="f" weight="0.5pt"/>
              <v:imagedata o:title=""/>
              <o:lock v:ext="edit" aspectratio="f"/>
              <v:textbox inset="0mm,0mm,0mm,0mm" style="mso-fit-shape-to-text:t;">
                <w:txbxContent>
                  <w:p w14:paraId="137DCEFA">
                    <w:pPr>
                      <w:pStyle w:val="3"/>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v:textbox>
            </v:shape>
          </w:pict>
        </mc:Fallback>
      </mc:AlternateContent>
    </w:r>
    <w:r>
      <w:rPr>
        <w:rFonts w:ascii="宋体" w:hAnsi="宋体" w:eastAsia="宋体" w:cs="宋体"/>
        <w:spacing w:val="-1"/>
        <w:sz w:val="7"/>
        <w:szCs w:val="7"/>
      </w:rPr>
      <w:t>—9—</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9A5F33"/>
    <w:rsid w:val="03A24674"/>
    <w:rsid w:val="0AFB1BC7"/>
    <w:rsid w:val="0BBE654A"/>
    <w:rsid w:val="0DBD4D60"/>
    <w:rsid w:val="111F22CF"/>
    <w:rsid w:val="12324BCE"/>
    <w:rsid w:val="12737833"/>
    <w:rsid w:val="17E10BFF"/>
    <w:rsid w:val="19ED58E8"/>
    <w:rsid w:val="1D380219"/>
    <w:rsid w:val="1DC32CD6"/>
    <w:rsid w:val="221C5C74"/>
    <w:rsid w:val="25C506D0"/>
    <w:rsid w:val="2A390B59"/>
    <w:rsid w:val="2AC15C0E"/>
    <w:rsid w:val="2CFA37E7"/>
    <w:rsid w:val="2E5D5A63"/>
    <w:rsid w:val="2F3D33A9"/>
    <w:rsid w:val="2F7071C3"/>
    <w:rsid w:val="2FC024D1"/>
    <w:rsid w:val="331B09DA"/>
    <w:rsid w:val="37302C9F"/>
    <w:rsid w:val="37A1068B"/>
    <w:rsid w:val="38677559"/>
    <w:rsid w:val="3CDC3E8A"/>
    <w:rsid w:val="3F0A1D6D"/>
    <w:rsid w:val="41FA00D0"/>
    <w:rsid w:val="43411D0A"/>
    <w:rsid w:val="4412168D"/>
    <w:rsid w:val="44327018"/>
    <w:rsid w:val="469A5F33"/>
    <w:rsid w:val="56BF07BA"/>
    <w:rsid w:val="59307477"/>
    <w:rsid w:val="5B373C04"/>
    <w:rsid w:val="5C6B7C66"/>
    <w:rsid w:val="5CAB6A26"/>
    <w:rsid w:val="62AD7C47"/>
    <w:rsid w:val="65F847AB"/>
    <w:rsid w:val="68664F39"/>
    <w:rsid w:val="689A0D6C"/>
    <w:rsid w:val="6C334F1D"/>
    <w:rsid w:val="6D184AE7"/>
    <w:rsid w:val="6EE87786"/>
    <w:rsid w:val="7039360D"/>
    <w:rsid w:val="71990B4F"/>
    <w:rsid w:val="7A3320D0"/>
    <w:rsid w:val="7F233D64"/>
    <w:rsid w:val="7FD50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21"/>
    <w:basedOn w:val="7"/>
    <w:qFormat/>
    <w:uiPriority w:val="0"/>
    <w:rPr>
      <w:rFonts w:hint="eastAsia" w:ascii="宋体" w:hAnsi="宋体" w:eastAsia="宋体" w:cs="宋体"/>
      <w:color w:val="000000"/>
      <w:sz w:val="24"/>
      <w:szCs w:val="24"/>
      <w:u w:val="none"/>
    </w:rPr>
  </w:style>
  <w:style w:type="paragraph" w:customStyle="1" w:styleId="9">
    <w:name w:val="Table Text"/>
    <w:basedOn w:val="1"/>
    <w:semiHidden/>
    <w:qFormat/>
    <w:uiPriority w:val="0"/>
    <w:rPr>
      <w:rFonts w:ascii="Arial" w:hAnsi="Arial" w:eastAsia="Arial" w:cs="Arial"/>
      <w:sz w:val="21"/>
      <w:szCs w:val="21"/>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文章正文"/>
    <w:basedOn w:val="1"/>
    <w:qFormat/>
    <w:uiPriority w:val="0"/>
    <w:pPr>
      <w:adjustRightInd w:val="0"/>
      <w:snapToGrid w:val="0"/>
      <w:spacing w:line="360" w:lineRule="auto"/>
      <w:ind w:firstLine="600" w:firstLineChars="200"/>
    </w:pPr>
    <w:rPr>
      <w:rFonts w:eastAsia="仿宋_GB2312"/>
      <w:color w:val="000000"/>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7282</Words>
  <Characters>7736</Characters>
  <Lines>0</Lines>
  <Paragraphs>0</Paragraphs>
  <TotalTime>8</TotalTime>
  <ScaleCrop>false</ScaleCrop>
  <LinksUpToDate>false</LinksUpToDate>
  <CharactersWithSpaces>7942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2025-07-21T05:20:00Z</dcterms:created>
  <dc:creator>Administrator</dc:creator>
  <cp:lastModifiedBy>初久</cp:lastModifiedBy>
  <cp:lastPrinted>2025-07-24T11:18:00Z</cp:lastPrinted>
  <dcterms:modified xsi:type="dcterms:W3CDTF">2025-07-24T12:55:27Z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DC6CE5F732934AD1A9E7D1EFA22A764A_13</vt:lpwstr>
  </property>
  <property fmtid="{D5CDD505-2E9C-101B-9397-08002B2CF9AE}" pid="4" name="KSOTemplateDocerSaveRecord">
    <vt:lpwstr>eyJoZGlkIjoiOGJlYTc3MDJmZmQzYTlkY2IwMDczZDIxOGE5OTExNTAiLCJ1c2VySWQiOiIyNTcxMDA4OTkifQ==</vt:lpwstr>
  </property>
</Properties>
</file>