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5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《关于进一步推进养老服务高质量发展的实施意见（征求意见稿）》</w:t>
      </w:r>
    </w:p>
    <w:p w14:paraId="3D5C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意见建议结果反馈汇总表</w:t>
      </w:r>
    </w:p>
    <w:bookmarkEnd w:id="0"/>
    <w:p w14:paraId="1AA6D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566"/>
        <w:gridCol w:w="4984"/>
        <w:gridCol w:w="5359"/>
        <w:gridCol w:w="1604"/>
      </w:tblGrid>
      <w:tr w14:paraId="4986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群众意见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（共1个）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收集意见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（共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 xml:space="preserve"> 2 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条，1位群众反馈意见）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意见采纳情况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（共采纳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 xml:space="preserve"> 1 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条，不予采纳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 xml:space="preserve"> 1 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条，逐条列明）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CD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杨某某</w:t>
            </w:r>
          </w:p>
        </w:tc>
        <w:tc>
          <w:tcPr>
            <w:tcW w:w="4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0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第一条：标点符号使用不准确；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第二条：加大养老产业发展力度中“对利用闲置国有企业和公有房产开展养老服务的”改为“对利用闲置国有资产场地和公建配套开展养老服务的”。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第一条采纳；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条不予采纳，该文件是根据《株洲市进一步推进养老服务高质量发展的十条措施》(株政办发〔2025〕2号)文件内容作为依据进行起草，对于上级文件中已明确设定的政策方向和具体要求，我们须遵照执行，并且不做出修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已将采纳情况回复给该群众。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0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459E3B"/>
    <w:sectPr>
      <w:pgSz w:w="16838" w:h="11906" w:orient="landscape"/>
      <w:pgMar w:top="138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9153D3"/>
    <w:rsid w:val="F99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2025-07-17T17:28:00Z</dcterms:created>
  <dc:creator>雨之人也</dc:creator>
  <cp:lastModifiedBy>雨之人也</cp:lastModifiedBy>
  <dcterms:modified xsi:type="dcterms:W3CDTF">2025-07-17T17:30:16Z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845677CC148588165BC2786828E0EBF0_41</vt:lpwstr>
  </property>
</Properties>
</file>