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57CE6">
      <w:pPr>
        <w:spacing w:line="600" w:lineRule="exact"/>
        <w:jc w:val="center"/>
        <w:rPr>
          <w:rFonts w:ascii="Times New Roman" w:hAnsi="Times New Roman" w:eastAsia="仿宋_GB2312" w:cs="Times New Roman"/>
          <w:sz w:val="32"/>
          <w:szCs w:val="32"/>
          <w:lang w:eastAsia="zh-CN"/>
        </w:rPr>
      </w:pPr>
    </w:p>
    <w:p w14:paraId="7F5560E9">
      <w:pPr>
        <w:spacing w:line="600" w:lineRule="exact"/>
        <w:jc w:val="center"/>
        <w:rPr>
          <w:rFonts w:ascii="Times New Roman" w:hAnsi="Times New Roman" w:eastAsia="仿宋_GB2312" w:cs="Times New Roman"/>
          <w:sz w:val="32"/>
          <w:szCs w:val="32"/>
          <w:lang w:eastAsia="zh-CN"/>
        </w:rPr>
      </w:pPr>
    </w:p>
    <w:p w14:paraId="0973D74A">
      <w:pPr>
        <w:spacing w:line="600" w:lineRule="exact"/>
        <w:jc w:val="center"/>
        <w:rPr>
          <w:rFonts w:ascii="Times New Roman" w:hAnsi="Times New Roman" w:eastAsia="仿宋_GB2312" w:cs="Times New Roman"/>
          <w:sz w:val="32"/>
          <w:szCs w:val="32"/>
          <w:lang w:eastAsia="zh-CN"/>
        </w:rPr>
      </w:pPr>
    </w:p>
    <w:p w14:paraId="3C16E31C">
      <w:pPr>
        <w:spacing w:line="600" w:lineRule="exact"/>
        <w:jc w:val="center"/>
        <w:rPr>
          <w:rFonts w:ascii="Times New Roman" w:hAnsi="Times New Roman" w:eastAsia="仿宋_GB2312" w:cs="Times New Roman"/>
          <w:sz w:val="32"/>
          <w:szCs w:val="32"/>
          <w:lang w:eastAsia="zh-CN"/>
        </w:rPr>
      </w:pPr>
    </w:p>
    <w:p w14:paraId="55138FF9">
      <w:pPr>
        <w:spacing w:line="600" w:lineRule="exact"/>
        <w:jc w:val="center"/>
        <w:rPr>
          <w:rFonts w:ascii="Times New Roman" w:hAnsi="Times New Roman" w:eastAsia="仿宋_GB2312" w:cs="Times New Roman"/>
          <w:sz w:val="32"/>
          <w:szCs w:val="32"/>
          <w:lang w:eastAsia="zh-CN"/>
        </w:rPr>
      </w:pPr>
    </w:p>
    <w:p w14:paraId="6A872563">
      <w:pPr>
        <w:spacing w:line="600" w:lineRule="exact"/>
        <w:jc w:val="center"/>
        <w:rPr>
          <w:rFonts w:ascii="Times New Roman" w:hAnsi="Times New Roman" w:eastAsia="仿宋_GB2312" w:cs="Times New Roman"/>
          <w:sz w:val="32"/>
          <w:szCs w:val="32"/>
          <w:lang w:eastAsia="zh-CN"/>
        </w:rPr>
      </w:pPr>
    </w:p>
    <w:p w14:paraId="5DB23050">
      <w:pPr>
        <w:spacing w:line="600" w:lineRule="exact"/>
        <w:jc w:val="center"/>
        <w:rPr>
          <w:rFonts w:ascii="Times New Roman" w:hAnsi="Times New Roman" w:eastAsia="仿宋_GB2312" w:cs="Times New Roman"/>
          <w:sz w:val="44"/>
          <w:szCs w:val="44"/>
          <w:lang w:eastAsia="zh-CN"/>
        </w:rPr>
      </w:pPr>
      <w:r>
        <w:rPr>
          <w:rFonts w:ascii="Times New Roman" w:hAnsi="Times New Roman" w:eastAsia="仿宋_GB2312" w:cs="Times New Roman"/>
          <w:sz w:val="32"/>
          <w:szCs w:val="32"/>
          <w:lang w:eastAsia="zh-CN"/>
        </w:rPr>
        <w:t>芦政办发〔2024〕号</w:t>
      </w:r>
    </w:p>
    <w:p w14:paraId="17F455BD">
      <w:pPr>
        <w:spacing w:line="600" w:lineRule="exact"/>
        <w:jc w:val="center"/>
        <w:rPr>
          <w:rFonts w:ascii="方正小标宋简体" w:hAnsi="方正小标宋简体" w:eastAsia="方正小标宋简体" w:cs="方正小标宋简体"/>
          <w:sz w:val="44"/>
          <w:szCs w:val="44"/>
          <w:lang w:eastAsia="zh-CN"/>
        </w:rPr>
      </w:pPr>
    </w:p>
    <w:p w14:paraId="138A03FC">
      <w:pPr>
        <w:spacing w:line="600" w:lineRule="exact"/>
        <w:jc w:val="center"/>
        <w:rPr>
          <w:rFonts w:ascii="方正小标宋简体" w:hAnsi="方正小标宋简体" w:eastAsia="方正小标宋简体" w:cs="方正小标宋简体"/>
          <w:sz w:val="44"/>
          <w:szCs w:val="44"/>
          <w:lang w:eastAsia="zh-CN"/>
        </w:rPr>
      </w:pPr>
    </w:p>
    <w:p w14:paraId="30C7A999">
      <w:pPr>
        <w:spacing w:line="60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株洲市芦淞区人民政府办公室</w:t>
      </w:r>
    </w:p>
    <w:p w14:paraId="76C21E42">
      <w:pPr>
        <w:spacing w:line="60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关于印发《株洲市芦淞区重污染天气应急</w:t>
      </w:r>
    </w:p>
    <w:p w14:paraId="100FB55A">
      <w:pPr>
        <w:spacing w:line="60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预案》的通知</w:t>
      </w:r>
    </w:p>
    <w:p w14:paraId="45ACFC69">
      <w:pPr>
        <w:spacing w:line="560" w:lineRule="exact"/>
        <w:rPr>
          <w:rFonts w:ascii="方正小标宋简体" w:hAnsi="方正小标宋简体" w:eastAsia="方正小标宋简体" w:cs="方正小标宋简体"/>
          <w:b/>
          <w:bCs/>
          <w:sz w:val="44"/>
          <w:szCs w:val="44"/>
          <w:lang w:eastAsia="zh-CN"/>
        </w:rPr>
      </w:pPr>
    </w:p>
    <w:p w14:paraId="185C2343">
      <w:pPr>
        <w:widowControl w:val="0"/>
        <w:tabs>
          <w:tab w:val="right" w:leader="dot" w:pos="8731"/>
        </w:tabs>
        <w:spacing w:line="560" w:lineRule="exact"/>
        <w:jc w:val="both"/>
        <w:rPr>
          <w:rFonts w:ascii="Times New Roman" w:hAnsi="Times New Roman" w:eastAsia="仿宋_GB2312" w:cs="Times New Roman"/>
          <w:smallCaps/>
          <w:color w:val="auto"/>
          <w:kern w:val="2"/>
          <w:sz w:val="32"/>
          <w:szCs w:val="32"/>
          <w:lang w:eastAsia="zh-CN"/>
        </w:rPr>
      </w:pPr>
      <w:r>
        <w:rPr>
          <w:rFonts w:ascii="Times New Roman" w:hAnsi="Times New Roman" w:eastAsia="仿宋_GB2312" w:cs="Times New Roman"/>
          <w:smallCaps/>
          <w:color w:val="auto"/>
          <w:kern w:val="2"/>
          <w:sz w:val="32"/>
          <w:szCs w:val="32"/>
          <w:lang w:eastAsia="zh-CN"/>
        </w:rPr>
        <w:t>白关镇人民政府、各街道办事处，区直有关单位：</w:t>
      </w:r>
    </w:p>
    <w:p w14:paraId="21C17006">
      <w:pPr>
        <w:widowControl w:val="0"/>
        <w:tabs>
          <w:tab w:val="right" w:leader="dot" w:pos="8731"/>
        </w:tabs>
        <w:kinsoku/>
        <w:autoSpaceDE/>
        <w:autoSpaceDN/>
        <w:adjustRightInd/>
        <w:snapToGrid/>
        <w:spacing w:line="560" w:lineRule="exact"/>
        <w:ind w:firstLine="640" w:firstLineChars="200"/>
        <w:jc w:val="both"/>
        <w:textAlignment w:val="auto"/>
        <w:rPr>
          <w:rFonts w:ascii="Times New Roman" w:hAnsi="Times New Roman" w:eastAsia="仿宋_GB2312" w:cs="Times New Roman"/>
          <w:smallCaps/>
          <w:color w:val="auto"/>
          <w:kern w:val="2"/>
          <w:sz w:val="32"/>
          <w:szCs w:val="32"/>
          <w:lang w:eastAsia="zh-CN"/>
        </w:rPr>
      </w:pPr>
      <w:r>
        <w:rPr>
          <w:rFonts w:ascii="Times New Roman" w:hAnsi="Times New Roman" w:eastAsia="仿宋_GB2312" w:cs="Times New Roman"/>
          <w:smallCaps/>
          <w:color w:val="auto"/>
          <w:kern w:val="2"/>
          <w:sz w:val="32"/>
          <w:szCs w:val="32"/>
          <w:lang w:eastAsia="zh-CN"/>
        </w:rPr>
        <w:t>《株洲市芦淞区重污染天气应急预案》已经芦淞区人民政府同意，现印发给你们，请认真组织实施。</w:t>
      </w:r>
    </w:p>
    <w:p w14:paraId="14F34FE1">
      <w:pPr>
        <w:spacing w:line="560" w:lineRule="exact"/>
        <w:rPr>
          <w:rFonts w:ascii="Times New Roman" w:hAnsi="Times New Roman" w:eastAsia="仿宋_GB2312" w:cs="Times New Roman"/>
          <w:smallCaps/>
          <w:color w:val="auto"/>
          <w:kern w:val="2"/>
          <w:sz w:val="32"/>
          <w:szCs w:val="32"/>
          <w:lang w:eastAsia="zh-CN"/>
        </w:rPr>
      </w:pPr>
    </w:p>
    <w:p w14:paraId="554C18F8">
      <w:pPr>
        <w:spacing w:line="560" w:lineRule="exact"/>
        <w:rPr>
          <w:rFonts w:ascii="Times New Roman" w:hAnsi="Times New Roman" w:eastAsia="仿宋_GB2312" w:cs="Times New Roman"/>
          <w:sz w:val="32"/>
          <w:szCs w:val="32"/>
          <w:lang w:eastAsia="zh-CN"/>
        </w:rPr>
      </w:pPr>
    </w:p>
    <w:p w14:paraId="6366BEB4">
      <w:pPr>
        <w:pStyle w:val="9"/>
        <w:spacing w:line="560" w:lineRule="exact"/>
        <w:rPr>
          <w:rFonts w:ascii="Times New Roman" w:hAnsi="Times New Roman" w:eastAsia="仿宋_GB2312" w:cs="Times New Roman"/>
          <w:sz w:val="32"/>
          <w:szCs w:val="32"/>
          <w:lang w:eastAsia="zh-CN"/>
        </w:rPr>
      </w:pPr>
    </w:p>
    <w:p w14:paraId="77AEECB5">
      <w:pPr>
        <w:widowControl w:val="0"/>
        <w:tabs>
          <w:tab w:val="right" w:leader="dot" w:pos="8731"/>
        </w:tabs>
        <w:spacing w:line="560" w:lineRule="exact"/>
        <w:jc w:val="center"/>
        <w:rPr>
          <w:rFonts w:ascii="Times New Roman" w:hAnsi="Times New Roman" w:eastAsia="仿宋_GB2312" w:cs="Times New Roman"/>
          <w:smallCaps/>
          <w:color w:val="auto"/>
          <w:kern w:val="2"/>
          <w:sz w:val="32"/>
          <w:szCs w:val="32"/>
          <w:lang w:eastAsia="zh-CN"/>
        </w:rPr>
      </w:pPr>
      <w:r>
        <w:rPr>
          <w:rFonts w:ascii="Times New Roman" w:hAnsi="Times New Roman" w:eastAsia="仿宋_GB2312" w:cs="Times New Roman"/>
          <w:smallCaps/>
          <w:color w:val="auto"/>
          <w:kern w:val="2"/>
          <w:sz w:val="32"/>
          <w:szCs w:val="32"/>
          <w:lang w:eastAsia="zh-CN"/>
        </w:rPr>
        <w:t xml:space="preserve">                      株洲市芦淞区人民政府办公室</w:t>
      </w:r>
    </w:p>
    <w:p w14:paraId="0CBBDC7C">
      <w:pPr>
        <w:widowControl w:val="0"/>
        <w:tabs>
          <w:tab w:val="right" w:leader="dot" w:pos="8731"/>
        </w:tabs>
        <w:spacing w:line="560" w:lineRule="exact"/>
        <w:jc w:val="center"/>
        <w:rPr>
          <w:rFonts w:ascii="Times New Roman" w:hAnsi="Times New Roman" w:eastAsia="仿宋_GB2312" w:cs="Times New Roman"/>
          <w:smallCaps/>
          <w:color w:val="auto"/>
          <w:kern w:val="2"/>
          <w:sz w:val="32"/>
          <w:szCs w:val="32"/>
          <w:lang w:eastAsia="zh-CN"/>
        </w:rPr>
      </w:pPr>
      <w:r>
        <w:rPr>
          <w:rFonts w:ascii="Times New Roman" w:hAnsi="Times New Roman" w:eastAsia="仿宋_GB2312" w:cs="Times New Roman"/>
          <w:smallCaps/>
          <w:color w:val="auto"/>
          <w:kern w:val="2"/>
          <w:sz w:val="32"/>
          <w:szCs w:val="32"/>
          <w:lang w:eastAsia="zh-CN"/>
        </w:rPr>
        <w:t xml:space="preserve">                           2024年 月 日</w:t>
      </w:r>
    </w:p>
    <w:p w14:paraId="1E0636EC">
      <w:pPr>
        <w:widowControl w:val="0"/>
        <w:kinsoku/>
        <w:autoSpaceDE/>
        <w:autoSpaceDN/>
        <w:adjustRightInd/>
        <w:snapToGrid/>
        <w:spacing w:line="600" w:lineRule="exact"/>
        <w:jc w:val="both"/>
        <w:textAlignment w:val="auto"/>
        <w:rPr>
          <w:rFonts w:ascii="仿宋_GB2312" w:hAnsi="仿宋_GB2312" w:eastAsia="仿宋_GB2312" w:cs="仿宋_GB2312"/>
          <w:sz w:val="32"/>
          <w:szCs w:val="32"/>
          <w:lang w:eastAsia="zh-CN"/>
        </w:rPr>
      </w:pPr>
    </w:p>
    <w:p w14:paraId="6F75C636">
      <w:pPr>
        <w:widowControl w:val="0"/>
        <w:kinsoku/>
        <w:autoSpaceDE/>
        <w:autoSpaceDN/>
        <w:adjustRightInd/>
        <w:snapToGrid/>
        <w:spacing w:line="600" w:lineRule="exact"/>
        <w:textAlignment w:val="auto"/>
        <w:rPr>
          <w:rFonts w:ascii="方正小标宋简体" w:hAnsi="方正小标宋简体" w:eastAsia="方正小标宋简体" w:cs="方正小标宋简体"/>
          <w:sz w:val="44"/>
          <w:szCs w:val="44"/>
          <w:lang w:eastAsia="zh-CN"/>
        </w:rPr>
      </w:pPr>
      <w:r>
        <w:rPr>
          <w:rFonts w:hint="eastAsia" w:ascii="仿宋_GB2312" w:hAnsi="仿宋_GB2312" w:eastAsia="仿宋_GB2312" w:cs="仿宋_GB2312"/>
          <w:smallCaps/>
          <w:color w:val="auto"/>
          <w:kern w:val="2"/>
          <w:sz w:val="32"/>
          <w:szCs w:val="32"/>
          <w:lang w:eastAsia="zh-CN"/>
        </w:rPr>
        <w:t>（此件主动公开）</w:t>
      </w:r>
    </w:p>
    <w:p w14:paraId="1441F497">
      <w:pPr>
        <w:widowControl w:val="0"/>
        <w:kinsoku/>
        <w:autoSpaceDE/>
        <w:autoSpaceDN/>
        <w:adjustRightInd/>
        <w:snapToGrid/>
        <w:spacing w:line="560" w:lineRule="exact"/>
        <w:jc w:val="center"/>
        <w:textAlignment w:val="auto"/>
        <w:rPr>
          <w:rFonts w:ascii="方正小标宋简体" w:hAnsi="方正小标宋简体" w:eastAsia="方正小标宋简体" w:cs="方正小标宋简体"/>
          <w:b/>
          <w:bCs/>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株洲市芦淞区重污染天气应急预案</w:t>
      </w:r>
    </w:p>
    <w:p w14:paraId="4150F8C8">
      <w:pPr>
        <w:spacing w:line="200" w:lineRule="exact"/>
        <w:jc w:val="center"/>
        <w:rPr>
          <w:rFonts w:ascii="仿宋_GB2312" w:hAnsi="仿宋_GB2312" w:eastAsia="仿宋_GB2312" w:cs="仿宋_GB2312"/>
          <w:sz w:val="36"/>
          <w:szCs w:val="36"/>
          <w:lang w:eastAsia="zh-CN"/>
        </w:rPr>
      </w:pPr>
    </w:p>
    <w:p w14:paraId="5A64E5C6">
      <w:pPr>
        <w:spacing w:line="560" w:lineRule="exact"/>
        <w:jc w:val="center"/>
        <w:rPr>
          <w:rFonts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目  录</w:t>
      </w:r>
    </w:p>
    <w:p w14:paraId="6BCFC3F4">
      <w:pPr>
        <w:pStyle w:val="9"/>
        <w:spacing w:line="560" w:lineRule="exact"/>
        <w:rPr>
          <w:rFonts w:ascii="仿宋_GB2312" w:hAnsi="仿宋_GB2312" w:eastAsia="仿宋_GB2312" w:cs="仿宋_GB2312"/>
          <w:sz w:val="32"/>
          <w:szCs w:val="32"/>
          <w:lang w:eastAsia="zh-CN"/>
        </w:rPr>
      </w:pPr>
    </w:p>
    <w:p w14:paraId="1C9D5E7B">
      <w:pPr>
        <w:pStyle w:val="9"/>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重污染天气应急预案及编制说明</w:t>
      </w:r>
    </w:p>
    <w:p w14:paraId="5C3E4B74">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1总则</w:t>
      </w:r>
    </w:p>
    <w:p w14:paraId="5CE198E0">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1.1编制目的</w:t>
      </w:r>
    </w:p>
    <w:p w14:paraId="55B2AD41">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1.2编制依据</w:t>
      </w:r>
    </w:p>
    <w:p w14:paraId="42AD7553">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1.3适用范围</w:t>
      </w:r>
    </w:p>
    <w:p w14:paraId="137ABB69">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1.4预案体系</w:t>
      </w:r>
    </w:p>
    <w:p w14:paraId="66745ED8">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1.6工作原则</w:t>
      </w:r>
    </w:p>
    <w:p w14:paraId="19676B0C">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2组织机构构成与职责</w:t>
      </w:r>
      <w:r>
        <w:rPr>
          <w:rFonts w:hint="eastAsia" w:ascii="仿宋_GB2312" w:hAnsi="仿宋_GB2312" w:eastAsia="仿宋_GB2312" w:cs="仿宋_GB2312"/>
          <w:sz w:val="32"/>
          <w:szCs w:val="32"/>
          <w:lang w:eastAsia="zh-CN"/>
        </w:rPr>
        <w:tab/>
      </w:r>
    </w:p>
    <w:p w14:paraId="2F827863">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2.1组织机构</w:t>
      </w:r>
      <w:r>
        <w:rPr>
          <w:rFonts w:hint="eastAsia" w:ascii="仿宋_GB2312" w:hAnsi="仿宋_GB2312" w:eastAsia="仿宋_GB2312" w:cs="仿宋_GB2312"/>
          <w:sz w:val="32"/>
          <w:szCs w:val="32"/>
          <w:lang w:eastAsia="zh-CN"/>
        </w:rPr>
        <w:tab/>
      </w:r>
    </w:p>
    <w:p w14:paraId="3B513D51">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2.2主要职责</w:t>
      </w:r>
      <w:r>
        <w:rPr>
          <w:rFonts w:hint="eastAsia" w:ascii="仿宋_GB2312" w:hAnsi="仿宋_GB2312" w:eastAsia="仿宋_GB2312" w:cs="仿宋_GB2312"/>
          <w:sz w:val="32"/>
          <w:szCs w:val="32"/>
          <w:lang w:eastAsia="zh-CN"/>
        </w:rPr>
        <w:tab/>
      </w:r>
    </w:p>
    <w:p w14:paraId="36AA0D9D">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3应急准备</w:t>
      </w:r>
    </w:p>
    <w:p w14:paraId="34D91AED">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3.1编制应急减排项目清单</w:t>
      </w:r>
      <w:r>
        <w:rPr>
          <w:rFonts w:hint="eastAsia" w:ascii="仿宋_GB2312" w:hAnsi="仿宋_GB2312" w:eastAsia="仿宋_GB2312" w:cs="仿宋_GB2312"/>
          <w:sz w:val="32"/>
          <w:szCs w:val="32"/>
          <w:lang w:eastAsia="zh-CN"/>
        </w:rPr>
        <w:tab/>
      </w:r>
    </w:p>
    <w:p w14:paraId="07EAB63D">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3.2夯实应急减排措施</w:t>
      </w:r>
      <w:r>
        <w:rPr>
          <w:rFonts w:hint="eastAsia" w:ascii="仿宋_GB2312" w:hAnsi="仿宋_GB2312" w:eastAsia="仿宋_GB2312" w:cs="仿宋_GB2312"/>
          <w:sz w:val="32"/>
          <w:szCs w:val="32"/>
          <w:lang w:eastAsia="zh-CN"/>
        </w:rPr>
        <w:tab/>
      </w:r>
    </w:p>
    <w:p w14:paraId="525E0838">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3.3指导企业制定“一厂一策”实施方案</w:t>
      </w:r>
      <w:r>
        <w:rPr>
          <w:rFonts w:hint="eastAsia" w:ascii="仿宋_GB2312" w:hAnsi="仿宋_GB2312" w:eastAsia="仿宋_GB2312" w:cs="仿宋_GB2312"/>
          <w:sz w:val="32"/>
          <w:szCs w:val="32"/>
          <w:lang w:eastAsia="zh-CN"/>
        </w:rPr>
        <w:tab/>
      </w:r>
    </w:p>
    <w:p w14:paraId="7C6E1FCF">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3.4预警分区</w:t>
      </w:r>
      <w:r>
        <w:rPr>
          <w:rFonts w:hint="eastAsia" w:ascii="仿宋_GB2312" w:hAnsi="仿宋_GB2312" w:eastAsia="仿宋_GB2312" w:cs="仿宋_GB2312"/>
          <w:sz w:val="32"/>
          <w:szCs w:val="32"/>
          <w:lang w:eastAsia="zh-CN"/>
        </w:rPr>
        <w:tab/>
      </w:r>
    </w:p>
    <w:p w14:paraId="27C755BE">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4预警与发布</w:t>
      </w:r>
      <w:r>
        <w:rPr>
          <w:rFonts w:hint="eastAsia" w:ascii="仿宋_GB2312" w:hAnsi="仿宋_GB2312" w:eastAsia="仿宋_GB2312" w:cs="仿宋_GB2312"/>
          <w:sz w:val="32"/>
          <w:szCs w:val="32"/>
          <w:lang w:eastAsia="zh-CN"/>
        </w:rPr>
        <w:tab/>
      </w:r>
    </w:p>
    <w:p w14:paraId="25311226">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4.1预警分级</w:t>
      </w:r>
      <w:r>
        <w:rPr>
          <w:rFonts w:hint="eastAsia" w:ascii="仿宋_GB2312" w:hAnsi="仿宋_GB2312" w:eastAsia="仿宋_GB2312" w:cs="仿宋_GB2312"/>
          <w:sz w:val="32"/>
          <w:szCs w:val="32"/>
          <w:lang w:eastAsia="zh-CN"/>
        </w:rPr>
        <w:tab/>
      </w:r>
    </w:p>
    <w:p w14:paraId="6691F127">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4.2.1分级标准</w:t>
      </w:r>
    </w:p>
    <w:p w14:paraId="07DD4B99">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4.1.2区域联动预警</w:t>
      </w:r>
    </w:p>
    <w:p w14:paraId="4FA9EBAC">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4.2预警会商</w:t>
      </w:r>
    </w:p>
    <w:p w14:paraId="44C2FD13">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4.4预警发布</w:t>
      </w:r>
    </w:p>
    <w:p w14:paraId="0773A8B5">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4.5预警变更、解除</w:t>
      </w:r>
    </w:p>
    <w:p w14:paraId="7B1BE352">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5应急响应和措施</w:t>
      </w:r>
      <w:r>
        <w:rPr>
          <w:rFonts w:hint="eastAsia" w:ascii="仿宋_GB2312" w:hAnsi="仿宋_GB2312" w:eastAsia="仿宋_GB2312" w:cs="仿宋_GB2312"/>
          <w:sz w:val="32"/>
          <w:szCs w:val="32"/>
          <w:lang w:eastAsia="zh-CN"/>
        </w:rPr>
        <w:tab/>
      </w:r>
    </w:p>
    <w:p w14:paraId="77ECAA23">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5.1响应分级及启动</w:t>
      </w:r>
    </w:p>
    <w:p w14:paraId="4D47E98A">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5.2Ⅲ级响应措施</w:t>
      </w:r>
    </w:p>
    <w:p w14:paraId="5AD73177">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5.2.1公众健康防护指引</w:t>
      </w:r>
    </w:p>
    <w:p w14:paraId="0C91965F">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5.2.2建议性减排措施</w:t>
      </w:r>
    </w:p>
    <w:p w14:paraId="484282D1">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5.2.3强制性减排措施</w:t>
      </w:r>
    </w:p>
    <w:p w14:paraId="3AA170A1">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5.3Ⅱ级响应措施</w:t>
      </w:r>
    </w:p>
    <w:p w14:paraId="5E6AAF1F">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5.3.1公众健康防护指引</w:t>
      </w:r>
    </w:p>
    <w:p w14:paraId="3DCD21E9">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5.3.2建议性减排措施</w:t>
      </w:r>
      <w:r>
        <w:rPr>
          <w:rFonts w:hint="eastAsia" w:ascii="仿宋_GB2312" w:hAnsi="仿宋_GB2312" w:eastAsia="仿宋_GB2312" w:cs="仿宋_GB2312"/>
          <w:sz w:val="32"/>
          <w:szCs w:val="32"/>
          <w:lang w:eastAsia="zh-CN"/>
        </w:rPr>
        <w:tab/>
      </w:r>
    </w:p>
    <w:p w14:paraId="019AC5D5">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5.3.3强制性减排措施</w:t>
      </w:r>
    </w:p>
    <w:p w14:paraId="29A43C38">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5.4Ⅰ级响应措施</w:t>
      </w:r>
    </w:p>
    <w:p w14:paraId="1CA700E5">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5.4.1公众健康防护指引</w:t>
      </w:r>
    </w:p>
    <w:p w14:paraId="4DDA1A49">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5.4.2建议性减排措施</w:t>
      </w:r>
    </w:p>
    <w:p w14:paraId="432F307C">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5.4.3强制性减排措施</w:t>
      </w:r>
    </w:p>
    <w:p w14:paraId="0463CBA2">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5.5响应级别调整或终止</w:t>
      </w:r>
      <w:r>
        <w:rPr>
          <w:rFonts w:hint="eastAsia" w:ascii="仿宋_GB2312" w:hAnsi="仿宋_GB2312" w:eastAsia="仿宋_GB2312" w:cs="仿宋_GB2312"/>
          <w:sz w:val="32"/>
          <w:szCs w:val="32"/>
          <w:lang w:eastAsia="zh-CN"/>
        </w:rPr>
        <w:tab/>
      </w:r>
    </w:p>
    <w:p w14:paraId="0387BD61">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6区域应急联动</w:t>
      </w:r>
    </w:p>
    <w:p w14:paraId="0978D635">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7总结评估</w:t>
      </w:r>
    </w:p>
    <w:p w14:paraId="7BBE69EB">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8应急保障</w:t>
      </w:r>
    </w:p>
    <w:p w14:paraId="52F26530">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8.1人力资源保障</w:t>
      </w:r>
      <w:r>
        <w:rPr>
          <w:rFonts w:hint="eastAsia" w:ascii="仿宋_GB2312" w:hAnsi="仿宋_GB2312" w:eastAsia="仿宋_GB2312" w:cs="仿宋_GB2312"/>
          <w:sz w:val="32"/>
          <w:szCs w:val="32"/>
          <w:lang w:eastAsia="zh-CN"/>
        </w:rPr>
        <w:tab/>
      </w:r>
    </w:p>
    <w:p w14:paraId="3820D65A">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8.2资金保障</w:t>
      </w:r>
      <w:r>
        <w:rPr>
          <w:rFonts w:hint="eastAsia" w:ascii="仿宋_GB2312" w:hAnsi="仿宋_GB2312" w:eastAsia="仿宋_GB2312" w:cs="仿宋_GB2312"/>
          <w:sz w:val="32"/>
          <w:szCs w:val="32"/>
          <w:lang w:eastAsia="zh-CN"/>
        </w:rPr>
        <w:tab/>
      </w:r>
    </w:p>
    <w:p w14:paraId="5ECC1475">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8.3科技保障</w:t>
      </w:r>
      <w:r>
        <w:rPr>
          <w:rFonts w:hint="eastAsia" w:ascii="仿宋_GB2312" w:hAnsi="仿宋_GB2312" w:eastAsia="仿宋_GB2312" w:cs="仿宋_GB2312"/>
          <w:sz w:val="32"/>
          <w:szCs w:val="32"/>
          <w:lang w:eastAsia="zh-CN"/>
        </w:rPr>
        <w:tab/>
      </w:r>
    </w:p>
    <w:p w14:paraId="5639BD92">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8.4通信与交通保障</w:t>
      </w:r>
    </w:p>
    <w:p w14:paraId="002A678E">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8.5责任与奖惩</w:t>
      </w:r>
    </w:p>
    <w:p w14:paraId="75D35A12">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9预案管理</w:t>
      </w:r>
    </w:p>
    <w:p w14:paraId="48335A2E">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9.1预案宣传</w:t>
      </w:r>
      <w:r>
        <w:rPr>
          <w:rFonts w:hint="eastAsia" w:ascii="仿宋_GB2312" w:hAnsi="仿宋_GB2312" w:eastAsia="仿宋_GB2312" w:cs="仿宋_GB2312"/>
          <w:sz w:val="32"/>
          <w:szCs w:val="32"/>
          <w:lang w:eastAsia="zh-CN"/>
        </w:rPr>
        <w:tab/>
      </w:r>
    </w:p>
    <w:p w14:paraId="75175F50">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9.2预案培训</w:t>
      </w:r>
      <w:r>
        <w:rPr>
          <w:rFonts w:hint="eastAsia" w:ascii="仿宋_GB2312" w:hAnsi="仿宋_GB2312" w:eastAsia="仿宋_GB2312" w:cs="仿宋_GB2312"/>
          <w:sz w:val="32"/>
          <w:szCs w:val="32"/>
          <w:lang w:eastAsia="zh-CN"/>
        </w:rPr>
        <w:tab/>
      </w:r>
    </w:p>
    <w:p w14:paraId="1CB080A4">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9.3预案管理</w:t>
      </w:r>
      <w:r>
        <w:rPr>
          <w:rFonts w:hint="eastAsia" w:ascii="仿宋_GB2312" w:hAnsi="仿宋_GB2312" w:eastAsia="仿宋_GB2312" w:cs="仿宋_GB2312"/>
          <w:sz w:val="32"/>
          <w:szCs w:val="32"/>
          <w:lang w:eastAsia="zh-CN"/>
        </w:rPr>
        <w:tab/>
      </w:r>
    </w:p>
    <w:p w14:paraId="3A43E1BB">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9.4预案实施</w:t>
      </w:r>
      <w:r>
        <w:rPr>
          <w:rFonts w:hint="eastAsia" w:ascii="仿宋_GB2312" w:hAnsi="仿宋_GB2312" w:eastAsia="仿宋_GB2312" w:cs="仿宋_GB2312"/>
          <w:sz w:val="32"/>
          <w:szCs w:val="32"/>
          <w:lang w:eastAsia="zh-CN"/>
        </w:rPr>
        <w:tab/>
      </w:r>
    </w:p>
    <w:p w14:paraId="593787B7">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9.5预案实施日期</w:t>
      </w:r>
      <w:r>
        <w:rPr>
          <w:rFonts w:hint="eastAsia" w:ascii="仿宋_GB2312" w:hAnsi="仿宋_GB2312" w:eastAsia="仿宋_GB2312" w:cs="仿宋_GB2312"/>
          <w:sz w:val="32"/>
          <w:szCs w:val="32"/>
          <w:lang w:eastAsia="zh-CN"/>
        </w:rPr>
        <w:tab/>
      </w:r>
    </w:p>
    <w:p w14:paraId="425E6DF1">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3BAC970F">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附件1.芦淞区重污染天气组织架构图</w:t>
      </w:r>
    </w:p>
    <w:p w14:paraId="672BF27D">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附件2.芦淞区重污染天气应对流程图</w:t>
      </w:r>
    </w:p>
    <w:p w14:paraId="1C028FA9">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附件3.重污染天气应急指挥部成员单位职责</w:t>
      </w:r>
    </w:p>
    <w:p w14:paraId="294E0F9A">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附件4.株洲市芦淞区突发环境事件应急联系电话</w:t>
      </w:r>
    </w:p>
    <w:p w14:paraId="32B94C2E">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附件5.《株洲市重污染天气应急减排单（工业源）》预警期间应急管控措施-重点行业-芦淞区</w:t>
      </w:r>
    </w:p>
    <w:p w14:paraId="09AC5442">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附件6.《株洲市重污染天气应急减排单（工业源）》预警期间应急管控措施-其他行业-芦淞区</w:t>
      </w:r>
    </w:p>
    <w:p w14:paraId="33292FC2">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附件7.重污染天气应急预案演习记录</w:t>
      </w:r>
    </w:p>
    <w:p w14:paraId="4E19FFC4">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附件8.重污染天气应急预案演习考核记录</w:t>
      </w:r>
    </w:p>
    <w:p w14:paraId="5675D752">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附件9.芦淞区重点道路管控区域</w:t>
      </w:r>
    </w:p>
    <w:p w14:paraId="01D24BD2">
      <w:pPr>
        <w:widowControl w:val="0"/>
        <w:kinsoku/>
        <w:autoSpaceDE/>
        <w:autoSpaceDN/>
        <w:adjustRightInd/>
        <w:snapToGrid/>
        <w:spacing w:line="560" w:lineRule="exact"/>
        <w:textAlignment w:val="auto"/>
        <w:rPr>
          <w:rFonts w:ascii="Times New Roman" w:hAnsi="Times New Roman" w:eastAsia="仿宋_GB2312" w:cs="Times New Roman"/>
          <w:sz w:val="32"/>
          <w:szCs w:val="32"/>
          <w:lang w:eastAsia="zh-CN"/>
        </w:rPr>
      </w:pPr>
    </w:p>
    <w:p w14:paraId="7BB36165">
      <w:pPr>
        <w:pStyle w:val="9"/>
        <w:rPr>
          <w:rFonts w:ascii="Times New Roman" w:hAnsi="Times New Roman" w:eastAsia="仿宋_GB2312" w:cs="Times New Roman"/>
          <w:sz w:val="32"/>
          <w:szCs w:val="32"/>
          <w:lang w:eastAsia="zh-CN"/>
        </w:rPr>
      </w:pPr>
    </w:p>
    <w:p w14:paraId="2BAC630B">
      <w:pPr>
        <w:pStyle w:val="6"/>
        <w:rPr>
          <w:rFonts w:ascii="Times New Roman" w:hAnsi="Times New Roman" w:eastAsia="仿宋_GB2312" w:cs="Times New Roman"/>
          <w:sz w:val="32"/>
          <w:szCs w:val="32"/>
          <w:lang w:eastAsia="zh-CN"/>
        </w:rPr>
      </w:pPr>
    </w:p>
    <w:p w14:paraId="0F607770">
      <w:pPr>
        <w:rPr>
          <w:rFonts w:ascii="Times New Roman" w:hAnsi="Times New Roman" w:eastAsia="仿宋_GB2312" w:cs="Times New Roman"/>
          <w:sz w:val="32"/>
          <w:szCs w:val="32"/>
          <w:lang w:eastAsia="zh-CN"/>
        </w:rPr>
      </w:pPr>
    </w:p>
    <w:p w14:paraId="02D2C062">
      <w:pPr>
        <w:pStyle w:val="9"/>
        <w:rPr>
          <w:rFonts w:ascii="Times New Roman" w:hAnsi="Times New Roman" w:eastAsia="仿宋_GB2312" w:cs="Times New Roman"/>
          <w:sz w:val="32"/>
          <w:szCs w:val="32"/>
          <w:lang w:eastAsia="zh-CN"/>
        </w:rPr>
      </w:pPr>
    </w:p>
    <w:p w14:paraId="6A2B2805">
      <w:pPr>
        <w:pStyle w:val="6"/>
        <w:rPr>
          <w:rFonts w:ascii="Times New Roman" w:hAnsi="Times New Roman" w:eastAsia="仿宋_GB2312" w:cs="Times New Roman"/>
          <w:sz w:val="32"/>
          <w:szCs w:val="32"/>
          <w:lang w:eastAsia="zh-CN"/>
        </w:rPr>
      </w:pPr>
    </w:p>
    <w:p w14:paraId="14AB3F68">
      <w:pPr>
        <w:rPr>
          <w:rFonts w:ascii="Times New Roman" w:hAnsi="Times New Roman" w:eastAsia="仿宋_GB2312" w:cs="Times New Roman"/>
          <w:sz w:val="32"/>
          <w:szCs w:val="32"/>
          <w:lang w:eastAsia="zh-CN"/>
        </w:rPr>
      </w:pPr>
    </w:p>
    <w:p w14:paraId="08AC3F5E">
      <w:pPr>
        <w:pStyle w:val="9"/>
        <w:rPr>
          <w:rFonts w:ascii="Times New Roman" w:hAnsi="Times New Roman" w:eastAsia="仿宋_GB2312" w:cs="Times New Roman"/>
          <w:sz w:val="32"/>
          <w:szCs w:val="32"/>
          <w:lang w:eastAsia="zh-CN"/>
        </w:rPr>
      </w:pPr>
    </w:p>
    <w:p w14:paraId="5307B0AB">
      <w:pPr>
        <w:pStyle w:val="6"/>
        <w:rPr>
          <w:rFonts w:ascii="Times New Roman" w:hAnsi="Times New Roman" w:eastAsia="仿宋_GB2312" w:cs="Times New Roman"/>
          <w:sz w:val="32"/>
          <w:szCs w:val="32"/>
          <w:lang w:eastAsia="zh-CN"/>
        </w:rPr>
      </w:pPr>
    </w:p>
    <w:p w14:paraId="691180D0">
      <w:pPr>
        <w:rPr>
          <w:rFonts w:ascii="Times New Roman" w:hAnsi="Times New Roman" w:eastAsia="仿宋_GB2312" w:cs="Times New Roman"/>
          <w:sz w:val="32"/>
          <w:szCs w:val="32"/>
          <w:lang w:eastAsia="zh-CN"/>
        </w:rPr>
      </w:pPr>
    </w:p>
    <w:p w14:paraId="5F878C98">
      <w:pPr>
        <w:pStyle w:val="9"/>
        <w:jc w:val="center"/>
        <w:rPr>
          <w:rFonts w:ascii="Times New Roman" w:hAnsi="Times New Roman" w:eastAsia="仿宋_GB2312" w:cs="Times New Roman"/>
          <w:sz w:val="32"/>
          <w:szCs w:val="32"/>
          <w:lang w:eastAsia="zh-CN"/>
        </w:rPr>
      </w:pPr>
      <w:r>
        <w:rPr>
          <w:rFonts w:hint="eastAsia" w:ascii="方正小标宋简体" w:hAnsi="方正小标宋简体" w:eastAsia="方正小标宋简体" w:cs="方正小标宋简体"/>
          <w:snapToGrid/>
          <w:kern w:val="2"/>
          <w:sz w:val="44"/>
          <w:szCs w:val="44"/>
          <w:lang w:eastAsia="zh-CN"/>
        </w:rPr>
        <w:t>株洲市芦淞区重污染天气应急预案</w:t>
      </w:r>
    </w:p>
    <w:p w14:paraId="6E2985AC">
      <w:pPr>
        <w:kinsoku/>
        <w:autoSpaceDE/>
        <w:autoSpaceDN/>
        <w:adjustRightInd/>
        <w:snapToGrid/>
        <w:spacing w:line="560" w:lineRule="exact"/>
        <w:ind w:firstLine="640" w:firstLineChars="200"/>
        <w:textAlignment w:val="auto"/>
        <w:outlineLvl w:val="0"/>
        <w:rPr>
          <w:rFonts w:ascii="黑体" w:hAnsi="黑体" w:eastAsia="黑体" w:cs="Times New Roman"/>
          <w:snapToGrid/>
          <w:kern w:val="2"/>
          <w:sz w:val="32"/>
          <w:szCs w:val="32"/>
          <w:lang w:eastAsia="zh-CN"/>
        </w:rPr>
      </w:pPr>
      <w:r>
        <w:rPr>
          <w:rFonts w:ascii="黑体" w:hAnsi="黑体" w:eastAsia="黑体" w:cs="Times New Roman"/>
          <w:snapToGrid/>
          <w:kern w:val="2"/>
          <w:sz w:val="32"/>
          <w:szCs w:val="32"/>
          <w:lang w:eastAsia="zh-CN"/>
        </w:rPr>
        <w:t>1总则</w:t>
      </w:r>
    </w:p>
    <w:p w14:paraId="49FA0B40">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0" w:name="_Toc5333"/>
      <w:bookmarkStart w:id="1" w:name="_Toc24922"/>
      <w:bookmarkStart w:id="2" w:name="_Toc28590"/>
      <w:bookmarkStart w:id="3" w:name="_Toc2357"/>
      <w:bookmarkStart w:id="4" w:name="_Toc10846"/>
      <w:bookmarkStart w:id="5" w:name="_Toc179409545"/>
      <w:r>
        <w:rPr>
          <w:rFonts w:hint="eastAsia" w:ascii="楷体_GB2312" w:hAnsi="Times New Roman" w:eastAsia="楷体_GB2312" w:cs="Times New Roman"/>
          <w:snapToGrid/>
          <w:kern w:val="2"/>
          <w:sz w:val="32"/>
          <w:szCs w:val="32"/>
          <w:lang w:eastAsia="zh-CN"/>
        </w:rPr>
        <w:t>1.1编制目的</w:t>
      </w:r>
      <w:bookmarkEnd w:id="0"/>
      <w:bookmarkEnd w:id="1"/>
      <w:bookmarkEnd w:id="2"/>
      <w:bookmarkEnd w:id="3"/>
      <w:bookmarkEnd w:id="4"/>
      <w:bookmarkEnd w:id="5"/>
    </w:p>
    <w:p w14:paraId="188E6228">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为进一步完善重污染天气预警和应急机制，提高预警能力，建立主动预防、指挥有序、反应迅速、协调联动、防范有力的大气污染应急体系，科学高效做好重污染天气应对工作，最大限度降低重污染天气危害程度，保障环境安全和人民群众身体健康，保护生态环境，制定本预案。</w:t>
      </w:r>
    </w:p>
    <w:p w14:paraId="29584C15">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r>
        <w:rPr>
          <w:rFonts w:hint="eastAsia" w:ascii="楷体_GB2312" w:hAnsi="Times New Roman" w:eastAsia="楷体_GB2312" w:cs="Times New Roman"/>
          <w:snapToGrid/>
          <w:kern w:val="2"/>
          <w:sz w:val="32"/>
          <w:szCs w:val="32"/>
          <w:lang w:eastAsia="zh-CN"/>
        </w:rPr>
        <w:t>1</w:t>
      </w:r>
      <w:r>
        <w:rPr>
          <w:rFonts w:ascii="楷体_GB2312" w:hAnsi="Times New Roman" w:eastAsia="楷体_GB2312" w:cs="Times New Roman"/>
          <w:snapToGrid/>
          <w:kern w:val="2"/>
          <w:sz w:val="32"/>
          <w:szCs w:val="32"/>
          <w:lang w:eastAsia="zh-CN"/>
        </w:rPr>
        <w:t>.2</w:t>
      </w:r>
      <w:r>
        <w:rPr>
          <w:rFonts w:hint="eastAsia" w:ascii="楷体_GB2312" w:hAnsi="Times New Roman" w:eastAsia="楷体_GB2312" w:cs="Times New Roman"/>
          <w:snapToGrid/>
          <w:kern w:val="2"/>
          <w:sz w:val="32"/>
          <w:szCs w:val="32"/>
          <w:lang w:eastAsia="zh-CN"/>
        </w:rPr>
        <w:t>编制依据</w:t>
      </w:r>
    </w:p>
    <w:p w14:paraId="3B6B9A45">
      <w:pPr>
        <w:pStyle w:val="14"/>
        <w:widowControl w:val="0"/>
        <w:kinsoku/>
        <w:autoSpaceDE/>
        <w:autoSpaceDN/>
        <w:spacing w:line="560" w:lineRule="exact"/>
        <w:ind w:firstLine="640"/>
        <w:textAlignment w:val="auto"/>
        <w:rPr>
          <w:rFonts w:eastAsia="仿宋_GB2312" w:cs="Times New Roman"/>
          <w:snapToGrid/>
          <w:kern w:val="2"/>
          <w:sz w:val="32"/>
          <w:szCs w:val="32"/>
          <w:lang w:eastAsia="zh-CN"/>
        </w:rPr>
      </w:pPr>
      <w:r>
        <w:rPr>
          <w:rFonts w:eastAsia="仿宋_GB2312" w:cs="Times New Roman"/>
          <w:snapToGrid/>
          <w:kern w:val="2"/>
          <w:sz w:val="32"/>
          <w:szCs w:val="32"/>
          <w:lang w:eastAsia="zh-CN"/>
        </w:rPr>
        <w:t>本预案依据国家和地区相关法律法规及政策文件进行编制。其中未注明日期的文件，其最新版本适用于本预案。国家或地区出台相应政策要求、法规标准严于本文件的，从其规定。</w:t>
      </w:r>
    </w:p>
    <w:p w14:paraId="2A0A1E5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（1）《中华人民共和国环境保护法》；</w:t>
      </w:r>
    </w:p>
    <w:p w14:paraId="613A97D7">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（2）《中华人民共和国大气污染防治法》；</w:t>
      </w:r>
    </w:p>
    <w:p w14:paraId="1FE001B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（3）《中华人民共和国突发事件应对法》；</w:t>
      </w:r>
    </w:p>
    <w:p w14:paraId="6FAE0DC3">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（4）《关于加强重污染天气应对夯实应急减排措施的指导意见》（环办大气函〔2019〕648号）；</w:t>
      </w:r>
    </w:p>
    <w:p w14:paraId="0352D49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（5）《生态环境部等15</w:t>
      </w:r>
      <w:r>
        <w:rPr>
          <w:rFonts w:hint="eastAsia" w:ascii="Times New Roman" w:hAnsi="Times New Roman" w:eastAsia="仿宋_GB2312" w:cs="Times New Roman"/>
          <w:snapToGrid/>
          <w:kern w:val="2"/>
          <w:sz w:val="32"/>
          <w:szCs w:val="32"/>
          <w:lang w:eastAsia="zh-CN"/>
        </w:rPr>
        <w:t>部门</w:t>
      </w:r>
      <w:r>
        <w:rPr>
          <w:rFonts w:ascii="Times New Roman" w:hAnsi="Times New Roman" w:eastAsia="仿宋_GB2312" w:cs="Times New Roman"/>
          <w:snapToGrid/>
          <w:kern w:val="2"/>
          <w:sz w:val="32"/>
          <w:szCs w:val="32"/>
          <w:lang w:eastAsia="zh-CN"/>
        </w:rPr>
        <w:t>关于印发</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深入打好重污染天气消除、臭氧污染防治和柴油货车污染治理攻坚战行动方案</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的通知》</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环大气〔2022〕68号</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w:t>
      </w:r>
    </w:p>
    <w:p w14:paraId="1BB2B4A5">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（6）《关于进一步优化重污染天气应对机制的指导意见》（环大气〔2024〕6号）；</w:t>
      </w:r>
    </w:p>
    <w:p w14:paraId="31C8E73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（7）《环境空气质量指数（AQI）技术规定（试行）》（HJ633-2012）；</w:t>
      </w:r>
    </w:p>
    <w:p w14:paraId="035B58E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（8）《湖南省大气污染防治条例》（2020年7月30日修订）；</w:t>
      </w:r>
    </w:p>
    <w:p w14:paraId="626ECF5D">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（9）《湖南省重污染天气防治若干规定》（湖南省第十四届人民代表大会常务委员会公告第10号，2024年1月1日施行）；</w:t>
      </w:r>
    </w:p>
    <w:p w14:paraId="5016122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（10）《湖南省生态环境厅办公室关于做好2024年重污染天气应急减排清单修订工作的通知》（湘环办〔2024〕76号）；</w:t>
      </w:r>
    </w:p>
    <w:p w14:paraId="79C252AD">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（11）《湖南省重污染天气应急预案》</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湘政办发〔2023〕53号</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w:t>
      </w:r>
    </w:p>
    <w:p w14:paraId="2EEABD1F">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（12）《株洲市重污染天气应急预案》（株政办发〔2023〕23号）；</w:t>
      </w:r>
    </w:p>
    <w:p w14:paraId="7E6614E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（13）《芦淞区突发事件总体应急预案》。</w:t>
      </w:r>
    </w:p>
    <w:p w14:paraId="2D3D603A">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6" w:name="_Toc17308"/>
      <w:bookmarkStart w:id="7" w:name="_Toc9356"/>
      <w:bookmarkStart w:id="8" w:name="_Toc27733"/>
      <w:bookmarkStart w:id="9" w:name="_Toc179409547"/>
      <w:bookmarkStart w:id="10" w:name="_Toc7262"/>
      <w:bookmarkStart w:id="11" w:name="_Toc31004"/>
      <w:r>
        <w:rPr>
          <w:rFonts w:ascii="楷体_GB2312" w:hAnsi="Times New Roman" w:eastAsia="楷体_GB2312" w:cs="Times New Roman"/>
          <w:snapToGrid/>
          <w:kern w:val="2"/>
          <w:sz w:val="32"/>
          <w:szCs w:val="32"/>
          <w:lang w:eastAsia="zh-CN"/>
        </w:rPr>
        <w:t>1.3适用范围</w:t>
      </w:r>
      <w:bookmarkEnd w:id="6"/>
      <w:bookmarkEnd w:id="7"/>
      <w:bookmarkEnd w:id="8"/>
      <w:bookmarkEnd w:id="9"/>
      <w:bookmarkEnd w:id="10"/>
      <w:bookmarkEnd w:id="11"/>
    </w:p>
    <w:p w14:paraId="26A1576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本预案适用于株洲市芦淞区行政区域发生的重污染天气应对工作。</w:t>
      </w:r>
    </w:p>
    <w:p w14:paraId="16A3DFF2">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因沙尘造成的重污染天气，参照沙尘天气相关要求执行，不纳入本预案范畴。</w:t>
      </w:r>
    </w:p>
    <w:p w14:paraId="27D2F73F">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2" w:name="_Toc179409548"/>
      <w:bookmarkStart w:id="13" w:name="_Toc4335"/>
      <w:bookmarkStart w:id="14" w:name="_Toc31074"/>
      <w:bookmarkStart w:id="15" w:name="_Toc2451"/>
      <w:bookmarkStart w:id="16" w:name="_Toc21440"/>
      <w:bookmarkStart w:id="17" w:name="_Toc4353"/>
      <w:r>
        <w:rPr>
          <w:rFonts w:ascii="楷体_GB2312" w:hAnsi="Times New Roman" w:eastAsia="楷体_GB2312" w:cs="Times New Roman"/>
          <w:snapToGrid/>
          <w:kern w:val="2"/>
          <w:sz w:val="32"/>
          <w:szCs w:val="32"/>
          <w:lang w:eastAsia="zh-CN"/>
        </w:rPr>
        <w:t>1.4预案体系</w:t>
      </w:r>
      <w:bookmarkEnd w:id="12"/>
      <w:bookmarkEnd w:id="13"/>
      <w:bookmarkEnd w:id="14"/>
      <w:bookmarkEnd w:id="15"/>
      <w:bookmarkEnd w:id="16"/>
      <w:bookmarkEnd w:id="17"/>
    </w:p>
    <w:p w14:paraId="6363E56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本预案是区级专项应急预案，是芦淞区突发事件总体应急预案体系、株洲市重污染天气应急预案的重要组成部分，指导我区重污染天气应急处置和区域应急联动工作。</w:t>
      </w:r>
    </w:p>
    <w:p w14:paraId="0A6599F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其下级预案包括各职能部门重污染天气专项方案和相关企业重污染天气应急响应操作方案（即企业“一厂一策”实施方案）。</w:t>
      </w:r>
    </w:p>
    <w:p w14:paraId="76D1170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本预案与各职能部门重污染天气相应实施专项方案、应急减排项目清单，乡镇（街道）重污染天气应急预案共同组成芦淞区重污染天气应急预案体系。</w:t>
      </w:r>
    </w:p>
    <w:p w14:paraId="4E6DA0D7">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8" w:name="_Toc5514"/>
      <w:bookmarkStart w:id="19" w:name="_Toc179409549"/>
      <w:bookmarkStart w:id="20" w:name="_Toc30832"/>
      <w:bookmarkStart w:id="21" w:name="_Toc28727"/>
      <w:bookmarkStart w:id="22" w:name="_Toc6986"/>
      <w:bookmarkStart w:id="23" w:name="_Toc7385"/>
      <w:r>
        <w:rPr>
          <w:rFonts w:ascii="楷体_GB2312" w:hAnsi="Times New Roman" w:eastAsia="楷体_GB2312" w:cs="Times New Roman"/>
          <w:snapToGrid/>
          <w:kern w:val="2"/>
          <w:sz w:val="32"/>
          <w:szCs w:val="32"/>
          <w:lang w:eastAsia="zh-CN"/>
        </w:rPr>
        <w:t>1.</w:t>
      </w:r>
      <w:r>
        <w:rPr>
          <w:rFonts w:hint="eastAsia" w:ascii="楷体_GB2312" w:hAnsi="Times New Roman" w:eastAsia="楷体_GB2312" w:cs="Times New Roman"/>
          <w:snapToGrid/>
          <w:kern w:val="2"/>
          <w:sz w:val="32"/>
          <w:szCs w:val="32"/>
          <w:lang w:eastAsia="zh-CN"/>
        </w:rPr>
        <w:t>5</w:t>
      </w:r>
      <w:r>
        <w:rPr>
          <w:rFonts w:ascii="楷体_GB2312" w:hAnsi="Times New Roman" w:eastAsia="楷体_GB2312" w:cs="Times New Roman"/>
          <w:snapToGrid/>
          <w:kern w:val="2"/>
          <w:sz w:val="32"/>
          <w:szCs w:val="32"/>
          <w:lang w:eastAsia="zh-CN"/>
        </w:rPr>
        <w:t>工作原则</w:t>
      </w:r>
      <w:bookmarkEnd w:id="18"/>
      <w:bookmarkEnd w:id="19"/>
      <w:bookmarkEnd w:id="20"/>
      <w:bookmarkEnd w:id="21"/>
      <w:bookmarkEnd w:id="22"/>
      <w:bookmarkEnd w:id="23"/>
    </w:p>
    <w:p w14:paraId="5EC0399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以人为本，预防为主。全面履行政府职能，把保障公众健康和生命财产安全作为首要任务，最大限度减少突发环境事件对人民群众的危害。增强忧患意识，坚持预防与应急相结合、常态与非常态相结合，做好应对突发环境事件的各项准备工作。</w:t>
      </w:r>
    </w:p>
    <w:p w14:paraId="0F6E156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（2）科学预警，分级管控。依靠市级空气质量监测监控体系，科学预警。根据不同预警等级，采取相应级别的应急响应措施，有效降低污染影响程度。</w:t>
      </w:r>
    </w:p>
    <w:p w14:paraId="0D379EB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（3）属地管理，社会参与。建立全区统一的重污染天气应急指挥系统，明确各有关部门、镇</w:t>
      </w:r>
      <w:r>
        <w:rPr>
          <w:rFonts w:hint="eastAsia" w:ascii="Times New Roman" w:hAnsi="Times New Roman" w:eastAsia="仿宋_GB2312" w:cs="Times New Roman"/>
          <w:snapToGrid/>
          <w:kern w:val="2"/>
          <w:sz w:val="32"/>
          <w:szCs w:val="32"/>
          <w:lang w:val="en-US" w:eastAsia="zh-CN"/>
        </w:rPr>
        <w:t>人民政府</w:t>
      </w:r>
      <w:r>
        <w:rPr>
          <w:rFonts w:ascii="Times New Roman" w:hAnsi="Times New Roman" w:eastAsia="仿宋_GB2312" w:cs="Times New Roman"/>
          <w:snapToGrid/>
          <w:kern w:val="2"/>
          <w:sz w:val="32"/>
          <w:szCs w:val="32"/>
          <w:lang w:eastAsia="zh-CN"/>
        </w:rPr>
        <w:t>（街道</w:t>
      </w:r>
      <w:r>
        <w:rPr>
          <w:rFonts w:hint="eastAsia" w:ascii="Times New Roman" w:hAnsi="Times New Roman" w:eastAsia="仿宋_GB2312" w:cs="Times New Roman"/>
          <w:snapToGrid/>
          <w:kern w:val="2"/>
          <w:sz w:val="32"/>
          <w:szCs w:val="32"/>
          <w:lang w:val="en-US" w:eastAsia="zh-CN"/>
        </w:rPr>
        <w:t>办事处</w:t>
      </w:r>
      <w:r>
        <w:rPr>
          <w:rFonts w:ascii="Times New Roman" w:hAnsi="Times New Roman" w:eastAsia="仿宋_GB2312" w:cs="Times New Roman"/>
          <w:snapToGrid/>
          <w:kern w:val="2"/>
          <w:sz w:val="32"/>
          <w:szCs w:val="32"/>
          <w:lang w:eastAsia="zh-CN"/>
        </w:rPr>
        <w:t>）职责分工。各镇</w:t>
      </w:r>
      <w:r>
        <w:rPr>
          <w:rFonts w:hint="eastAsia" w:ascii="Times New Roman" w:hAnsi="Times New Roman" w:eastAsia="仿宋_GB2312" w:cs="Times New Roman"/>
          <w:snapToGrid/>
          <w:kern w:val="2"/>
          <w:sz w:val="32"/>
          <w:szCs w:val="32"/>
          <w:lang w:val="en-US" w:eastAsia="zh-CN"/>
        </w:rPr>
        <w:t>人民政府</w:t>
      </w:r>
      <w:r>
        <w:rPr>
          <w:rFonts w:ascii="Times New Roman" w:hAnsi="Times New Roman" w:eastAsia="仿宋_GB2312" w:cs="Times New Roman"/>
          <w:snapToGrid/>
          <w:kern w:val="2"/>
          <w:sz w:val="32"/>
          <w:szCs w:val="32"/>
          <w:lang w:eastAsia="zh-CN"/>
        </w:rPr>
        <w:t>（街道</w:t>
      </w:r>
      <w:r>
        <w:rPr>
          <w:rFonts w:hint="eastAsia" w:ascii="Times New Roman" w:hAnsi="Times New Roman" w:eastAsia="仿宋_GB2312" w:cs="Times New Roman"/>
          <w:snapToGrid/>
          <w:kern w:val="2"/>
          <w:sz w:val="32"/>
          <w:szCs w:val="32"/>
          <w:lang w:val="en-US" w:eastAsia="zh-CN"/>
        </w:rPr>
        <w:t>办事处</w:t>
      </w:r>
      <w:r>
        <w:rPr>
          <w:rFonts w:ascii="Times New Roman" w:hAnsi="Times New Roman" w:eastAsia="仿宋_GB2312" w:cs="Times New Roman"/>
          <w:snapToGrid/>
          <w:kern w:val="2"/>
          <w:sz w:val="32"/>
          <w:szCs w:val="32"/>
          <w:lang w:eastAsia="zh-CN"/>
        </w:rPr>
        <w:t>）负责本辖区重污染天气应对工作，积极开展区域应急联动。加强各有关部门单位协调联动，建立健全信息共享机制，协同做好重污染天气应对工作。加强信息公开，及时准确发布空气质量监测和预警相关信息，增强公众自我防护意识、参与意识，共同改善环境空气质量。</w:t>
      </w:r>
    </w:p>
    <w:p w14:paraId="29D13A03">
      <w:pPr>
        <w:kinsoku/>
        <w:autoSpaceDE/>
        <w:autoSpaceDN/>
        <w:adjustRightInd/>
        <w:snapToGrid/>
        <w:spacing w:line="560" w:lineRule="exact"/>
        <w:ind w:firstLine="640" w:firstLineChars="200"/>
        <w:textAlignment w:val="auto"/>
        <w:outlineLvl w:val="0"/>
        <w:rPr>
          <w:rFonts w:ascii="黑体" w:hAnsi="黑体" w:eastAsia="黑体" w:cs="Times New Roman"/>
          <w:snapToGrid/>
          <w:kern w:val="2"/>
          <w:sz w:val="32"/>
          <w:szCs w:val="32"/>
          <w:lang w:eastAsia="zh-CN"/>
        </w:rPr>
      </w:pPr>
      <w:bookmarkStart w:id="24" w:name="_Toc22840"/>
      <w:bookmarkStart w:id="25" w:name="_Toc179409550"/>
      <w:bookmarkStart w:id="26" w:name="_Toc29488"/>
      <w:bookmarkStart w:id="27" w:name="_Toc23948"/>
      <w:bookmarkStart w:id="28" w:name="_Toc2504"/>
      <w:bookmarkStart w:id="29" w:name="_Toc31815"/>
      <w:r>
        <w:rPr>
          <w:rFonts w:ascii="黑体" w:hAnsi="黑体" w:eastAsia="黑体" w:cs="Times New Roman"/>
          <w:snapToGrid/>
          <w:kern w:val="2"/>
          <w:sz w:val="32"/>
          <w:szCs w:val="32"/>
          <w:lang w:eastAsia="zh-CN"/>
        </w:rPr>
        <w:t>2组织机构构成与职责</w:t>
      </w:r>
      <w:bookmarkEnd w:id="24"/>
      <w:bookmarkEnd w:id="25"/>
      <w:bookmarkEnd w:id="26"/>
      <w:bookmarkEnd w:id="27"/>
      <w:bookmarkEnd w:id="28"/>
      <w:bookmarkEnd w:id="29"/>
    </w:p>
    <w:p w14:paraId="5AAB42E8">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30" w:name="_Toc17490"/>
      <w:bookmarkStart w:id="31" w:name="_Toc179409551"/>
      <w:bookmarkStart w:id="32" w:name="_Toc26196"/>
      <w:bookmarkStart w:id="33" w:name="_Toc3107"/>
      <w:bookmarkStart w:id="34" w:name="_Toc12099"/>
      <w:bookmarkStart w:id="35" w:name="_Toc13539"/>
      <w:r>
        <w:rPr>
          <w:rFonts w:ascii="楷体_GB2312" w:hAnsi="Times New Roman" w:eastAsia="楷体_GB2312" w:cs="Times New Roman"/>
          <w:snapToGrid/>
          <w:kern w:val="2"/>
          <w:sz w:val="32"/>
          <w:szCs w:val="32"/>
          <w:lang w:eastAsia="zh-CN"/>
        </w:rPr>
        <w:t>2.1组织机构</w:t>
      </w:r>
      <w:bookmarkEnd w:id="30"/>
      <w:bookmarkEnd w:id="31"/>
      <w:bookmarkEnd w:id="32"/>
      <w:bookmarkEnd w:id="33"/>
      <w:bookmarkEnd w:id="34"/>
      <w:bookmarkEnd w:id="35"/>
    </w:p>
    <w:p w14:paraId="7732927F">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芦淞区人民政府设立重污染天气应急指挥部（以下简称区指挥部），芦淞区人民政府分管副区长担任指挥长，区政府办分管副主任和市生态环境局芦淞分局局长担任副指挥长；</w:t>
      </w:r>
      <w:bookmarkStart w:id="36" w:name="OLE_LINK1"/>
      <w:r>
        <w:rPr>
          <w:rFonts w:ascii="Times New Roman" w:hAnsi="Times New Roman" w:eastAsia="仿宋_GB2312" w:cs="Times New Roman"/>
          <w:snapToGrid/>
          <w:kern w:val="2"/>
          <w:sz w:val="32"/>
          <w:szCs w:val="32"/>
          <w:lang w:eastAsia="zh-CN"/>
        </w:rPr>
        <w:t>区政府办公室、区委宣传部、区委网信办、市生态环境局芦淞分局、区发改局、区科工信局、区应急局、区财政局、区自然资源局、区住建局、区城管局、区环卫中心、区农业农村局、区水利局、区教育局、区卫健局、芦淞交警</w:t>
      </w:r>
      <w:bookmarkEnd w:id="36"/>
      <w:r>
        <w:rPr>
          <w:rFonts w:ascii="Times New Roman" w:hAnsi="Times New Roman" w:eastAsia="仿宋_GB2312" w:cs="Times New Roman"/>
          <w:snapToGrid/>
          <w:kern w:val="2"/>
          <w:sz w:val="32"/>
          <w:szCs w:val="32"/>
          <w:lang w:eastAsia="zh-CN"/>
        </w:rPr>
        <w:t>大队，镇人民政府（街道办事处）等单位为成员单位。应急预案启动后，指挥长（或授权副指挥长）负责指挥、协调开展重污染天气应对工作。</w:t>
      </w:r>
    </w:p>
    <w:p w14:paraId="6A2B18A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区指挥部办公室设在芦淞区人民政府，生态环境局芦淞分局局长兼任办公室主任，负责处理</w:t>
      </w:r>
      <w:bookmarkStart w:id="37" w:name="_Hlk179232867"/>
      <w:r>
        <w:rPr>
          <w:rFonts w:ascii="Times New Roman" w:hAnsi="Times New Roman" w:eastAsia="仿宋_GB2312" w:cs="Times New Roman"/>
          <w:snapToGrid/>
          <w:kern w:val="2"/>
          <w:sz w:val="32"/>
          <w:szCs w:val="32"/>
          <w:lang w:eastAsia="zh-CN"/>
        </w:rPr>
        <w:t>日</w:t>
      </w:r>
      <w:bookmarkEnd w:id="37"/>
      <w:r>
        <w:rPr>
          <w:rFonts w:ascii="Times New Roman" w:hAnsi="Times New Roman" w:eastAsia="仿宋_GB2312" w:cs="Times New Roman"/>
          <w:snapToGrid/>
          <w:kern w:val="2"/>
          <w:sz w:val="32"/>
          <w:szCs w:val="32"/>
          <w:lang w:eastAsia="zh-CN"/>
        </w:rPr>
        <w:t>常事务。</w:t>
      </w:r>
    </w:p>
    <w:p w14:paraId="125CDA7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市生态环境局芦淞分局牵头组建重污染天气应对专家组，主要负责重污染天气的响应及评估，为重污染天气应对提供技术支撑与对策建议。</w:t>
      </w:r>
    </w:p>
    <w:p w14:paraId="0F36CCDF">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38" w:name="_Toc20164"/>
      <w:bookmarkStart w:id="39" w:name="_Toc10569"/>
      <w:bookmarkStart w:id="40" w:name="_Toc24313"/>
      <w:bookmarkStart w:id="41" w:name="_Toc179409552"/>
      <w:bookmarkStart w:id="42" w:name="_Toc18455"/>
      <w:bookmarkStart w:id="43" w:name="_Toc8865"/>
      <w:r>
        <w:rPr>
          <w:rFonts w:ascii="楷体_GB2312" w:hAnsi="Times New Roman" w:eastAsia="楷体_GB2312" w:cs="Times New Roman"/>
          <w:snapToGrid/>
          <w:kern w:val="2"/>
          <w:sz w:val="32"/>
          <w:szCs w:val="32"/>
          <w:lang w:eastAsia="zh-CN"/>
        </w:rPr>
        <w:t>2.2主要职责</w:t>
      </w:r>
      <w:bookmarkEnd w:id="38"/>
      <w:bookmarkEnd w:id="39"/>
      <w:bookmarkEnd w:id="40"/>
      <w:bookmarkEnd w:id="41"/>
      <w:bookmarkEnd w:id="42"/>
      <w:bookmarkEnd w:id="43"/>
    </w:p>
    <w:p w14:paraId="445E4A3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区指挥部负责重污染天气应对工作的决策部署；指挥、组织、协调全区及跨区域重污染天气预警、应急响应、总结评估等工作。</w:t>
      </w:r>
    </w:p>
    <w:p w14:paraId="705243E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color w:val="auto"/>
          <w:spacing w:val="5"/>
          <w:sz w:val="32"/>
          <w:szCs w:val="32"/>
          <w:lang w:eastAsia="zh-CN"/>
        </w:rPr>
      </w:pPr>
      <w:r>
        <w:rPr>
          <w:rFonts w:ascii="Times New Roman" w:hAnsi="Times New Roman" w:eastAsia="仿宋_GB2312" w:cs="Times New Roman"/>
          <w:snapToGrid/>
          <w:kern w:val="2"/>
          <w:sz w:val="32"/>
          <w:szCs w:val="32"/>
          <w:lang w:eastAsia="zh-CN"/>
        </w:rPr>
        <w:t>区指挥部办公室负责接收市指挥部门的预警和指令，领导、指挥和组织当地重污染天气应对工作，并结合本区实际，编制完善重污染天气应急预案，全面负责本区内重污染天气应急减排各项措施落实，督促和指导本区各职能部门根据部门职能编制和更新重污染天气相应实施专项方案、应急减排项目清单，以及纳入重污染天气应急减排清单的工业企业编制“一厂一策”实施方案；按照上级预警信息和当地重污染天气应急预案做好重污染气应对工作，应急响应终止后及时做好预案实施的总结评估工作</w:t>
      </w:r>
      <w:r>
        <w:rPr>
          <w:rFonts w:ascii="Times New Roman" w:hAnsi="Times New Roman" w:eastAsia="仿宋_GB2312" w:cs="Times New Roman"/>
          <w:snapToGrid/>
          <w:color w:val="auto"/>
          <w:kern w:val="2"/>
          <w:sz w:val="32"/>
          <w:szCs w:val="32"/>
          <w:lang w:eastAsia="zh-CN"/>
        </w:rPr>
        <w:t>（各部门具体职责见附件）。</w:t>
      </w:r>
    </w:p>
    <w:p w14:paraId="1F049F0F">
      <w:pPr>
        <w:kinsoku/>
        <w:autoSpaceDE/>
        <w:autoSpaceDN/>
        <w:adjustRightInd/>
        <w:snapToGrid/>
        <w:spacing w:line="560" w:lineRule="exact"/>
        <w:ind w:firstLine="640" w:firstLineChars="200"/>
        <w:textAlignment w:val="auto"/>
        <w:outlineLvl w:val="0"/>
        <w:rPr>
          <w:rFonts w:ascii="黑体" w:hAnsi="黑体" w:eastAsia="黑体" w:cs="Times New Roman"/>
          <w:snapToGrid/>
          <w:kern w:val="2"/>
          <w:sz w:val="32"/>
          <w:szCs w:val="32"/>
          <w:lang w:eastAsia="zh-CN"/>
        </w:rPr>
      </w:pPr>
      <w:bookmarkStart w:id="44" w:name="_Toc852"/>
      <w:bookmarkStart w:id="45" w:name="_Toc19286"/>
      <w:bookmarkStart w:id="46" w:name="_Toc179409553"/>
      <w:bookmarkStart w:id="47" w:name="_Toc12233"/>
      <w:bookmarkStart w:id="48" w:name="_Toc4367"/>
      <w:bookmarkStart w:id="49" w:name="_Toc30927"/>
      <w:r>
        <w:rPr>
          <w:rFonts w:ascii="黑体" w:hAnsi="黑体" w:eastAsia="黑体" w:cs="Times New Roman"/>
          <w:snapToGrid/>
          <w:kern w:val="2"/>
          <w:sz w:val="32"/>
          <w:szCs w:val="32"/>
          <w:lang w:eastAsia="zh-CN"/>
        </w:rPr>
        <w:t>3应急准备</w:t>
      </w:r>
      <w:bookmarkEnd w:id="44"/>
      <w:bookmarkEnd w:id="45"/>
      <w:bookmarkEnd w:id="46"/>
      <w:bookmarkEnd w:id="47"/>
      <w:bookmarkEnd w:id="48"/>
      <w:bookmarkEnd w:id="49"/>
    </w:p>
    <w:p w14:paraId="0F56D2B3">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50" w:name="_Toc19854"/>
      <w:bookmarkStart w:id="51" w:name="_Toc16374"/>
      <w:bookmarkStart w:id="52" w:name="_Toc12580"/>
      <w:bookmarkStart w:id="53" w:name="_Toc22072"/>
      <w:bookmarkStart w:id="54" w:name="_Toc179409554"/>
      <w:bookmarkStart w:id="55" w:name="_Toc22958"/>
      <w:r>
        <w:rPr>
          <w:rFonts w:ascii="楷体_GB2312" w:hAnsi="Times New Roman" w:eastAsia="楷体_GB2312" w:cs="Times New Roman"/>
          <w:snapToGrid/>
          <w:kern w:val="2"/>
          <w:sz w:val="32"/>
          <w:szCs w:val="32"/>
          <w:lang w:eastAsia="zh-CN"/>
        </w:rPr>
        <w:t>3.1编制应急减排项目清单</w:t>
      </w:r>
      <w:bookmarkEnd w:id="50"/>
      <w:bookmarkEnd w:id="51"/>
      <w:bookmarkEnd w:id="52"/>
      <w:bookmarkEnd w:id="53"/>
      <w:bookmarkEnd w:id="54"/>
      <w:bookmarkEnd w:id="55"/>
    </w:p>
    <w:p w14:paraId="10DDE51D">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市生态环境</w:t>
      </w:r>
      <w:r>
        <w:rPr>
          <w:rFonts w:hint="eastAsia" w:ascii="Times New Roman" w:hAnsi="Times New Roman" w:eastAsia="仿宋_GB2312" w:cs="Times New Roman"/>
          <w:snapToGrid/>
          <w:kern w:val="2"/>
          <w:sz w:val="32"/>
          <w:szCs w:val="32"/>
          <w:lang w:eastAsia="zh-CN"/>
        </w:rPr>
        <w:t>局</w:t>
      </w:r>
      <w:r>
        <w:rPr>
          <w:rFonts w:ascii="Times New Roman" w:hAnsi="Times New Roman" w:eastAsia="仿宋_GB2312" w:cs="Times New Roman"/>
          <w:snapToGrid/>
          <w:kern w:val="2"/>
          <w:sz w:val="32"/>
          <w:szCs w:val="32"/>
          <w:lang w:eastAsia="zh-CN"/>
        </w:rPr>
        <w:t>芦淞分局牵头，区</w:t>
      </w:r>
      <w:r>
        <w:rPr>
          <w:rFonts w:hint="eastAsia" w:ascii="Times New Roman" w:hAnsi="Times New Roman" w:eastAsia="仿宋_GB2312" w:cs="Times New Roman"/>
          <w:snapToGrid/>
          <w:kern w:val="2"/>
          <w:sz w:val="32"/>
          <w:szCs w:val="32"/>
          <w:lang w:eastAsia="zh-CN"/>
        </w:rPr>
        <w:t>科工信</w:t>
      </w:r>
      <w:r>
        <w:rPr>
          <w:rFonts w:ascii="Times New Roman" w:hAnsi="Times New Roman" w:eastAsia="仿宋_GB2312" w:cs="Times New Roman"/>
          <w:snapToGrid/>
          <w:kern w:val="2"/>
          <w:sz w:val="32"/>
          <w:szCs w:val="32"/>
          <w:lang w:eastAsia="zh-CN"/>
        </w:rPr>
        <w:t>局参与，指导编制更新工业企业应急减排项目清单；区住建局</w:t>
      </w:r>
      <w:r>
        <w:rPr>
          <w:rFonts w:hint="eastAsia" w:ascii="Times New Roman" w:hAnsi="Times New Roman" w:eastAsia="仿宋_GB2312" w:cs="Times New Roman"/>
          <w:snapToGrid/>
          <w:kern w:val="2"/>
          <w:sz w:val="32"/>
          <w:szCs w:val="32"/>
          <w:lang w:eastAsia="zh-CN"/>
        </w:rPr>
        <w:t>配合市住建局</w:t>
      </w:r>
      <w:r>
        <w:rPr>
          <w:rFonts w:ascii="Times New Roman" w:hAnsi="Times New Roman" w:eastAsia="仿宋_GB2312" w:cs="Times New Roman"/>
          <w:snapToGrid/>
          <w:kern w:val="2"/>
          <w:sz w:val="32"/>
          <w:szCs w:val="32"/>
          <w:lang w:eastAsia="zh-CN"/>
        </w:rPr>
        <w:t>编制更新房屋建筑和市政基础设施施工工地应急减排项目清单；区城管局指导编制更新建筑垃圾</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含渣土</w:t>
      </w:r>
      <w:r>
        <w:rPr>
          <w:rFonts w:hint="eastAsia" w:ascii="Times New Roman" w:hAnsi="Times New Roman" w:eastAsia="仿宋_GB2312" w:cs="Times New Roman"/>
          <w:snapToGrid/>
          <w:kern w:val="2"/>
          <w:sz w:val="32"/>
          <w:szCs w:val="32"/>
          <w:lang w:eastAsia="zh-CN"/>
        </w:rPr>
        <w:t>）</w:t>
      </w:r>
      <w:r>
        <w:rPr>
          <w:rFonts w:ascii="Times New Roman" w:hAnsi="Times New Roman" w:eastAsia="仿宋_GB2312" w:cs="Times New Roman"/>
          <w:snapToGrid/>
          <w:kern w:val="2"/>
          <w:sz w:val="32"/>
          <w:szCs w:val="32"/>
          <w:lang w:eastAsia="zh-CN"/>
        </w:rPr>
        <w:t>运输和项目前期工地重污染天气应急减排项目清单；区自然资源局指导编制更新土地整理施工应急减排项目清单；区交通运输局指导编制更新交通建设施工应急减排项目清单；区水利局指导编制更新水利建设施工应急减排项目清单，将差异化应急减排措施层层落实到具体工业企业、施工工地等，分类提出切实有效、便于操作的应急减排措施。</w:t>
      </w:r>
    </w:p>
    <w:p w14:paraId="2BAB32F9">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56" w:name="_Toc31179"/>
      <w:bookmarkStart w:id="57" w:name="_Toc14458"/>
      <w:bookmarkStart w:id="58" w:name="_Toc179409555"/>
      <w:bookmarkStart w:id="59" w:name="_Toc28766"/>
      <w:bookmarkStart w:id="60" w:name="_Toc8160"/>
      <w:bookmarkStart w:id="61" w:name="_Toc19105"/>
      <w:r>
        <w:rPr>
          <w:rFonts w:ascii="楷体_GB2312" w:hAnsi="Times New Roman" w:eastAsia="楷体_GB2312" w:cs="Times New Roman"/>
          <w:snapToGrid/>
          <w:kern w:val="2"/>
          <w:sz w:val="32"/>
          <w:szCs w:val="32"/>
          <w:lang w:eastAsia="zh-CN"/>
        </w:rPr>
        <w:t>3.2夯实应急减排措施</w:t>
      </w:r>
      <w:bookmarkEnd w:id="56"/>
      <w:bookmarkEnd w:id="57"/>
      <w:bookmarkEnd w:id="58"/>
      <w:bookmarkEnd w:id="59"/>
      <w:bookmarkEnd w:id="60"/>
      <w:bookmarkEnd w:id="61"/>
    </w:p>
    <w:p w14:paraId="61CF3F17">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市生态环境局芦淞分局组织</w:t>
      </w:r>
      <w:r>
        <w:rPr>
          <w:rFonts w:hint="eastAsia" w:ascii="Times New Roman" w:hAnsi="Times New Roman" w:eastAsia="仿宋_GB2312" w:cs="Times New Roman"/>
          <w:snapToGrid/>
          <w:kern w:val="2"/>
          <w:sz w:val="32"/>
          <w:szCs w:val="32"/>
          <w:lang w:eastAsia="zh-CN"/>
        </w:rPr>
        <w:t>负责工业源</w:t>
      </w:r>
      <w:r>
        <w:rPr>
          <w:rFonts w:ascii="Times New Roman" w:hAnsi="Times New Roman" w:eastAsia="仿宋_GB2312" w:cs="Times New Roman"/>
          <w:snapToGrid/>
          <w:kern w:val="2"/>
          <w:sz w:val="32"/>
          <w:szCs w:val="32"/>
          <w:lang w:eastAsia="zh-CN"/>
        </w:rPr>
        <w:t>应急减排项目清单</w:t>
      </w:r>
      <w:r>
        <w:rPr>
          <w:rFonts w:hint="eastAsia" w:ascii="Times New Roman" w:hAnsi="Times New Roman" w:eastAsia="仿宋_GB2312" w:cs="Times New Roman"/>
          <w:snapToGrid/>
          <w:kern w:val="2"/>
          <w:sz w:val="32"/>
          <w:szCs w:val="32"/>
          <w:lang w:eastAsia="zh-CN"/>
        </w:rPr>
        <w:t>，组织审查</w:t>
      </w:r>
      <w:r>
        <w:rPr>
          <w:rFonts w:ascii="Times New Roman" w:hAnsi="Times New Roman" w:eastAsia="仿宋_GB2312" w:cs="Times New Roman"/>
          <w:snapToGrid/>
          <w:kern w:val="2"/>
          <w:sz w:val="32"/>
          <w:szCs w:val="32"/>
          <w:lang w:eastAsia="zh-CN"/>
        </w:rPr>
        <w:t>减排措施和应急减排比例审核。主要包括基础排放量和应急减排基数。通过实施多污染物协同减排，在强制性减排措施中，二氧化硫、氮氧化物、颗粒物、挥发性有机物的应急减排比例在黄色、橙色和红色应急响应期间，应当分别达到全社会排放量的10%、20%和30%以上，可根据本地污染物排放构成适当调整二氧化硫和氮氧化物减排比例，但二者比例之和不应低于上述总体要求。在制定减排措施时，应在满足减排比例要求的前提下，采取差异化减排措施。</w:t>
      </w:r>
    </w:p>
    <w:p w14:paraId="66B43DE1">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62" w:name="_Toc16894"/>
      <w:bookmarkStart w:id="63" w:name="_Toc30576"/>
      <w:bookmarkStart w:id="64" w:name="_Toc179409556"/>
      <w:bookmarkStart w:id="65" w:name="_Toc31775"/>
      <w:bookmarkStart w:id="66" w:name="_Toc7086"/>
      <w:bookmarkStart w:id="67" w:name="_Toc11947"/>
      <w:r>
        <w:rPr>
          <w:rFonts w:ascii="楷体_GB2312" w:hAnsi="Times New Roman" w:eastAsia="楷体_GB2312" w:cs="Times New Roman"/>
          <w:snapToGrid/>
          <w:kern w:val="2"/>
          <w:sz w:val="32"/>
          <w:szCs w:val="32"/>
          <w:lang w:eastAsia="zh-CN"/>
        </w:rPr>
        <w:t>3.3指导企业制定“一厂一策”实施方案</w:t>
      </w:r>
      <w:bookmarkEnd w:id="62"/>
      <w:bookmarkEnd w:id="63"/>
      <w:bookmarkEnd w:id="64"/>
      <w:bookmarkEnd w:id="65"/>
      <w:bookmarkEnd w:id="66"/>
      <w:bookmarkEnd w:id="67"/>
    </w:p>
    <w:p w14:paraId="2BB6C97D">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市生态环境局芦淞分局会同相关部门指导纳入重污染天气应急减排项目清单的工业企业制定“一厂一策”实施方案。实施方案包含企业基本情况、主要生产工艺流程、主要产生和排放大气污染物环节、污染物排放情况（含重型运输车辆及非道路移动机械），并载明不同级别预警下的应急减排措施，明确具体停产的生产线、工艺环节和各类减排措施的关键性指标，细化具体减排工序责任人及联系方式等。企业应当制定“一厂一策”实施方案公示牌，安装在厂区入口等醒目位置。对于简易工序或重污染预警期间实施全厂、整条生产线停产和轮流停产的工业企业，可只制定“公示牌”。</w:t>
      </w:r>
    </w:p>
    <w:p w14:paraId="1E5C97B4">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68" w:name="_Toc179409557"/>
      <w:r>
        <w:rPr>
          <w:rFonts w:ascii="楷体_GB2312" w:hAnsi="Times New Roman" w:eastAsia="楷体_GB2312" w:cs="Times New Roman"/>
          <w:snapToGrid/>
          <w:kern w:val="2"/>
          <w:sz w:val="32"/>
          <w:szCs w:val="32"/>
          <w:lang w:eastAsia="zh-CN"/>
        </w:rPr>
        <w:t>3.4预警分区</w:t>
      </w:r>
      <w:bookmarkEnd w:id="68"/>
    </w:p>
    <w:p w14:paraId="61349F5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根据株洲市重污染天气应急预案以及芦淞区地理位置关系，辖区内污染源分布情况，将全区分为重点控制区和一般控制区。</w:t>
      </w:r>
    </w:p>
    <w:p w14:paraId="3AD0D8D8">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重点控制区：国家大气监测控制区域、区工业聚集区、重点涉气企业厂区、重要道路。</w:t>
      </w:r>
    </w:p>
    <w:p w14:paraId="791B97F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一般控制区：除国家大气监测控制区域、区工业聚集区、重点涉气企业厂区、重要道路外区域。</w:t>
      </w:r>
    </w:p>
    <w:p w14:paraId="32A16267">
      <w:pPr>
        <w:kinsoku/>
        <w:autoSpaceDE/>
        <w:autoSpaceDN/>
        <w:adjustRightInd/>
        <w:snapToGrid/>
        <w:spacing w:line="560" w:lineRule="exact"/>
        <w:ind w:firstLine="640" w:firstLineChars="200"/>
        <w:textAlignment w:val="auto"/>
        <w:outlineLvl w:val="0"/>
        <w:rPr>
          <w:rFonts w:ascii="黑体" w:hAnsi="黑体" w:eastAsia="黑体" w:cs="Times New Roman"/>
          <w:snapToGrid/>
          <w:kern w:val="2"/>
          <w:sz w:val="32"/>
          <w:szCs w:val="32"/>
          <w:lang w:eastAsia="zh-CN"/>
        </w:rPr>
      </w:pPr>
      <w:bookmarkStart w:id="69" w:name="_Toc15237"/>
      <w:bookmarkStart w:id="70" w:name="_Toc22763"/>
      <w:bookmarkStart w:id="71" w:name="_Toc7935"/>
      <w:bookmarkStart w:id="72" w:name="_Toc25252"/>
      <w:bookmarkStart w:id="73" w:name="_Toc7853"/>
      <w:bookmarkStart w:id="74" w:name="_Toc179409558"/>
      <w:r>
        <w:rPr>
          <w:rFonts w:ascii="黑体" w:hAnsi="黑体" w:eastAsia="黑体" w:cs="Times New Roman"/>
          <w:snapToGrid/>
          <w:kern w:val="2"/>
          <w:sz w:val="32"/>
          <w:szCs w:val="32"/>
          <w:lang w:eastAsia="zh-CN"/>
        </w:rPr>
        <w:t>4预警</w:t>
      </w:r>
      <w:bookmarkEnd w:id="69"/>
      <w:bookmarkEnd w:id="70"/>
      <w:bookmarkEnd w:id="71"/>
      <w:bookmarkEnd w:id="72"/>
      <w:bookmarkEnd w:id="73"/>
      <w:r>
        <w:rPr>
          <w:rFonts w:ascii="黑体" w:hAnsi="黑体" w:eastAsia="黑体" w:cs="Times New Roman"/>
          <w:snapToGrid/>
          <w:kern w:val="2"/>
          <w:sz w:val="32"/>
          <w:szCs w:val="32"/>
          <w:lang w:eastAsia="zh-CN"/>
        </w:rPr>
        <w:t>与发布</w:t>
      </w:r>
      <w:bookmarkEnd w:id="74"/>
    </w:p>
    <w:p w14:paraId="7448DF82">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75" w:name="_Toc179409559"/>
      <w:bookmarkStart w:id="76" w:name="_Toc13474"/>
      <w:bookmarkStart w:id="77" w:name="_Toc30877"/>
      <w:bookmarkStart w:id="78" w:name="_Toc29466"/>
      <w:bookmarkStart w:id="79" w:name="_Toc9423"/>
      <w:bookmarkStart w:id="80" w:name="_Toc485"/>
      <w:r>
        <w:rPr>
          <w:rFonts w:ascii="楷体_GB2312" w:hAnsi="Times New Roman" w:eastAsia="楷体_GB2312" w:cs="Times New Roman"/>
          <w:snapToGrid/>
          <w:kern w:val="2"/>
          <w:sz w:val="32"/>
          <w:szCs w:val="32"/>
          <w:lang w:eastAsia="zh-CN"/>
        </w:rPr>
        <w:t>4.1预警分级</w:t>
      </w:r>
      <w:bookmarkEnd w:id="75"/>
      <w:bookmarkEnd w:id="76"/>
      <w:bookmarkEnd w:id="77"/>
      <w:bookmarkEnd w:id="78"/>
      <w:bookmarkEnd w:id="79"/>
      <w:bookmarkEnd w:id="80"/>
    </w:p>
    <w:p w14:paraId="2AB3731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本预案所称重污染天气是指根据《环境空气质量指数（AQI）技术规定（试行）》（HJ633-2012），环境空气质量指数（AQI）大于200，即空气质量达到5级（重度污染）及以上污染程度的大气污染。</w:t>
      </w:r>
    </w:p>
    <w:p w14:paraId="4154072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重污染天气预警统一以AQI日均值为指标，按连续24小时(可跨自然日)均值计算，按照环境质量预测结果、空气污染程度、重污染天气持续时间等因素，将重污染天气预警分为3个级别，由轻到重依次分为黄色(Ⅲ级)预警、橙色(Ⅱ级)预警、红色(Ⅰ级)预警。</w:t>
      </w:r>
    </w:p>
    <w:p w14:paraId="4FA391C0">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81" w:name="_Toc9340"/>
      <w:bookmarkStart w:id="82" w:name="_Toc12294"/>
      <w:bookmarkStart w:id="83" w:name="_Toc7610"/>
      <w:bookmarkStart w:id="84" w:name="_Toc3027"/>
      <w:bookmarkStart w:id="85" w:name="_Toc12414"/>
      <w:bookmarkStart w:id="86" w:name="_Toc179409560"/>
      <w:r>
        <w:rPr>
          <w:rFonts w:ascii="楷体_GB2312" w:hAnsi="Times New Roman" w:eastAsia="楷体_GB2312" w:cs="Times New Roman"/>
          <w:snapToGrid/>
          <w:kern w:val="2"/>
          <w:sz w:val="32"/>
          <w:szCs w:val="32"/>
          <w:lang w:eastAsia="zh-CN"/>
        </w:rPr>
        <w:t>4.</w:t>
      </w:r>
      <w:r>
        <w:rPr>
          <w:rFonts w:hint="eastAsia" w:ascii="楷体_GB2312" w:hAnsi="Times New Roman" w:eastAsia="楷体_GB2312" w:cs="Times New Roman"/>
          <w:snapToGrid/>
          <w:kern w:val="2"/>
          <w:sz w:val="32"/>
          <w:szCs w:val="32"/>
          <w:lang w:eastAsia="zh-CN"/>
        </w:rPr>
        <w:t>1</w:t>
      </w:r>
      <w:r>
        <w:rPr>
          <w:rFonts w:ascii="楷体_GB2312" w:hAnsi="Times New Roman" w:eastAsia="楷体_GB2312" w:cs="Times New Roman"/>
          <w:snapToGrid/>
          <w:kern w:val="2"/>
          <w:sz w:val="32"/>
          <w:szCs w:val="32"/>
          <w:lang w:eastAsia="zh-CN"/>
        </w:rPr>
        <w:t>.1</w:t>
      </w:r>
      <w:bookmarkEnd w:id="81"/>
      <w:bookmarkEnd w:id="82"/>
      <w:bookmarkEnd w:id="83"/>
      <w:bookmarkEnd w:id="84"/>
      <w:bookmarkEnd w:id="85"/>
      <w:r>
        <w:rPr>
          <w:rFonts w:ascii="楷体_GB2312" w:hAnsi="Times New Roman" w:eastAsia="楷体_GB2312" w:cs="Times New Roman"/>
          <w:snapToGrid/>
          <w:kern w:val="2"/>
          <w:sz w:val="32"/>
          <w:szCs w:val="32"/>
          <w:lang w:eastAsia="zh-CN"/>
        </w:rPr>
        <w:t>分级标准</w:t>
      </w:r>
      <w:bookmarkEnd w:id="86"/>
    </w:p>
    <w:p w14:paraId="511B552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黄色(Ⅲ级)预警：预测日AQI&gt;200或日AQI&gt;150持续48小时及以上，且未达到高级别预警条件。</w:t>
      </w:r>
    </w:p>
    <w:p w14:paraId="209DBFC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橙色(Ⅱ级)预警：预测日AQI&gt;200持续48小时或日AQI&gt;150持续72小时及以上，且未达到高级别预警条件。</w:t>
      </w:r>
    </w:p>
    <w:p w14:paraId="5ED351F7">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napToGrid/>
          <w:kern w:val="2"/>
          <w:sz w:val="32"/>
          <w:szCs w:val="32"/>
          <w:lang w:eastAsia="zh-CN"/>
        </w:rPr>
        <w:t>红色(Ⅰ级)预警：预测日AQI&gt;200持续72小时且日AQI&gt;300持续24小时及以上。</w:t>
      </w:r>
    </w:p>
    <w:p w14:paraId="6BFC69A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坚持预防为主的原则，当接收到株洲市重污染天气应急指挥中心发布的预警通报时，根据株洲市重污染天气应急指挥中心发布的预警通报的空气质量情况，当预测未来24小时出现PM10均值浓度&gt;150μg/m³(微克/立方米)、PM2.5均值浓度&gt;75μg/m³或臭氧(O</w:t>
      </w:r>
      <w:r>
        <w:rPr>
          <w:rFonts w:ascii="Times New Roman" w:hAnsi="Times New Roman" w:eastAsia="仿宋_GB2312" w:cs="Times New Roman"/>
          <w:snapToGrid/>
          <w:kern w:val="2"/>
          <w:sz w:val="32"/>
          <w:szCs w:val="32"/>
          <w:vertAlign w:val="subscript"/>
          <w:lang w:eastAsia="zh-CN"/>
        </w:rPr>
        <w:t>3</w:t>
      </w:r>
      <w:r>
        <w:rPr>
          <w:rFonts w:ascii="Times New Roman" w:hAnsi="Times New Roman" w:eastAsia="仿宋_GB2312" w:cs="Times New Roman"/>
          <w:snapToGrid/>
          <w:kern w:val="2"/>
          <w:sz w:val="32"/>
          <w:szCs w:val="32"/>
          <w:lang w:eastAsia="zh-CN"/>
        </w:rPr>
        <w:t>)8小时滑动平均浓度&gt;160μg/m³，且尚未达到黄色预警条件时，应加强公众健康防护信息提示，结合实际情况加强预防。</w:t>
      </w:r>
    </w:p>
    <w:p w14:paraId="4D6E7F0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当接收到株洲市重污染天气应急指挥中心发布的预警指令时，按株洲市指挥中心发布的预警级别确定预警级别。当监测AQI&gt;150，且预测未来24小时内空气质量不会有明显改善时，应当根据实际污染情况尽早启动或调整相应级别的预警。</w:t>
      </w:r>
    </w:p>
    <w:p w14:paraId="230C8C35">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87" w:name="_Toc28412"/>
      <w:bookmarkStart w:id="88" w:name="_Toc7267"/>
      <w:bookmarkStart w:id="89" w:name="_Toc29415"/>
      <w:bookmarkStart w:id="90" w:name="_Toc13890"/>
      <w:bookmarkStart w:id="91" w:name="_Toc179409561"/>
      <w:bookmarkStart w:id="92" w:name="_Toc10333"/>
      <w:r>
        <w:rPr>
          <w:rFonts w:ascii="楷体_GB2312" w:hAnsi="Times New Roman" w:eastAsia="楷体_GB2312" w:cs="Times New Roman"/>
          <w:snapToGrid/>
          <w:kern w:val="2"/>
          <w:sz w:val="32"/>
          <w:szCs w:val="32"/>
          <w:lang w:eastAsia="zh-CN"/>
        </w:rPr>
        <w:t>4.1.2区域联动预警</w:t>
      </w:r>
      <w:bookmarkEnd w:id="87"/>
      <w:bookmarkEnd w:id="88"/>
      <w:bookmarkEnd w:id="89"/>
      <w:bookmarkEnd w:id="90"/>
      <w:bookmarkEnd w:id="91"/>
      <w:bookmarkEnd w:id="92"/>
    </w:p>
    <w:p w14:paraId="336BA47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当接收到市级区域联动预警信息时，区应急指挥协调小组应及时依据预警提示信息和本地重污染天气应急预案，结合实际污染情况及时启动相应级别或更高级别的应急预警。</w:t>
      </w:r>
    </w:p>
    <w:p w14:paraId="439179EB">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93" w:name="_Toc19231"/>
      <w:bookmarkStart w:id="94" w:name="_Toc4067"/>
      <w:bookmarkStart w:id="95" w:name="_Toc12742"/>
      <w:bookmarkStart w:id="96" w:name="_Toc25178"/>
      <w:bookmarkStart w:id="97" w:name="_Toc25893"/>
      <w:bookmarkStart w:id="98" w:name="_Toc179409562"/>
      <w:r>
        <w:rPr>
          <w:rFonts w:ascii="楷体_GB2312" w:hAnsi="Times New Roman" w:eastAsia="楷体_GB2312" w:cs="Times New Roman"/>
          <w:snapToGrid/>
          <w:kern w:val="2"/>
          <w:sz w:val="32"/>
          <w:szCs w:val="32"/>
          <w:lang w:eastAsia="zh-CN"/>
        </w:rPr>
        <w:t>4.2预警会商</w:t>
      </w:r>
      <w:bookmarkEnd w:id="93"/>
      <w:bookmarkEnd w:id="94"/>
      <w:bookmarkEnd w:id="95"/>
      <w:bookmarkEnd w:id="96"/>
      <w:bookmarkEnd w:id="97"/>
      <w:bookmarkEnd w:id="98"/>
    </w:p>
    <w:p w14:paraId="3EFEFC8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市生态环境局芦淞分局会同区相关部门开展重污染天气预警会商工作。根据市级预警通报，未来可能出现重污染天气时，应当及时发起会商。当预测出现符合重污染天气预警条件的天气时，及时向区指挥部提出预警建议。区域联动预警和区级预警响应期间应增加会商频次，必要时请区指挥部指挥长、副指挥长和有关成员单位负责人、专家组参与会商。</w:t>
      </w:r>
    </w:p>
    <w:p w14:paraId="572B47F9">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99" w:name="bookmark37"/>
      <w:bookmarkEnd w:id="99"/>
      <w:bookmarkStart w:id="100" w:name="bookmark38"/>
      <w:bookmarkEnd w:id="100"/>
      <w:bookmarkStart w:id="101" w:name="_Toc179409563"/>
      <w:bookmarkStart w:id="102" w:name="_Toc5223"/>
      <w:bookmarkStart w:id="103" w:name="_Toc15635"/>
      <w:bookmarkStart w:id="104" w:name="_Toc14776"/>
      <w:bookmarkStart w:id="105" w:name="_Toc4110"/>
      <w:bookmarkStart w:id="106" w:name="_Toc30930"/>
      <w:r>
        <w:rPr>
          <w:rFonts w:ascii="楷体_GB2312" w:hAnsi="Times New Roman" w:eastAsia="楷体_GB2312" w:cs="Times New Roman"/>
          <w:snapToGrid/>
          <w:kern w:val="2"/>
          <w:sz w:val="32"/>
          <w:szCs w:val="32"/>
          <w:lang w:eastAsia="zh-CN"/>
        </w:rPr>
        <w:t>4.</w:t>
      </w:r>
      <w:r>
        <w:rPr>
          <w:rFonts w:hint="eastAsia" w:ascii="楷体_GB2312" w:hAnsi="Times New Roman" w:eastAsia="楷体_GB2312" w:cs="Times New Roman"/>
          <w:snapToGrid/>
          <w:kern w:val="2"/>
          <w:sz w:val="32"/>
          <w:szCs w:val="32"/>
          <w:lang w:eastAsia="zh-CN"/>
        </w:rPr>
        <w:t>3</w:t>
      </w:r>
      <w:r>
        <w:rPr>
          <w:rFonts w:ascii="楷体_GB2312" w:hAnsi="Times New Roman" w:eastAsia="楷体_GB2312" w:cs="Times New Roman"/>
          <w:snapToGrid/>
          <w:kern w:val="2"/>
          <w:sz w:val="32"/>
          <w:szCs w:val="32"/>
          <w:lang w:eastAsia="zh-CN"/>
        </w:rPr>
        <w:t>预警发布</w:t>
      </w:r>
      <w:bookmarkEnd w:id="101"/>
      <w:bookmarkEnd w:id="102"/>
      <w:bookmarkEnd w:id="103"/>
      <w:bookmarkEnd w:id="104"/>
      <w:bookmarkEnd w:id="105"/>
      <w:bookmarkEnd w:id="106"/>
    </w:p>
    <w:p w14:paraId="3274EF6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达到预警条件时，由市级相关单位会提前24小时以上发布预警，区启动相应等级应急响应，并上报指挥长和副指挥长。</w:t>
      </w:r>
    </w:p>
    <w:p w14:paraId="4B10207F">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07" w:name="bookmark40"/>
      <w:bookmarkEnd w:id="107"/>
      <w:bookmarkStart w:id="108" w:name="bookmark39"/>
      <w:bookmarkEnd w:id="108"/>
      <w:bookmarkStart w:id="109" w:name="_Toc31279"/>
      <w:bookmarkStart w:id="110" w:name="_Toc8139"/>
      <w:bookmarkStart w:id="111" w:name="_Toc5001"/>
      <w:bookmarkStart w:id="112" w:name="_Toc30682"/>
      <w:bookmarkStart w:id="113" w:name="_Toc30187"/>
      <w:bookmarkStart w:id="114" w:name="_Toc179409564"/>
      <w:r>
        <w:rPr>
          <w:rFonts w:ascii="楷体_GB2312" w:hAnsi="Times New Roman" w:eastAsia="楷体_GB2312" w:cs="Times New Roman"/>
          <w:snapToGrid/>
          <w:kern w:val="2"/>
          <w:sz w:val="32"/>
          <w:szCs w:val="32"/>
          <w:lang w:eastAsia="zh-CN"/>
        </w:rPr>
        <w:t>4.</w:t>
      </w:r>
      <w:r>
        <w:rPr>
          <w:rFonts w:hint="eastAsia" w:ascii="楷体_GB2312" w:hAnsi="Times New Roman" w:eastAsia="楷体_GB2312" w:cs="Times New Roman"/>
          <w:snapToGrid/>
          <w:kern w:val="2"/>
          <w:sz w:val="32"/>
          <w:szCs w:val="32"/>
          <w:lang w:eastAsia="zh-CN"/>
        </w:rPr>
        <w:t>4</w:t>
      </w:r>
      <w:r>
        <w:rPr>
          <w:rFonts w:ascii="楷体_GB2312" w:hAnsi="Times New Roman" w:eastAsia="楷体_GB2312" w:cs="Times New Roman"/>
          <w:snapToGrid/>
          <w:kern w:val="2"/>
          <w:sz w:val="32"/>
          <w:szCs w:val="32"/>
          <w:lang w:eastAsia="zh-CN"/>
        </w:rPr>
        <w:t>预警变更</w:t>
      </w:r>
      <w:bookmarkEnd w:id="109"/>
      <w:bookmarkEnd w:id="110"/>
      <w:bookmarkEnd w:id="111"/>
      <w:bookmarkEnd w:id="112"/>
      <w:bookmarkEnd w:id="113"/>
      <w:r>
        <w:rPr>
          <w:rFonts w:ascii="楷体_GB2312" w:hAnsi="Times New Roman" w:eastAsia="楷体_GB2312" w:cs="Times New Roman"/>
          <w:snapToGrid/>
          <w:kern w:val="2"/>
          <w:sz w:val="32"/>
          <w:szCs w:val="32"/>
          <w:lang w:eastAsia="zh-CN"/>
        </w:rPr>
        <w:t>、解除</w:t>
      </w:r>
      <w:bookmarkEnd w:id="114"/>
    </w:p>
    <w:p w14:paraId="44BB942F">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bookmarkStart w:id="115" w:name="_Toc25235"/>
      <w:bookmarkStart w:id="116" w:name="_Toc29850"/>
      <w:bookmarkStart w:id="117" w:name="_Toc15540"/>
      <w:bookmarkStart w:id="118" w:name="_Toc18112"/>
      <w:bookmarkStart w:id="119" w:name="_Toc6445"/>
      <w:r>
        <w:rPr>
          <w:rFonts w:ascii="Times New Roman" w:hAnsi="Times New Roman" w:eastAsia="仿宋_GB2312" w:cs="Times New Roman"/>
          <w:snapToGrid/>
          <w:kern w:val="2"/>
          <w:sz w:val="32"/>
          <w:szCs w:val="32"/>
          <w:lang w:eastAsia="zh-CN"/>
        </w:rPr>
        <w:t>根据空气质量和天气预测信息，市应急办组织发布预警调级或解除信息，区相应调整，并上报指挥长和副指挥长。</w:t>
      </w:r>
    </w:p>
    <w:p w14:paraId="6B30A610">
      <w:pPr>
        <w:kinsoku/>
        <w:autoSpaceDE/>
        <w:autoSpaceDN/>
        <w:adjustRightInd/>
        <w:snapToGrid/>
        <w:spacing w:line="560" w:lineRule="exact"/>
        <w:ind w:firstLine="640" w:firstLineChars="200"/>
        <w:textAlignment w:val="auto"/>
        <w:outlineLvl w:val="0"/>
        <w:rPr>
          <w:rFonts w:ascii="黑体" w:hAnsi="黑体" w:eastAsia="黑体" w:cs="Times New Roman"/>
          <w:snapToGrid/>
          <w:kern w:val="2"/>
          <w:sz w:val="32"/>
          <w:szCs w:val="32"/>
          <w:lang w:eastAsia="zh-CN"/>
        </w:rPr>
      </w:pPr>
      <w:bookmarkStart w:id="120" w:name="_Toc179409565"/>
      <w:r>
        <w:rPr>
          <w:rFonts w:ascii="黑体" w:hAnsi="黑体" w:eastAsia="黑体" w:cs="Times New Roman"/>
          <w:snapToGrid/>
          <w:kern w:val="2"/>
          <w:sz w:val="32"/>
          <w:szCs w:val="32"/>
          <w:lang w:eastAsia="zh-CN"/>
        </w:rPr>
        <w:t>5应急响应和措施</w:t>
      </w:r>
      <w:bookmarkEnd w:id="115"/>
      <w:bookmarkEnd w:id="116"/>
      <w:bookmarkEnd w:id="117"/>
      <w:bookmarkEnd w:id="118"/>
      <w:bookmarkEnd w:id="119"/>
      <w:bookmarkEnd w:id="120"/>
    </w:p>
    <w:p w14:paraId="445FAF98">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21" w:name="_Toc179409566"/>
      <w:bookmarkStart w:id="122" w:name="_Toc6644"/>
      <w:bookmarkStart w:id="123" w:name="_Toc19271"/>
      <w:bookmarkStart w:id="124" w:name="_Toc25482"/>
      <w:bookmarkStart w:id="125" w:name="_Toc30728"/>
      <w:bookmarkStart w:id="126" w:name="_Toc25625"/>
      <w:r>
        <w:rPr>
          <w:rFonts w:ascii="楷体_GB2312" w:hAnsi="Times New Roman" w:eastAsia="楷体_GB2312" w:cs="Times New Roman"/>
          <w:snapToGrid/>
          <w:kern w:val="2"/>
          <w:sz w:val="32"/>
          <w:szCs w:val="32"/>
          <w:lang w:eastAsia="zh-CN"/>
        </w:rPr>
        <w:t>5.1响应分级及启动</w:t>
      </w:r>
      <w:bookmarkEnd w:id="121"/>
      <w:bookmarkEnd w:id="122"/>
      <w:bookmarkEnd w:id="123"/>
      <w:bookmarkEnd w:id="124"/>
      <w:bookmarkEnd w:id="125"/>
      <w:bookmarkEnd w:id="126"/>
    </w:p>
    <w:p w14:paraId="25E036C2">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与预警等级相对应，实行3级应急响应。当发布黄色预警时，启动Ⅲ级应急响应；当发布橙色预警时，启动Ⅱ级应急响应；当发布红色预警时，启动Ⅰ级应急响应。</w:t>
      </w:r>
    </w:p>
    <w:p w14:paraId="25A17078">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区指挥部各成员单位按照各自职责，迅速启动相应级别应急响应，落实应急值守制度，做好应急人员、车辆、设备、物资的调度，并采取相应措施。</w:t>
      </w:r>
    </w:p>
    <w:p w14:paraId="3D6463B7">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27" w:name="_Toc300"/>
      <w:bookmarkStart w:id="128" w:name="_Toc13421"/>
      <w:bookmarkStart w:id="129" w:name="_Toc179409567"/>
      <w:bookmarkStart w:id="130" w:name="_Toc774"/>
      <w:bookmarkStart w:id="131" w:name="_Toc20282"/>
      <w:bookmarkStart w:id="132" w:name="_Toc19702"/>
      <w:r>
        <w:rPr>
          <w:rFonts w:ascii="楷体_GB2312" w:hAnsi="Times New Roman" w:eastAsia="楷体_GB2312" w:cs="Times New Roman"/>
          <w:snapToGrid/>
          <w:kern w:val="2"/>
          <w:sz w:val="32"/>
          <w:szCs w:val="32"/>
          <w:lang w:eastAsia="zh-CN"/>
        </w:rPr>
        <w:t>5.2Ⅲ级响应措施</w:t>
      </w:r>
      <w:bookmarkEnd w:id="127"/>
      <w:bookmarkEnd w:id="128"/>
      <w:bookmarkEnd w:id="129"/>
      <w:bookmarkEnd w:id="130"/>
      <w:bookmarkEnd w:id="131"/>
      <w:bookmarkEnd w:id="132"/>
    </w:p>
    <w:p w14:paraId="4F523F3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黄色预警信息发布后，启动Ⅲ级响应措施。根据区重污染天气应急预案采取减排措施，加大对燃煤锅炉、施工场地、机动车排放、工业企业等重点大气污染源的执法检查频次，从严查处农作物秸秆及杂物焚烧、露天烧烤、餐饮油烟无组织排放、中心城区燃放烟花爆竹等违规行为。</w:t>
      </w:r>
    </w:p>
    <w:p w14:paraId="214F213B">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33" w:name="_Toc19814"/>
      <w:bookmarkStart w:id="134" w:name="_Toc6167"/>
      <w:bookmarkStart w:id="135" w:name="_Toc179409568"/>
      <w:bookmarkStart w:id="136" w:name="_Toc13951"/>
      <w:bookmarkStart w:id="137" w:name="_Toc9351"/>
      <w:bookmarkStart w:id="138" w:name="_Toc26804"/>
      <w:r>
        <w:rPr>
          <w:rFonts w:ascii="楷体_GB2312" w:hAnsi="Times New Roman" w:eastAsia="楷体_GB2312" w:cs="Times New Roman"/>
          <w:snapToGrid/>
          <w:kern w:val="2"/>
          <w:sz w:val="32"/>
          <w:szCs w:val="32"/>
          <w:lang w:eastAsia="zh-CN"/>
        </w:rPr>
        <w:t>5.2.1公众健康防护指引</w:t>
      </w:r>
      <w:bookmarkEnd w:id="133"/>
      <w:bookmarkEnd w:id="134"/>
      <w:bookmarkEnd w:id="135"/>
      <w:bookmarkEnd w:id="136"/>
      <w:bookmarkEnd w:id="137"/>
      <w:bookmarkEnd w:id="138"/>
    </w:p>
    <w:p w14:paraId="73BA9385">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加强对重污染天气应急、健康防护等方面的科普知识宣传。卫健、教育等部门编制提醒儿童、孕妇、老年人和呼吸道、心脑血管疾病患者等易感染人群尽量留在室内，避免户外活动的重污染天气公众健康和疾病预防告知信息报宣传部门，并组织医疗卫生机构做好呼吸道疾病治疗准备工作。</w:t>
      </w:r>
    </w:p>
    <w:p w14:paraId="57BA5345">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（2）协调政府网站、电视台、新闻媒体发布卫健、教育等部门报送的预防告知信息，并做好新闻报道工作。</w:t>
      </w:r>
    </w:p>
    <w:p w14:paraId="221964F2">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（3）落实中小学校、幼儿园减少户外体育课、课间操、运动会等活动频次措施。</w:t>
      </w:r>
    </w:p>
    <w:p w14:paraId="43425A73">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39" w:name="_Toc28743"/>
      <w:bookmarkStart w:id="140" w:name="_Toc179409569"/>
      <w:bookmarkStart w:id="141" w:name="_Toc23902"/>
      <w:bookmarkStart w:id="142" w:name="_Toc30556"/>
      <w:bookmarkStart w:id="143" w:name="_Toc19540"/>
      <w:bookmarkStart w:id="144" w:name="_Toc9526"/>
      <w:r>
        <w:rPr>
          <w:rFonts w:ascii="楷体_GB2312" w:hAnsi="Times New Roman" w:eastAsia="楷体_GB2312" w:cs="Times New Roman"/>
          <w:snapToGrid/>
          <w:kern w:val="2"/>
          <w:sz w:val="32"/>
          <w:szCs w:val="32"/>
          <w:lang w:eastAsia="zh-CN"/>
        </w:rPr>
        <w:t>5.2.2建议性减排措施</w:t>
      </w:r>
      <w:bookmarkEnd w:id="139"/>
      <w:bookmarkEnd w:id="140"/>
      <w:bookmarkEnd w:id="141"/>
      <w:bookmarkEnd w:id="142"/>
      <w:bookmarkEnd w:id="143"/>
      <w:bookmarkEnd w:id="144"/>
    </w:p>
    <w:p w14:paraId="6394D30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（1）公众尽量乘坐公共交通工具出行，减少机动车上路行驶。</w:t>
      </w:r>
    </w:p>
    <w:p w14:paraId="5F6FB66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（2）倡导公众绿色生活，节能减排，提倡使用节能产品替代高耗能产品。</w:t>
      </w:r>
    </w:p>
    <w:p w14:paraId="5BB5CD4F">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（3）倡导公众绿色消费，单位和公众尽量减少涂料、油漆、溶剂等含挥发性有机物的原材料及产品使用。</w:t>
      </w:r>
    </w:p>
    <w:p w14:paraId="68923081">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45" w:name="_Toc22871"/>
      <w:bookmarkStart w:id="146" w:name="_Toc19310"/>
      <w:bookmarkStart w:id="147" w:name="_Toc25140"/>
      <w:bookmarkStart w:id="148" w:name="_Toc13601"/>
      <w:bookmarkStart w:id="149" w:name="_Toc179409570"/>
      <w:bookmarkStart w:id="150" w:name="_Toc19964"/>
      <w:r>
        <w:rPr>
          <w:rFonts w:ascii="楷体_GB2312" w:hAnsi="Times New Roman" w:eastAsia="楷体_GB2312" w:cs="Times New Roman"/>
          <w:snapToGrid/>
          <w:kern w:val="2"/>
          <w:sz w:val="32"/>
          <w:szCs w:val="32"/>
          <w:lang w:eastAsia="zh-CN"/>
        </w:rPr>
        <w:t>5.2.3强制性减排措施</w:t>
      </w:r>
      <w:bookmarkEnd w:id="145"/>
      <w:bookmarkEnd w:id="146"/>
      <w:bookmarkEnd w:id="147"/>
      <w:bookmarkEnd w:id="148"/>
      <w:bookmarkEnd w:id="149"/>
      <w:bookmarkEnd w:id="150"/>
    </w:p>
    <w:p w14:paraId="4B5BB8C7">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纳入应急减排项目清单的工业企业按照“一厂一策”实施方案要求实施黄色预警下的减排措施。对纳入应急减排清单的企业，按照“一厂一策”企业减排操作方案，明确具体的停限产生产装置、工艺环节和各类关键性指标，做到企业减排措施“可操作、可监测、可核查”。工业企业减排措施应当以停止排放污染物的生产线或主要产排污环节(设备)为主；对不可临时中断，通过采取提高治污效率、限制生产负荷等措施减排的生产线或生产工序，应当依法安装废气自动监控设施和分布式控制系统，并能够提供1年以上的数据记录，同时应当根据季节特点指导企业预先调整生产计划，确保预警期间能够落实减排措施。避免对非涉气工序、生产设施采取停限产措施，确保应急管控措施精准到位，降低对企业正</w:t>
      </w:r>
      <w:r>
        <w:rPr>
          <w:rFonts w:hint="eastAsia" w:ascii="Times New Roman" w:hAnsi="Times New Roman" w:eastAsia="仿宋_GB2312" w:cs="Times New Roman"/>
          <w:snapToGrid/>
          <w:kern w:val="2"/>
          <w:sz w:val="32"/>
          <w:szCs w:val="32"/>
          <w:lang w:eastAsia="zh-CN"/>
        </w:rPr>
        <w:t>常</w:t>
      </w:r>
      <w:r>
        <w:rPr>
          <w:rFonts w:ascii="Times New Roman" w:hAnsi="Times New Roman" w:eastAsia="仿宋_GB2312" w:cs="Times New Roman"/>
          <w:snapToGrid/>
          <w:kern w:val="2"/>
          <w:sz w:val="32"/>
          <w:szCs w:val="32"/>
          <w:lang w:eastAsia="zh-CN"/>
        </w:rPr>
        <w:t>生产经营的影响。</w:t>
      </w:r>
    </w:p>
    <w:p w14:paraId="18CC840F">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（2）机动车和非道路移动机械按移动源应急减排项目清单要求实施黄色预警下的减排措施。</w:t>
      </w:r>
    </w:p>
    <w:p w14:paraId="78F2FE2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3）施工工地等按扬尘源应急减排项目清单要求实施黄色预警下的减排措施，防止扬尘大气污染；除应急抢险、市重点工程、特殊工艺外，施工工地应当停止土石方作业、建筑拆除、喷涂粉刷、护坡喷浆、混凝土搅拌、渣土运输等，砂石料厂、石材石板厂等停止露天作业。主干道和易产生扬尘路段增加机扫和洒水等保洁频次。城区重点道路每日洒水降尘频次不少于4次。</w:t>
      </w:r>
    </w:p>
    <w:p w14:paraId="1D0CFBAE">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51" w:name="_Toc9281"/>
      <w:bookmarkStart w:id="152" w:name="_Toc179409571"/>
      <w:bookmarkStart w:id="153" w:name="_Toc20839"/>
      <w:bookmarkStart w:id="154" w:name="_Toc22608"/>
      <w:bookmarkStart w:id="155" w:name="_Toc20981"/>
      <w:bookmarkStart w:id="156" w:name="_Toc27483"/>
      <w:r>
        <w:rPr>
          <w:rFonts w:ascii="楷体_GB2312" w:hAnsi="Times New Roman" w:eastAsia="楷体_GB2312" w:cs="Times New Roman"/>
          <w:snapToGrid/>
          <w:kern w:val="2"/>
          <w:sz w:val="32"/>
          <w:szCs w:val="32"/>
          <w:lang w:eastAsia="zh-CN"/>
        </w:rPr>
        <w:t>5.3Ⅱ级响应措施</w:t>
      </w:r>
      <w:bookmarkEnd w:id="151"/>
      <w:bookmarkEnd w:id="152"/>
      <w:bookmarkEnd w:id="153"/>
      <w:bookmarkEnd w:id="154"/>
      <w:bookmarkEnd w:id="155"/>
      <w:bookmarkEnd w:id="156"/>
    </w:p>
    <w:p w14:paraId="16201010">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区指挥部办公室督促指导各</w:t>
      </w:r>
      <w:r>
        <w:rPr>
          <w:rFonts w:hint="eastAsia" w:ascii="Times New Roman" w:hAnsi="Times New Roman" w:eastAsia="仿宋_GB2312" w:cs="Times New Roman"/>
          <w:snapToGrid/>
          <w:kern w:val="2"/>
          <w:sz w:val="32"/>
          <w:szCs w:val="32"/>
          <w:lang w:eastAsia="zh-CN"/>
        </w:rPr>
        <w:t>镇</w:t>
      </w:r>
      <w:r>
        <w:rPr>
          <w:rFonts w:hint="eastAsia" w:ascii="Times New Roman" w:hAnsi="Times New Roman" w:eastAsia="仿宋_GB2312" w:cs="Times New Roman"/>
          <w:snapToGrid/>
          <w:kern w:val="2"/>
          <w:sz w:val="32"/>
          <w:szCs w:val="32"/>
          <w:lang w:val="en-US" w:eastAsia="zh-CN"/>
        </w:rPr>
        <w:t>人民政府</w:t>
      </w:r>
      <w:r>
        <w:rPr>
          <w:rFonts w:ascii="Times New Roman" w:hAnsi="Times New Roman" w:eastAsia="仿宋_GB2312" w:cs="Times New Roman"/>
          <w:snapToGrid/>
          <w:kern w:val="2"/>
          <w:sz w:val="32"/>
          <w:szCs w:val="32"/>
          <w:lang w:eastAsia="zh-CN"/>
        </w:rPr>
        <w:t>（</w:t>
      </w:r>
      <w:r>
        <w:rPr>
          <w:rFonts w:hint="eastAsia" w:ascii="Times New Roman" w:hAnsi="Times New Roman" w:eastAsia="仿宋_GB2312" w:cs="Times New Roman"/>
          <w:snapToGrid/>
          <w:kern w:val="2"/>
          <w:sz w:val="32"/>
          <w:szCs w:val="32"/>
          <w:lang w:eastAsia="zh-CN"/>
        </w:rPr>
        <w:t>街道办事处</w:t>
      </w:r>
      <w:r>
        <w:rPr>
          <w:rFonts w:ascii="Times New Roman" w:hAnsi="Times New Roman" w:eastAsia="仿宋_GB2312" w:cs="Times New Roman"/>
          <w:snapToGrid/>
          <w:kern w:val="2"/>
          <w:sz w:val="32"/>
          <w:szCs w:val="32"/>
          <w:lang w:eastAsia="zh-CN"/>
        </w:rPr>
        <w:t>）落实各项应急响应措施。</w:t>
      </w:r>
    </w:p>
    <w:p w14:paraId="6715051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区指挥部办公室根据实际情况组织评估重污染天气应急减排措施的效果，及时补充完善应对措施。</w:t>
      </w:r>
    </w:p>
    <w:p w14:paraId="2C70FD9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橙色预警信息发布后，在落实Ⅲ级响应措施的基础上启动Ⅱ级响应措施。</w:t>
      </w:r>
    </w:p>
    <w:p w14:paraId="05BCCF6A">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57" w:name="_Toc24154"/>
      <w:bookmarkStart w:id="158" w:name="_Toc27797"/>
      <w:bookmarkStart w:id="159" w:name="_Toc2568"/>
      <w:bookmarkStart w:id="160" w:name="_Toc22410"/>
      <w:bookmarkStart w:id="161" w:name="_Toc179409572"/>
      <w:bookmarkStart w:id="162" w:name="_Toc23652"/>
      <w:r>
        <w:rPr>
          <w:rFonts w:ascii="楷体_GB2312" w:hAnsi="Times New Roman" w:eastAsia="楷体_GB2312" w:cs="Times New Roman"/>
          <w:snapToGrid/>
          <w:kern w:val="2"/>
          <w:sz w:val="32"/>
          <w:szCs w:val="32"/>
          <w:lang w:eastAsia="zh-CN"/>
        </w:rPr>
        <w:t>5.3.1公众健康防护指引</w:t>
      </w:r>
      <w:bookmarkEnd w:id="157"/>
      <w:bookmarkEnd w:id="158"/>
      <w:bookmarkEnd w:id="159"/>
      <w:bookmarkEnd w:id="160"/>
      <w:bookmarkEnd w:id="161"/>
      <w:bookmarkEnd w:id="162"/>
    </w:p>
    <w:p w14:paraId="376DD54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编制提醒居民避免户外运动、室外作业和儿童、孕妇、老年人等易感人群停止户外活动的公众健康和疾病预防告知信息报宣传部门；组织医疗卫生机构开展重污染天气导致的呼吸道病预防、控制与治疗工作。</w:t>
      </w:r>
    </w:p>
    <w:p w14:paraId="0B9BA803">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（2）落实中小学校、幼儿园停止室外活动、弹性教学措施。</w:t>
      </w:r>
    </w:p>
    <w:p w14:paraId="6D893CCD">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63" w:name="_Toc18167"/>
      <w:bookmarkStart w:id="164" w:name="_Toc10159"/>
      <w:bookmarkStart w:id="165" w:name="_Toc24859"/>
      <w:bookmarkStart w:id="166" w:name="_Toc10237"/>
      <w:bookmarkStart w:id="167" w:name="_Toc179409573"/>
      <w:bookmarkStart w:id="168" w:name="_Toc30383"/>
      <w:r>
        <w:rPr>
          <w:rFonts w:ascii="楷体_GB2312" w:hAnsi="Times New Roman" w:eastAsia="楷体_GB2312" w:cs="Times New Roman"/>
          <w:snapToGrid/>
          <w:kern w:val="2"/>
          <w:sz w:val="32"/>
          <w:szCs w:val="32"/>
          <w:lang w:eastAsia="zh-CN"/>
        </w:rPr>
        <w:t>5.3.2建议性减排措施</w:t>
      </w:r>
      <w:bookmarkEnd w:id="163"/>
      <w:bookmarkEnd w:id="164"/>
      <w:bookmarkEnd w:id="165"/>
      <w:bookmarkEnd w:id="166"/>
      <w:bookmarkEnd w:id="167"/>
      <w:bookmarkEnd w:id="168"/>
    </w:p>
    <w:p w14:paraId="44EE69C7">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在Ⅲ级建议性减排措施基础上，进一步加强建议性污染减排措施宣传力度，提升公众绿色生活、绿色出行、绿色消费意识。</w:t>
      </w:r>
      <w:r>
        <w:rPr>
          <w:rFonts w:hint="eastAsia" w:ascii="Times New Roman" w:hAnsi="Times New Roman" w:eastAsia="仿宋_GB2312" w:cs="Times New Roman"/>
          <w:snapToGrid/>
          <w:kern w:val="2"/>
          <w:sz w:val="32"/>
          <w:szCs w:val="32"/>
          <w:lang w:eastAsia="zh-CN"/>
        </w:rPr>
        <w:t>区</w:t>
      </w:r>
      <w:r>
        <w:rPr>
          <w:rFonts w:ascii="Times New Roman" w:hAnsi="Times New Roman" w:eastAsia="仿宋_GB2312" w:cs="Times New Roman"/>
          <w:snapToGrid/>
          <w:kern w:val="2"/>
          <w:sz w:val="32"/>
          <w:szCs w:val="32"/>
          <w:lang w:eastAsia="zh-CN"/>
        </w:rPr>
        <w:t>交通部门</w:t>
      </w:r>
      <w:r>
        <w:rPr>
          <w:rFonts w:hint="eastAsia" w:ascii="Times New Roman" w:hAnsi="Times New Roman" w:eastAsia="仿宋_GB2312" w:cs="Times New Roman"/>
          <w:snapToGrid/>
          <w:kern w:val="2"/>
          <w:sz w:val="32"/>
          <w:szCs w:val="32"/>
          <w:lang w:eastAsia="zh-CN"/>
        </w:rPr>
        <w:t>配合市相关部门</w:t>
      </w:r>
      <w:r>
        <w:rPr>
          <w:rFonts w:ascii="Times New Roman" w:hAnsi="Times New Roman" w:eastAsia="仿宋_GB2312" w:cs="Times New Roman"/>
          <w:snapToGrid/>
          <w:kern w:val="2"/>
          <w:sz w:val="32"/>
          <w:szCs w:val="32"/>
          <w:lang w:eastAsia="zh-CN"/>
        </w:rPr>
        <w:t>加大公共交通运力保障，合理增加城市主干道的公共交通工具的营运频次和营运时间。</w:t>
      </w:r>
    </w:p>
    <w:p w14:paraId="095CC0F3">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69" w:name="_Toc179409574"/>
      <w:bookmarkStart w:id="170" w:name="_Toc31378"/>
      <w:bookmarkStart w:id="171" w:name="_Toc18512"/>
      <w:bookmarkStart w:id="172" w:name="_Toc8662"/>
      <w:bookmarkStart w:id="173" w:name="_Toc27365"/>
      <w:bookmarkStart w:id="174" w:name="_Toc27975"/>
      <w:r>
        <w:rPr>
          <w:rFonts w:ascii="楷体_GB2312" w:hAnsi="Times New Roman" w:eastAsia="楷体_GB2312" w:cs="Times New Roman"/>
          <w:snapToGrid/>
          <w:kern w:val="2"/>
          <w:sz w:val="32"/>
          <w:szCs w:val="32"/>
          <w:lang w:eastAsia="zh-CN"/>
        </w:rPr>
        <w:t>5.3.3强制性减排措施</w:t>
      </w:r>
      <w:bookmarkEnd w:id="169"/>
      <w:bookmarkEnd w:id="170"/>
      <w:bookmarkEnd w:id="171"/>
      <w:bookmarkEnd w:id="172"/>
      <w:bookmarkEnd w:id="173"/>
      <w:bookmarkEnd w:id="174"/>
    </w:p>
    <w:p w14:paraId="4662F2F5">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（1）纳入应急减排项目清单的工业企业按照“一厂一策”要求实施橙色预警下的减排措施。</w:t>
      </w:r>
    </w:p>
    <w:p w14:paraId="5D0F822F">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w:t>
      </w:r>
      <w:bookmarkStart w:id="175" w:name="_Hlk179411761"/>
      <w:r>
        <w:rPr>
          <w:rFonts w:ascii="Times New Roman" w:hAnsi="Times New Roman" w:eastAsia="仿宋_GB2312" w:cs="Times New Roman"/>
          <w:snapToGrid/>
          <w:kern w:val="2"/>
          <w:sz w:val="32"/>
          <w:szCs w:val="32"/>
          <w:lang w:eastAsia="zh-CN"/>
        </w:rPr>
        <w:t>机动车和非道路移动机械按移动源应急减排项目清单要求实施橙色预警下的减排措施，每日7:00至22:00禁止重、中型载货汽车(柴油)、挂车、专项作业车等在城区东环路、南环路等重点道路区域内道路(不含边界道路)通行。施工工地、工业企业厂区和工业园区内应停止使用国二及以下非道路移动机械（清洁能源和紧急检修作业机械除外），港口、物流（除民生保障类）等涉及大宗原料和产品运输（日常车辆进出量超过10辆次）的单位应停止使用国四及以下重型载货汽车（含燃气）进行运输（特种车辆、危化品车辆等除外）。</w:t>
      </w:r>
    </w:p>
    <w:bookmarkEnd w:id="175"/>
    <w:p w14:paraId="37023578">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（3）施工工地等按扬尘源应急减排项目清单要求实施橙色预警下的减排措施，防止扬尘大气污染。城区重点道路每日洒水降尘频次不少于5次。</w:t>
      </w:r>
    </w:p>
    <w:p w14:paraId="6ACA01C0">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76" w:name="bookmark51"/>
      <w:bookmarkEnd w:id="176"/>
      <w:bookmarkStart w:id="177" w:name="bookmark52"/>
      <w:bookmarkEnd w:id="177"/>
      <w:bookmarkStart w:id="178" w:name="_Toc10946"/>
      <w:bookmarkStart w:id="179" w:name="_Toc32224"/>
      <w:bookmarkStart w:id="180" w:name="_Toc22679"/>
      <w:bookmarkStart w:id="181" w:name="_Toc20615"/>
      <w:bookmarkStart w:id="182" w:name="_Toc179409575"/>
      <w:bookmarkStart w:id="183" w:name="_Toc29704"/>
      <w:r>
        <w:rPr>
          <w:rFonts w:ascii="楷体_GB2312" w:hAnsi="Times New Roman" w:eastAsia="楷体_GB2312" w:cs="Times New Roman"/>
          <w:snapToGrid/>
          <w:kern w:val="2"/>
          <w:sz w:val="32"/>
          <w:szCs w:val="32"/>
          <w:lang w:eastAsia="zh-CN"/>
        </w:rPr>
        <w:t>5.4Ⅰ级响应措施</w:t>
      </w:r>
      <w:bookmarkEnd w:id="178"/>
      <w:bookmarkEnd w:id="179"/>
      <w:bookmarkEnd w:id="180"/>
      <w:bookmarkEnd w:id="181"/>
      <w:bookmarkEnd w:id="182"/>
      <w:bookmarkEnd w:id="183"/>
    </w:p>
    <w:p w14:paraId="62B215B0">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区指挥部督促指导各</w:t>
      </w:r>
      <w:r>
        <w:rPr>
          <w:rFonts w:hint="eastAsia" w:ascii="Times New Roman" w:hAnsi="Times New Roman" w:eastAsia="仿宋_GB2312" w:cs="Times New Roman"/>
          <w:snapToGrid/>
          <w:kern w:val="2"/>
          <w:sz w:val="32"/>
          <w:szCs w:val="32"/>
          <w:lang w:val="en-US" w:eastAsia="zh-CN"/>
        </w:rPr>
        <w:t>镇人民政府</w:t>
      </w:r>
      <w:r>
        <w:rPr>
          <w:rFonts w:ascii="Times New Roman" w:hAnsi="Times New Roman" w:eastAsia="仿宋_GB2312" w:cs="Times New Roman"/>
          <w:snapToGrid/>
          <w:kern w:val="2"/>
          <w:sz w:val="32"/>
          <w:szCs w:val="32"/>
          <w:lang w:eastAsia="zh-CN"/>
        </w:rPr>
        <w:t>（街道</w:t>
      </w:r>
      <w:r>
        <w:rPr>
          <w:rFonts w:hint="eastAsia" w:ascii="Times New Roman" w:hAnsi="Times New Roman" w:eastAsia="仿宋_GB2312" w:cs="Times New Roman"/>
          <w:snapToGrid/>
          <w:kern w:val="2"/>
          <w:sz w:val="32"/>
          <w:szCs w:val="32"/>
          <w:lang w:eastAsia="zh-CN"/>
        </w:rPr>
        <w:t>办事处</w:t>
      </w:r>
      <w:r>
        <w:rPr>
          <w:rFonts w:ascii="Times New Roman" w:hAnsi="Times New Roman" w:eastAsia="仿宋_GB2312" w:cs="Times New Roman"/>
          <w:snapToGrid/>
          <w:kern w:val="2"/>
          <w:sz w:val="32"/>
          <w:szCs w:val="32"/>
          <w:lang w:eastAsia="zh-CN"/>
        </w:rPr>
        <w:t>）落实各项应急响应措施。</w:t>
      </w:r>
    </w:p>
    <w:p w14:paraId="64F6F35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区指挥部派出现场工作组和技术力量，赴相关</w:t>
      </w:r>
      <w:r>
        <w:rPr>
          <w:rFonts w:hint="eastAsia" w:ascii="Times New Roman" w:hAnsi="Times New Roman" w:eastAsia="仿宋_GB2312" w:cs="Times New Roman"/>
          <w:snapToGrid/>
          <w:kern w:val="2"/>
          <w:sz w:val="32"/>
          <w:szCs w:val="32"/>
          <w:lang w:eastAsia="zh-CN"/>
        </w:rPr>
        <w:t>镇</w:t>
      </w:r>
      <w:r>
        <w:rPr>
          <w:rFonts w:hint="eastAsia" w:ascii="Times New Roman" w:hAnsi="Times New Roman" w:eastAsia="仿宋_GB2312" w:cs="Times New Roman"/>
          <w:snapToGrid/>
          <w:kern w:val="2"/>
          <w:sz w:val="32"/>
          <w:szCs w:val="32"/>
          <w:lang w:val="en-US" w:eastAsia="zh-CN"/>
        </w:rPr>
        <w:t>人民政府</w:t>
      </w:r>
      <w:r>
        <w:rPr>
          <w:rFonts w:ascii="Times New Roman" w:hAnsi="Times New Roman" w:eastAsia="仿宋_GB2312" w:cs="Times New Roman"/>
          <w:snapToGrid/>
          <w:kern w:val="2"/>
          <w:sz w:val="32"/>
          <w:szCs w:val="32"/>
          <w:lang w:eastAsia="zh-CN"/>
        </w:rPr>
        <w:t>（街道</w:t>
      </w:r>
      <w:r>
        <w:rPr>
          <w:rFonts w:hint="eastAsia" w:ascii="Times New Roman" w:hAnsi="Times New Roman" w:eastAsia="仿宋_GB2312" w:cs="Times New Roman"/>
          <w:snapToGrid/>
          <w:kern w:val="2"/>
          <w:sz w:val="32"/>
          <w:szCs w:val="32"/>
          <w:lang w:eastAsia="zh-CN"/>
        </w:rPr>
        <w:t>办事处</w:t>
      </w:r>
      <w:r>
        <w:rPr>
          <w:rFonts w:ascii="Times New Roman" w:hAnsi="Times New Roman" w:eastAsia="仿宋_GB2312" w:cs="Times New Roman"/>
          <w:snapToGrid/>
          <w:kern w:val="2"/>
          <w:sz w:val="32"/>
          <w:szCs w:val="32"/>
          <w:lang w:eastAsia="zh-CN"/>
        </w:rPr>
        <w:t>）督促指导应急响应工作。必要时，与相邻县区进行协调沟通，采取相关应急联动措施。</w:t>
      </w:r>
    </w:p>
    <w:p w14:paraId="70E2AB8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市生态环境局芦淞分局会同相关部门增加重污染天气应对工作会商频次，必要时请市级专家组参与会商。</w:t>
      </w:r>
    </w:p>
    <w:p w14:paraId="42DBEA42">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区指挥部根据实际情况组织评估重污染天气应急减排措施的效果，及时补充完善应对措施。</w:t>
      </w:r>
    </w:p>
    <w:p w14:paraId="09B6BC13">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红色预警信息发布后，在落实Ⅱ级响应措施的基础上启动Ⅰ级响应措施。</w:t>
      </w:r>
    </w:p>
    <w:p w14:paraId="4259CD10">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84" w:name="_Toc8557"/>
      <w:bookmarkStart w:id="185" w:name="_Toc179409576"/>
      <w:bookmarkStart w:id="186" w:name="_Toc13586"/>
      <w:bookmarkStart w:id="187" w:name="_Toc25461"/>
      <w:bookmarkStart w:id="188" w:name="_Toc30004"/>
      <w:bookmarkStart w:id="189" w:name="_Toc2765"/>
      <w:r>
        <w:rPr>
          <w:rFonts w:ascii="楷体_GB2312" w:hAnsi="Times New Roman" w:eastAsia="楷体_GB2312" w:cs="Times New Roman"/>
          <w:snapToGrid/>
          <w:kern w:val="2"/>
          <w:sz w:val="32"/>
          <w:szCs w:val="32"/>
          <w:lang w:eastAsia="zh-CN"/>
        </w:rPr>
        <w:t>5.4.1公众健康防护指引</w:t>
      </w:r>
      <w:bookmarkEnd w:id="184"/>
      <w:bookmarkEnd w:id="185"/>
      <w:bookmarkEnd w:id="186"/>
      <w:bookmarkEnd w:id="187"/>
      <w:bookmarkEnd w:id="188"/>
      <w:bookmarkEnd w:id="189"/>
    </w:p>
    <w:p w14:paraId="0A1CC671">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（1）编制提醒室外执勤、作业等人员可采取佩戴口罩等防护措施的公众健康和疾病预防告知信息报宣传部门，停止举办户外大型活动；一般人群避免户外活动，室外作业人员停止或减少室外作业，并加强防护。</w:t>
      </w:r>
    </w:p>
    <w:p w14:paraId="0CF5988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（2）落实中小学校、幼儿园停课措施。</w:t>
      </w:r>
    </w:p>
    <w:p w14:paraId="44E9EEE1">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90" w:name="_Toc179409577"/>
      <w:bookmarkStart w:id="191" w:name="_Toc27149"/>
      <w:bookmarkStart w:id="192" w:name="_Toc26280"/>
      <w:bookmarkStart w:id="193" w:name="_Toc20235"/>
      <w:bookmarkStart w:id="194" w:name="_Toc28891"/>
      <w:bookmarkStart w:id="195" w:name="_Toc7476"/>
      <w:r>
        <w:rPr>
          <w:rFonts w:ascii="楷体_GB2312" w:hAnsi="Times New Roman" w:eastAsia="楷体_GB2312" w:cs="Times New Roman"/>
          <w:snapToGrid/>
          <w:kern w:val="2"/>
          <w:sz w:val="32"/>
          <w:szCs w:val="32"/>
          <w:lang w:eastAsia="zh-CN"/>
        </w:rPr>
        <w:t>5.4.2建议性减排措施</w:t>
      </w:r>
      <w:bookmarkEnd w:id="190"/>
      <w:bookmarkEnd w:id="191"/>
      <w:bookmarkEnd w:id="192"/>
      <w:bookmarkEnd w:id="193"/>
      <w:bookmarkEnd w:id="194"/>
      <w:bookmarkEnd w:id="195"/>
    </w:p>
    <w:p w14:paraId="5D7DF42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bookmarkStart w:id="196" w:name="_Hlk175522482"/>
      <w:r>
        <w:rPr>
          <w:rFonts w:ascii="Times New Roman" w:hAnsi="Times New Roman" w:eastAsia="仿宋_GB2312" w:cs="Times New Roman"/>
          <w:snapToGrid/>
          <w:kern w:val="2"/>
          <w:sz w:val="32"/>
          <w:szCs w:val="32"/>
          <w:lang w:eastAsia="zh-CN"/>
        </w:rPr>
        <w:t>在Ⅱ级响应措施的基础上，建议企事业等单位根据实际情况，采取调休、错峰上下班、远程办公等弹性工作制。</w:t>
      </w:r>
    </w:p>
    <w:bookmarkEnd w:id="196"/>
    <w:p w14:paraId="440D0BEF">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197" w:name="_Toc9647"/>
      <w:bookmarkStart w:id="198" w:name="_Toc1566"/>
      <w:bookmarkStart w:id="199" w:name="_Toc179409578"/>
      <w:bookmarkStart w:id="200" w:name="_Toc21683"/>
      <w:bookmarkStart w:id="201" w:name="_Toc20182"/>
      <w:bookmarkStart w:id="202" w:name="_Toc23288"/>
      <w:r>
        <w:rPr>
          <w:rFonts w:ascii="楷体_GB2312" w:hAnsi="Times New Roman" w:eastAsia="楷体_GB2312" w:cs="Times New Roman"/>
          <w:snapToGrid/>
          <w:kern w:val="2"/>
          <w:sz w:val="32"/>
          <w:szCs w:val="32"/>
          <w:lang w:eastAsia="zh-CN"/>
        </w:rPr>
        <w:t>5.4.3强制性减排措施</w:t>
      </w:r>
      <w:bookmarkEnd w:id="197"/>
      <w:bookmarkEnd w:id="198"/>
      <w:bookmarkEnd w:id="199"/>
      <w:bookmarkEnd w:id="200"/>
      <w:bookmarkEnd w:id="201"/>
      <w:bookmarkEnd w:id="202"/>
    </w:p>
    <w:p w14:paraId="438FA265">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（1）纳入应急减排项目清单的工业企业按照“一厂一策”要求实施红色预警下的减排措施。</w:t>
      </w:r>
    </w:p>
    <w:p w14:paraId="7855DCF9">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（2）</w:t>
      </w:r>
      <w:bookmarkStart w:id="203" w:name="_Hlk179411889"/>
      <w:r>
        <w:rPr>
          <w:rFonts w:ascii="Times New Roman" w:hAnsi="Times New Roman" w:eastAsia="仿宋_GB2312" w:cs="Times New Roman"/>
          <w:snapToGrid/>
          <w:kern w:val="2"/>
          <w:sz w:val="32"/>
          <w:szCs w:val="32"/>
          <w:lang w:eastAsia="zh-CN"/>
        </w:rPr>
        <w:t>机动车和非道路移动机械按移动源应急减排项目清单要求实施红色预警下的减排措施。全天禁止重、中型载货汽车(柴油)、挂车、专项作业车等在区辖区内东环路、南环路等道路范围内道路区内道路(不含边界道路）通行，大型载客汽车(汽油、柴油)停止营运，城区过境柴油货车绕行疏导，200吨以下的干散货船、单壳化学品船、600吨载重以上的单壳油船停驶。</w:t>
      </w:r>
      <w:bookmarkEnd w:id="203"/>
    </w:p>
    <w:p w14:paraId="110B25F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napToGrid/>
          <w:kern w:val="2"/>
          <w:sz w:val="32"/>
          <w:szCs w:val="32"/>
          <w:lang w:eastAsia="zh-CN"/>
        </w:rPr>
        <w:t>（3）施工工地等按扬尘源应急减排项目清单要求实施红色预警下的减排措施，防止扬尘大气污染。城区城市道路每日洒水降尘频次不少于4次，城区重点道路每日洒水降尘频次不少于5次。</w:t>
      </w:r>
    </w:p>
    <w:p w14:paraId="73BBF840">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04" w:name="bookmark54"/>
      <w:bookmarkEnd w:id="204"/>
      <w:bookmarkStart w:id="205" w:name="bookmark53"/>
      <w:bookmarkEnd w:id="205"/>
      <w:bookmarkStart w:id="206" w:name="_Toc8209"/>
      <w:bookmarkStart w:id="207" w:name="_Toc15955"/>
      <w:bookmarkStart w:id="208" w:name="_Toc9608"/>
      <w:bookmarkStart w:id="209" w:name="_Toc9133"/>
      <w:bookmarkStart w:id="210" w:name="_Toc27006"/>
      <w:bookmarkStart w:id="211" w:name="_Toc179409579"/>
      <w:r>
        <w:rPr>
          <w:rFonts w:ascii="楷体_GB2312" w:hAnsi="Times New Roman" w:eastAsia="楷体_GB2312" w:cs="Times New Roman"/>
          <w:snapToGrid/>
          <w:kern w:val="2"/>
          <w:sz w:val="32"/>
          <w:szCs w:val="32"/>
          <w:lang w:eastAsia="zh-CN"/>
        </w:rPr>
        <w:t>5.5响应级别调整或终止</w:t>
      </w:r>
      <w:bookmarkEnd w:id="206"/>
      <w:bookmarkEnd w:id="207"/>
      <w:bookmarkEnd w:id="208"/>
      <w:bookmarkEnd w:id="209"/>
      <w:bookmarkEnd w:id="210"/>
      <w:bookmarkEnd w:id="211"/>
    </w:p>
    <w:p w14:paraId="0D2F9DB3">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应急响应期间，根据预警级别调整，及时提升或降低应急响应的级别，提高应急响应的针对性。</w:t>
      </w:r>
    </w:p>
    <w:p w14:paraId="76C1859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当预警解除信息发布后，应急响应自动终止。</w:t>
      </w:r>
    </w:p>
    <w:p w14:paraId="792FAA9A">
      <w:pPr>
        <w:kinsoku/>
        <w:autoSpaceDE/>
        <w:autoSpaceDN/>
        <w:adjustRightInd/>
        <w:snapToGrid/>
        <w:spacing w:line="560" w:lineRule="exact"/>
        <w:ind w:firstLine="640" w:firstLineChars="200"/>
        <w:textAlignment w:val="auto"/>
        <w:outlineLvl w:val="0"/>
        <w:rPr>
          <w:rFonts w:ascii="黑体" w:hAnsi="黑体" w:eastAsia="黑体" w:cs="Times New Roman"/>
          <w:snapToGrid/>
          <w:kern w:val="2"/>
          <w:sz w:val="32"/>
          <w:szCs w:val="32"/>
          <w:lang w:eastAsia="zh-CN"/>
        </w:rPr>
      </w:pPr>
      <w:bookmarkStart w:id="212" w:name="_Toc18159"/>
      <w:bookmarkStart w:id="213" w:name="_Toc15305"/>
      <w:bookmarkStart w:id="214" w:name="_Toc29677"/>
      <w:bookmarkStart w:id="215" w:name="_Toc179409580"/>
      <w:bookmarkStart w:id="216" w:name="_Toc3228"/>
      <w:bookmarkStart w:id="217" w:name="_Toc22363"/>
      <w:r>
        <w:rPr>
          <w:rFonts w:ascii="黑体" w:hAnsi="黑体" w:eastAsia="黑体" w:cs="Times New Roman"/>
          <w:snapToGrid/>
          <w:kern w:val="2"/>
          <w:sz w:val="32"/>
          <w:szCs w:val="32"/>
          <w:lang w:eastAsia="zh-CN"/>
        </w:rPr>
        <w:t>6区域应急联动</w:t>
      </w:r>
      <w:bookmarkEnd w:id="212"/>
      <w:bookmarkEnd w:id="213"/>
      <w:bookmarkEnd w:id="214"/>
      <w:bookmarkEnd w:id="215"/>
      <w:bookmarkEnd w:id="216"/>
      <w:bookmarkEnd w:id="217"/>
    </w:p>
    <w:p w14:paraId="34B0DCB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加强与市重污染天气应急指挥中心、周边县（市、区）的协作，共同做好重污染天气应对工作。区指挥部办公室密切与周边地区的沟通协调，加强信息共享，提高区域重污染天气预报预警的准确度，积极参与区域联合预警会商。</w:t>
      </w:r>
    </w:p>
    <w:p w14:paraId="0011362D">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收到市重污染天气应急指挥中心的区域联动预警提示信息后，按照区域联动预警提示信息，及时启动重污染天气预警和应急响应，按要求升级或解除预警，加强区域联防联控，共同降低重污染天气的影响，并将重污染天气应对信息报市重污染天气应急指挥中心办公室。</w:t>
      </w:r>
    </w:p>
    <w:p w14:paraId="2F5804F6">
      <w:pPr>
        <w:kinsoku/>
        <w:autoSpaceDE/>
        <w:autoSpaceDN/>
        <w:adjustRightInd/>
        <w:snapToGrid/>
        <w:spacing w:line="560" w:lineRule="exact"/>
        <w:ind w:firstLine="640" w:firstLineChars="200"/>
        <w:textAlignment w:val="auto"/>
        <w:outlineLvl w:val="0"/>
        <w:rPr>
          <w:rFonts w:ascii="黑体" w:hAnsi="黑体" w:eastAsia="黑体" w:cs="Times New Roman"/>
          <w:snapToGrid/>
          <w:kern w:val="2"/>
          <w:sz w:val="32"/>
          <w:szCs w:val="32"/>
          <w:lang w:eastAsia="zh-CN"/>
        </w:rPr>
      </w:pPr>
      <w:bookmarkStart w:id="218" w:name="_Toc5202"/>
      <w:bookmarkStart w:id="219" w:name="_Toc6702"/>
      <w:bookmarkStart w:id="220" w:name="_Toc25631"/>
      <w:bookmarkStart w:id="221" w:name="_Toc179409581"/>
      <w:bookmarkStart w:id="222" w:name="_Toc17393"/>
      <w:bookmarkStart w:id="223" w:name="_Toc13769"/>
      <w:r>
        <w:rPr>
          <w:rFonts w:ascii="黑体" w:hAnsi="黑体" w:eastAsia="黑体" w:cs="Times New Roman"/>
          <w:snapToGrid/>
          <w:kern w:val="2"/>
          <w:sz w:val="32"/>
          <w:szCs w:val="32"/>
          <w:lang w:eastAsia="zh-CN"/>
        </w:rPr>
        <w:t>7总结评估</w:t>
      </w:r>
      <w:bookmarkEnd w:id="218"/>
      <w:bookmarkEnd w:id="219"/>
      <w:bookmarkEnd w:id="220"/>
      <w:bookmarkEnd w:id="221"/>
      <w:bookmarkEnd w:id="222"/>
      <w:bookmarkEnd w:id="223"/>
    </w:p>
    <w:p w14:paraId="5EC3161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应急响应终止后需对重污染天气应急响应情况进行总结、评估。预警解除后5个工作日内，区指挥部各成员单位要将重污染天气应对情况以书面形式报送区指挥部办公室，总结评估报告应包括重污染天气应急响应启动情况、采取的措施、取得的成效、发现的问题、污染物应急减排比例等，并针对存在的突出问题提出改进措施等。监测达到黄色预警启动条件而未启动预警的也应于5个工作日内报送书面报告。</w:t>
      </w:r>
    </w:p>
    <w:p w14:paraId="7D32D407">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区域联动预警或区级预警解除后，区指挥部办公室视情组织相关部门和专家组对重污染天气应对工作进行总结评估，评估报告上报区指挥部。</w:t>
      </w:r>
    </w:p>
    <w:p w14:paraId="21FD1DC9">
      <w:pPr>
        <w:kinsoku/>
        <w:autoSpaceDE/>
        <w:autoSpaceDN/>
        <w:adjustRightInd/>
        <w:snapToGrid/>
        <w:spacing w:line="560" w:lineRule="exact"/>
        <w:ind w:firstLine="640" w:firstLineChars="200"/>
        <w:textAlignment w:val="auto"/>
        <w:outlineLvl w:val="0"/>
        <w:rPr>
          <w:rFonts w:ascii="黑体" w:hAnsi="黑体" w:eastAsia="黑体" w:cs="Times New Roman"/>
          <w:b/>
          <w:bCs/>
          <w:snapToGrid/>
          <w:kern w:val="2"/>
          <w:sz w:val="32"/>
          <w:szCs w:val="32"/>
          <w:lang w:eastAsia="zh-CN"/>
        </w:rPr>
      </w:pPr>
      <w:bookmarkStart w:id="224" w:name="_Toc179409582"/>
      <w:bookmarkStart w:id="225" w:name="_Toc25166"/>
      <w:bookmarkStart w:id="226" w:name="_Toc29142"/>
      <w:bookmarkStart w:id="227" w:name="_Toc976"/>
      <w:bookmarkStart w:id="228" w:name="_Toc3688"/>
      <w:bookmarkStart w:id="229" w:name="_Toc3605"/>
      <w:r>
        <w:rPr>
          <w:rFonts w:ascii="黑体" w:hAnsi="黑体" w:eastAsia="黑体" w:cs="Times New Roman"/>
          <w:snapToGrid/>
          <w:kern w:val="2"/>
          <w:sz w:val="32"/>
          <w:szCs w:val="32"/>
          <w:lang w:eastAsia="zh-CN"/>
        </w:rPr>
        <w:t>8应急保障</w:t>
      </w:r>
      <w:bookmarkEnd w:id="224"/>
      <w:bookmarkEnd w:id="225"/>
      <w:bookmarkEnd w:id="226"/>
      <w:bookmarkEnd w:id="227"/>
      <w:bookmarkEnd w:id="228"/>
      <w:bookmarkEnd w:id="229"/>
    </w:p>
    <w:p w14:paraId="066C6AA2">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30" w:name="bookmark60"/>
      <w:bookmarkEnd w:id="230"/>
      <w:bookmarkStart w:id="231" w:name="bookmark62"/>
      <w:bookmarkEnd w:id="231"/>
      <w:bookmarkStart w:id="232" w:name="bookmark61"/>
      <w:bookmarkEnd w:id="232"/>
      <w:bookmarkStart w:id="233" w:name="_Toc7339"/>
      <w:bookmarkStart w:id="234" w:name="_Toc7292"/>
      <w:bookmarkStart w:id="235" w:name="_Toc14360"/>
      <w:bookmarkStart w:id="236" w:name="_Toc10414"/>
      <w:bookmarkStart w:id="237" w:name="_Toc29127"/>
      <w:bookmarkStart w:id="238" w:name="_Toc179409583"/>
      <w:r>
        <w:rPr>
          <w:rFonts w:ascii="楷体_GB2312" w:hAnsi="Times New Roman" w:eastAsia="楷体_GB2312" w:cs="Times New Roman"/>
          <w:snapToGrid/>
          <w:kern w:val="2"/>
          <w:sz w:val="32"/>
          <w:szCs w:val="32"/>
          <w:lang w:eastAsia="zh-CN"/>
        </w:rPr>
        <w:t>8.1人力资源保障</w:t>
      </w:r>
      <w:bookmarkEnd w:id="233"/>
      <w:bookmarkEnd w:id="234"/>
      <w:bookmarkEnd w:id="235"/>
      <w:bookmarkEnd w:id="236"/>
      <w:bookmarkEnd w:id="237"/>
      <w:bookmarkEnd w:id="238"/>
    </w:p>
    <w:p w14:paraId="08438EB0">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加强重污染天气应急队伍建设，区指挥部各成员单位应明确专门人员负责重污染天气应急工作，建立完善应急值守制度，保证应急值守系统顺畅，提高应对重污染天气的组织、协调、实施和监管能力，确保在重污染天气预警期间，能迅速参与并完成各项应急响应工作。</w:t>
      </w:r>
    </w:p>
    <w:p w14:paraId="22C5B481">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39" w:name="bookmark63"/>
      <w:bookmarkEnd w:id="239"/>
      <w:bookmarkStart w:id="240" w:name="bookmark64"/>
      <w:bookmarkEnd w:id="240"/>
      <w:bookmarkStart w:id="241" w:name="_Toc4405"/>
      <w:bookmarkStart w:id="242" w:name="_Toc31924"/>
      <w:bookmarkStart w:id="243" w:name="_Toc5399"/>
      <w:bookmarkStart w:id="244" w:name="_Toc19563"/>
      <w:bookmarkStart w:id="245" w:name="_Toc179409584"/>
      <w:bookmarkStart w:id="246" w:name="_Toc20869"/>
      <w:r>
        <w:rPr>
          <w:rFonts w:ascii="楷体_GB2312" w:hAnsi="Times New Roman" w:eastAsia="楷体_GB2312" w:cs="Times New Roman"/>
          <w:snapToGrid/>
          <w:kern w:val="2"/>
          <w:sz w:val="32"/>
          <w:szCs w:val="32"/>
          <w:lang w:eastAsia="zh-CN"/>
        </w:rPr>
        <w:t>8.2资金保障</w:t>
      </w:r>
      <w:bookmarkEnd w:id="241"/>
      <w:bookmarkEnd w:id="242"/>
      <w:bookmarkEnd w:id="243"/>
      <w:bookmarkEnd w:id="244"/>
      <w:bookmarkEnd w:id="245"/>
      <w:bookmarkEnd w:id="246"/>
    </w:p>
    <w:p w14:paraId="15AA860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财政部门要统筹安排专项资金，落实重污染天气预警和应急指挥系统建设、运行和应急响应工作经费，为做好重污染天气应对工作提供财力保障。</w:t>
      </w:r>
    </w:p>
    <w:p w14:paraId="49E50AEB">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47" w:name="bookmark65"/>
      <w:bookmarkEnd w:id="247"/>
      <w:bookmarkStart w:id="248" w:name="bookmark66"/>
      <w:bookmarkEnd w:id="248"/>
      <w:bookmarkStart w:id="249" w:name="_Toc11727"/>
      <w:bookmarkStart w:id="250" w:name="_Toc24180"/>
      <w:bookmarkStart w:id="251" w:name="_Toc9682"/>
      <w:bookmarkStart w:id="252" w:name="_Toc179409585"/>
      <w:bookmarkStart w:id="253" w:name="_Toc525"/>
      <w:bookmarkStart w:id="254" w:name="_Toc32509"/>
      <w:r>
        <w:rPr>
          <w:rFonts w:ascii="楷体_GB2312" w:hAnsi="Times New Roman" w:eastAsia="楷体_GB2312" w:cs="Times New Roman"/>
          <w:snapToGrid/>
          <w:kern w:val="2"/>
          <w:sz w:val="32"/>
          <w:szCs w:val="32"/>
          <w:lang w:eastAsia="zh-CN"/>
        </w:rPr>
        <w:t>8.3科技保障</w:t>
      </w:r>
      <w:bookmarkEnd w:id="249"/>
      <w:bookmarkEnd w:id="250"/>
      <w:bookmarkEnd w:id="251"/>
      <w:bookmarkEnd w:id="252"/>
      <w:bookmarkEnd w:id="253"/>
      <w:bookmarkEnd w:id="254"/>
    </w:p>
    <w:p w14:paraId="72E0B8AD">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组织协调大气污染源自动监测系统、空气质量自动监测和预测预报系统建设，配合市指挥部、监测机构建立重污染天气监测预警体系，充分利用监测设施设备做好重污染天气过程的趋势分析，完善会商研判机制，提高监测预报的准确度。</w:t>
      </w:r>
    </w:p>
    <w:p w14:paraId="3219C6D9">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55" w:name="bookmark68"/>
      <w:bookmarkEnd w:id="255"/>
      <w:bookmarkStart w:id="256" w:name="bookmark67"/>
      <w:bookmarkEnd w:id="256"/>
      <w:bookmarkStart w:id="257" w:name="_Toc2148"/>
      <w:bookmarkStart w:id="258" w:name="_Toc179409586"/>
      <w:bookmarkStart w:id="259" w:name="_Toc32150"/>
      <w:bookmarkStart w:id="260" w:name="_Toc5991"/>
      <w:bookmarkStart w:id="261" w:name="_Toc20540"/>
      <w:bookmarkStart w:id="262" w:name="_Toc28793"/>
      <w:r>
        <w:rPr>
          <w:rFonts w:ascii="楷体_GB2312" w:hAnsi="Times New Roman" w:eastAsia="楷体_GB2312" w:cs="Times New Roman"/>
          <w:snapToGrid/>
          <w:kern w:val="2"/>
          <w:sz w:val="32"/>
          <w:szCs w:val="32"/>
          <w:lang w:eastAsia="zh-CN"/>
        </w:rPr>
        <w:t>8.4通信与交通保障</w:t>
      </w:r>
      <w:bookmarkEnd w:id="257"/>
      <w:bookmarkEnd w:id="258"/>
      <w:bookmarkEnd w:id="259"/>
      <w:bookmarkEnd w:id="260"/>
      <w:bookmarkEnd w:id="261"/>
      <w:bookmarkEnd w:id="262"/>
    </w:p>
    <w:p w14:paraId="21EE525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通信管理部门负责建立通信保障体系，督促基础电信运营企业向公众发送重污染天气预警信息，确保重污染天气应急期间的通信联络畅通。交通运输部门要健全道路、水运紧急运输保障体系，保障应急响应所需人员、物资、装备、器材等的运输。公安部门要加强应急交通管理，保障运送伤病员、应急救援人员、物资、装备、器材的车辆优先通行。</w:t>
      </w:r>
    </w:p>
    <w:p w14:paraId="4EDAAA54">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63" w:name="_Toc179409587"/>
      <w:bookmarkStart w:id="264" w:name="_Hlk179411939"/>
      <w:r>
        <w:rPr>
          <w:rFonts w:ascii="楷体_GB2312" w:hAnsi="Times New Roman" w:eastAsia="楷体_GB2312" w:cs="Times New Roman"/>
          <w:snapToGrid/>
          <w:kern w:val="2"/>
          <w:sz w:val="32"/>
          <w:szCs w:val="32"/>
          <w:lang w:eastAsia="zh-CN"/>
        </w:rPr>
        <w:t>8.5责任与奖惩</w:t>
      </w:r>
      <w:bookmarkEnd w:id="263"/>
    </w:p>
    <w:p w14:paraId="35C52B9D">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区指挥部办公室负责对有关成员单位专项实施方案和重污染天气应急预案制(修)订、应急体系建设、应急措施的组织落实情况等进行监督。</w:t>
      </w:r>
    </w:p>
    <w:p w14:paraId="6826EA5E">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办公室对在重污染天气应急处置工作中反应迅速、措施妥当、贡献突出的先进集体和个人给予表扬。对因工作不力、履职缺位等导致未能有效应对重污染天气，导致影响我市重污染天气相关目标完成的部门及个人，依法依纪追究相应责任。</w:t>
      </w:r>
    </w:p>
    <w:p w14:paraId="37FA0B2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对于未按要求执行排污单位重污染天气应急措施的企业，依法实施处罚。对重污染天气应急响应期间偷排偷放、屡查屡犯的企业，依法责令其停止生产，追究法律责任。绩效分级为非最低等级的工业企业，在重污染天气应急响应期间存在违法违规行为的，进行降级处理。</w:t>
      </w:r>
    </w:p>
    <w:bookmarkEnd w:id="264"/>
    <w:p w14:paraId="0E8B1D22">
      <w:pPr>
        <w:kinsoku/>
        <w:autoSpaceDE/>
        <w:autoSpaceDN/>
        <w:adjustRightInd/>
        <w:snapToGrid/>
        <w:spacing w:line="560" w:lineRule="exact"/>
        <w:ind w:firstLine="640" w:firstLineChars="200"/>
        <w:textAlignment w:val="auto"/>
        <w:outlineLvl w:val="0"/>
        <w:rPr>
          <w:rFonts w:ascii="黑体" w:hAnsi="黑体" w:eastAsia="黑体" w:cs="Times New Roman"/>
          <w:snapToGrid/>
          <w:kern w:val="2"/>
          <w:sz w:val="32"/>
          <w:szCs w:val="32"/>
          <w:lang w:eastAsia="zh-CN"/>
        </w:rPr>
      </w:pPr>
      <w:bookmarkStart w:id="265" w:name="_Toc24984"/>
      <w:bookmarkStart w:id="266" w:name="_Toc28696"/>
      <w:bookmarkStart w:id="267" w:name="_Toc13636"/>
      <w:bookmarkStart w:id="268" w:name="_Toc23816"/>
      <w:bookmarkStart w:id="269" w:name="_Toc3869"/>
      <w:bookmarkStart w:id="270" w:name="_Toc179409588"/>
      <w:r>
        <w:rPr>
          <w:rFonts w:ascii="黑体" w:hAnsi="黑体" w:eastAsia="黑体" w:cs="Times New Roman"/>
          <w:snapToGrid/>
          <w:kern w:val="2"/>
          <w:sz w:val="32"/>
          <w:szCs w:val="32"/>
          <w:lang w:eastAsia="zh-CN"/>
        </w:rPr>
        <w:t>9预案管理</w:t>
      </w:r>
      <w:bookmarkEnd w:id="265"/>
      <w:bookmarkEnd w:id="266"/>
      <w:bookmarkEnd w:id="267"/>
      <w:bookmarkEnd w:id="268"/>
      <w:bookmarkEnd w:id="269"/>
      <w:bookmarkEnd w:id="270"/>
    </w:p>
    <w:p w14:paraId="09E950C9">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71" w:name="bookmark72"/>
      <w:bookmarkEnd w:id="271"/>
      <w:bookmarkStart w:id="272" w:name="bookmark70"/>
      <w:bookmarkEnd w:id="272"/>
      <w:bookmarkStart w:id="273" w:name="bookmark71"/>
      <w:bookmarkEnd w:id="273"/>
      <w:bookmarkStart w:id="274" w:name="_Toc4589"/>
      <w:bookmarkStart w:id="275" w:name="_Toc25539"/>
      <w:bookmarkStart w:id="276" w:name="_Toc22300"/>
      <w:bookmarkStart w:id="277" w:name="_Toc27640"/>
      <w:bookmarkStart w:id="278" w:name="_Toc10828"/>
      <w:bookmarkStart w:id="279" w:name="_Toc179409589"/>
      <w:r>
        <w:rPr>
          <w:rFonts w:ascii="楷体_GB2312" w:hAnsi="Times New Roman" w:eastAsia="楷体_GB2312" w:cs="Times New Roman"/>
          <w:snapToGrid/>
          <w:kern w:val="2"/>
          <w:sz w:val="32"/>
          <w:szCs w:val="32"/>
          <w:lang w:eastAsia="zh-CN"/>
        </w:rPr>
        <w:t>9.1预案宣传</w:t>
      </w:r>
      <w:bookmarkEnd w:id="274"/>
      <w:bookmarkEnd w:id="275"/>
      <w:bookmarkEnd w:id="276"/>
      <w:bookmarkEnd w:id="277"/>
      <w:bookmarkEnd w:id="278"/>
      <w:bookmarkEnd w:id="279"/>
    </w:p>
    <w:p w14:paraId="56CCE1AC">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各相关部门应充分利用互联网、电视等新闻媒体及信息网络，加强预案以及重污染天气预警信息和应急响应措施的宣传，密切关注舆论，及时积极正面引导舆论，回应社会关注，动员社会力量参与，为重污染天气应急响应工作营造良好舆论氛围。各类媒体要广泛宣传重污染天气应对的安全、健康知识，提高公众预防、自救能力。区指挥部要加强重污染天气应对培训，提高重污染天气应对工作的针对性和有效性。</w:t>
      </w:r>
    </w:p>
    <w:p w14:paraId="0CFA553C">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80" w:name="bookmark74"/>
      <w:bookmarkEnd w:id="280"/>
      <w:bookmarkStart w:id="281" w:name="bookmark73"/>
      <w:bookmarkEnd w:id="281"/>
      <w:bookmarkStart w:id="282" w:name="_Toc179409590"/>
      <w:bookmarkStart w:id="283" w:name="_Toc23502"/>
      <w:bookmarkStart w:id="284" w:name="_Toc24772"/>
      <w:bookmarkStart w:id="285" w:name="_Toc21214"/>
      <w:bookmarkStart w:id="286" w:name="_Toc26630"/>
      <w:bookmarkStart w:id="287" w:name="_Toc31901"/>
      <w:r>
        <w:rPr>
          <w:rFonts w:ascii="楷体_GB2312" w:hAnsi="Times New Roman" w:eastAsia="楷体_GB2312" w:cs="Times New Roman"/>
          <w:snapToGrid/>
          <w:kern w:val="2"/>
          <w:sz w:val="32"/>
          <w:szCs w:val="32"/>
          <w:lang w:eastAsia="zh-CN"/>
        </w:rPr>
        <w:t>9.2预案培训</w:t>
      </w:r>
      <w:bookmarkEnd w:id="282"/>
      <w:bookmarkEnd w:id="283"/>
      <w:bookmarkEnd w:id="284"/>
      <w:bookmarkEnd w:id="285"/>
      <w:bookmarkEnd w:id="286"/>
      <w:bookmarkEnd w:id="287"/>
    </w:p>
    <w:p w14:paraId="7AA498CA">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各有关部门要建立健全重污染天气应急预案培训制度，根据应急预案职责分工，制定培训计划。区指挥部办公室和各成员单位应围绕各自职责的落实和监管方式开展培训，确保应急时监督执法到位；相关企事业单位应围绕各自所需落实的应急措施开展技术培训，确保各项应急措施安全、有效、全面落实。</w:t>
      </w:r>
    </w:p>
    <w:p w14:paraId="17866DDA">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88" w:name="bookmark75"/>
      <w:bookmarkEnd w:id="288"/>
      <w:bookmarkStart w:id="289" w:name="bookmark76"/>
      <w:bookmarkEnd w:id="289"/>
      <w:bookmarkStart w:id="290" w:name="_Toc179409591"/>
      <w:bookmarkStart w:id="291" w:name="_Toc9238"/>
      <w:bookmarkStart w:id="292" w:name="_Toc13359"/>
      <w:bookmarkStart w:id="293" w:name="_Toc31727"/>
      <w:bookmarkStart w:id="294" w:name="_Toc14036"/>
      <w:bookmarkStart w:id="295" w:name="_Toc2424"/>
      <w:r>
        <w:rPr>
          <w:rFonts w:ascii="楷体_GB2312" w:hAnsi="Times New Roman" w:eastAsia="楷体_GB2312" w:cs="Times New Roman"/>
          <w:snapToGrid/>
          <w:kern w:val="2"/>
          <w:sz w:val="32"/>
          <w:szCs w:val="32"/>
          <w:lang w:eastAsia="zh-CN"/>
        </w:rPr>
        <w:t>9.3预案管理</w:t>
      </w:r>
      <w:bookmarkEnd w:id="290"/>
      <w:bookmarkEnd w:id="291"/>
      <w:bookmarkEnd w:id="292"/>
      <w:bookmarkEnd w:id="293"/>
      <w:bookmarkEnd w:id="294"/>
      <w:bookmarkEnd w:id="295"/>
    </w:p>
    <w:p w14:paraId="1B311066">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区指挥部办公室负责本预案的编制、解释和日常管理，根据国家、省、市重污染天气应急工作布置和本预案实施情况，适时组织修订，报区人民政府印发，并报市生态环境局备案。</w:t>
      </w:r>
    </w:p>
    <w:p w14:paraId="444EE87B">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市生态环境局芦淞分局配合上级生态环境部门编制我区应急减排项目清单。应急减排项目清单作为应急预案的组成部分，具有动态变化的特性，应根据实际情况每年9月底前完成更新，报市重污染天气应急指挥中心审核备案后由区人民政府发布实施。区重污染天气应急预案和应急减排项目清单应当向社会公开，引导社会力量参与监督。</w:t>
      </w:r>
    </w:p>
    <w:p w14:paraId="22397ED7">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r>
        <w:rPr>
          <w:rFonts w:ascii="Times New Roman" w:hAnsi="Times New Roman" w:eastAsia="仿宋_GB2312" w:cs="Times New Roman"/>
          <w:snapToGrid/>
          <w:kern w:val="2"/>
          <w:sz w:val="32"/>
          <w:szCs w:val="32"/>
          <w:lang w:eastAsia="zh-CN"/>
        </w:rPr>
        <w:t>区直相关部门应根据本预案有关要求，制定本部门重污染天气应急响应专项实施方案，根据本预案修订情况适时进行修订。</w:t>
      </w:r>
    </w:p>
    <w:p w14:paraId="12C3D4E0">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296" w:name="bookmark77"/>
      <w:bookmarkEnd w:id="296"/>
      <w:bookmarkStart w:id="297" w:name="bookmark78"/>
      <w:bookmarkEnd w:id="297"/>
      <w:bookmarkStart w:id="298" w:name="_Toc9863"/>
      <w:bookmarkStart w:id="299" w:name="_Toc28791"/>
      <w:bookmarkStart w:id="300" w:name="_Toc11848"/>
      <w:bookmarkStart w:id="301" w:name="_Toc179409592"/>
      <w:bookmarkStart w:id="302" w:name="_Toc17106"/>
      <w:bookmarkStart w:id="303" w:name="_Toc3625"/>
      <w:r>
        <w:rPr>
          <w:rFonts w:ascii="楷体_GB2312" w:hAnsi="Times New Roman" w:eastAsia="楷体_GB2312" w:cs="Times New Roman"/>
          <w:snapToGrid/>
          <w:kern w:val="2"/>
          <w:sz w:val="32"/>
          <w:szCs w:val="32"/>
          <w:lang w:eastAsia="zh-CN"/>
        </w:rPr>
        <w:t>9.4预案实施</w:t>
      </w:r>
      <w:bookmarkEnd w:id="298"/>
      <w:bookmarkEnd w:id="299"/>
      <w:bookmarkEnd w:id="300"/>
      <w:bookmarkEnd w:id="301"/>
      <w:bookmarkEnd w:id="302"/>
      <w:bookmarkEnd w:id="303"/>
    </w:p>
    <w:p w14:paraId="7DCA55E3">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napToGrid/>
          <w:kern w:val="2"/>
          <w:sz w:val="32"/>
          <w:szCs w:val="32"/>
          <w:lang w:eastAsia="zh-CN"/>
        </w:rPr>
      </w:pPr>
      <w:bookmarkStart w:id="304" w:name="_Toc13782"/>
      <w:bookmarkStart w:id="305" w:name="_Toc10131"/>
      <w:r>
        <w:rPr>
          <w:rFonts w:ascii="Times New Roman" w:hAnsi="Times New Roman" w:eastAsia="仿宋_GB2312" w:cs="Times New Roman"/>
          <w:snapToGrid/>
          <w:kern w:val="2"/>
          <w:sz w:val="32"/>
          <w:szCs w:val="32"/>
          <w:lang w:eastAsia="zh-CN"/>
        </w:rPr>
        <w:t>区指挥部办公室负责对有关成员单位专项实施方案和相关企事业单位重污染天气应急响应实施方案制（修）订、应急体系建设、应急措施的组织落实情况等进行监督。加强对区指挥部各成员单位重污染天气应对工作的监督</w:t>
      </w:r>
      <w:r>
        <w:rPr>
          <w:rFonts w:hint="eastAsia" w:ascii="Times New Roman" w:hAnsi="Times New Roman" w:eastAsia="仿宋_GB2312" w:cs="Times New Roman"/>
          <w:snapToGrid/>
          <w:kern w:val="2"/>
          <w:sz w:val="32"/>
          <w:szCs w:val="32"/>
          <w:lang w:eastAsia="zh-CN"/>
        </w:rPr>
        <w:t>检查</w:t>
      </w:r>
      <w:r>
        <w:rPr>
          <w:rFonts w:ascii="Times New Roman" w:hAnsi="Times New Roman" w:eastAsia="仿宋_GB2312" w:cs="Times New Roman"/>
          <w:snapToGrid/>
          <w:kern w:val="2"/>
          <w:sz w:val="32"/>
          <w:szCs w:val="32"/>
          <w:lang w:eastAsia="zh-CN"/>
        </w:rPr>
        <w:t>，加大对重污染天气地区应急响应措施的督查力度，将重污染天气应对工作纳入各成员单位的污染防治攻坚战成效考核，对未做好应急响应工作的，依规依纪启动问责程序。</w:t>
      </w:r>
    </w:p>
    <w:p w14:paraId="564DCE5D">
      <w:pPr>
        <w:widowControl w:val="0"/>
        <w:kinsoku/>
        <w:autoSpaceDE/>
        <w:autoSpaceDN/>
        <w:adjustRightInd/>
        <w:snapToGrid/>
        <w:spacing w:line="560" w:lineRule="exact"/>
        <w:ind w:firstLine="640" w:firstLineChars="200"/>
        <w:jc w:val="both"/>
        <w:textAlignment w:val="auto"/>
        <w:outlineLvl w:val="1"/>
        <w:rPr>
          <w:rFonts w:ascii="楷体_GB2312" w:hAnsi="Times New Roman" w:eastAsia="楷体_GB2312" w:cs="Times New Roman"/>
          <w:snapToGrid/>
          <w:kern w:val="2"/>
          <w:sz w:val="32"/>
          <w:szCs w:val="32"/>
          <w:lang w:eastAsia="zh-CN"/>
        </w:rPr>
      </w:pPr>
      <w:bookmarkStart w:id="306" w:name="_Toc26121"/>
      <w:bookmarkStart w:id="307" w:name="_Toc20438"/>
      <w:bookmarkStart w:id="308" w:name="_Toc27080"/>
      <w:bookmarkStart w:id="309" w:name="_Toc29955"/>
      <w:bookmarkStart w:id="310" w:name="_Toc179409593"/>
      <w:bookmarkStart w:id="311" w:name="_Toc31476"/>
      <w:r>
        <w:rPr>
          <w:rFonts w:ascii="楷体_GB2312" w:hAnsi="Times New Roman" w:eastAsia="楷体_GB2312" w:cs="Times New Roman"/>
          <w:snapToGrid/>
          <w:kern w:val="2"/>
          <w:sz w:val="32"/>
          <w:szCs w:val="32"/>
          <w:lang w:eastAsia="zh-CN"/>
        </w:rPr>
        <w:t>9.5预案实施日期</w:t>
      </w:r>
      <w:bookmarkEnd w:id="304"/>
      <w:bookmarkEnd w:id="305"/>
      <w:bookmarkEnd w:id="306"/>
      <w:bookmarkEnd w:id="307"/>
      <w:bookmarkEnd w:id="308"/>
      <w:bookmarkEnd w:id="309"/>
      <w:bookmarkEnd w:id="310"/>
      <w:bookmarkEnd w:id="311"/>
    </w:p>
    <w:p w14:paraId="01F2AB04">
      <w:pPr>
        <w:widowControl w:val="0"/>
        <w:kinsoku/>
        <w:autoSpaceDE/>
        <w:autoSpaceDN/>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napToGrid/>
          <w:kern w:val="2"/>
          <w:sz w:val="32"/>
          <w:szCs w:val="32"/>
          <w:lang w:eastAsia="zh-CN"/>
        </w:rPr>
        <w:t>本预案自印发之日起实施。</w:t>
      </w:r>
    </w:p>
    <w:p w14:paraId="55977B23">
      <w:pPr>
        <w:widowControl w:val="0"/>
        <w:kinsoku/>
        <w:autoSpaceDE/>
        <w:autoSpaceDN/>
        <w:adjustRightInd/>
        <w:snapToGrid/>
        <w:spacing w:line="560" w:lineRule="exact"/>
        <w:ind w:firstLine="640" w:firstLineChars="200"/>
        <w:jc w:val="both"/>
        <w:textAlignment w:val="auto"/>
        <w:outlineLvl w:val="0"/>
        <w:rPr>
          <w:rFonts w:ascii="Times New Roman" w:hAnsi="Times New Roman" w:eastAsia="仿宋_GB2312" w:cs="Times New Roman"/>
          <w:sz w:val="32"/>
          <w:szCs w:val="32"/>
          <w:lang w:eastAsia="zh-CN"/>
        </w:rPr>
      </w:pPr>
      <w:bookmarkStart w:id="312" w:name="_Toc10112"/>
      <w:bookmarkStart w:id="313" w:name="_Toc8183"/>
      <w:bookmarkStart w:id="314" w:name="_Toc179409594"/>
      <w:bookmarkStart w:id="315" w:name="_Toc27898"/>
      <w:r>
        <w:rPr>
          <w:rFonts w:ascii="Times New Roman" w:hAnsi="Times New Roman" w:eastAsia="仿宋_GB2312" w:cs="Times New Roman"/>
          <w:snapToGrid/>
          <w:kern w:val="2"/>
          <w:sz w:val="32"/>
          <w:szCs w:val="32"/>
          <w:lang w:eastAsia="zh-CN"/>
        </w:rPr>
        <w:t>附件</w:t>
      </w:r>
      <w:bookmarkEnd w:id="312"/>
      <w:bookmarkEnd w:id="313"/>
      <w:bookmarkEnd w:id="314"/>
      <w:bookmarkEnd w:id="315"/>
      <w:r>
        <w:rPr>
          <w:rFonts w:hint="eastAsia" w:ascii="Times New Roman" w:hAnsi="Times New Roman" w:eastAsia="仿宋_GB2312" w:cs="Times New Roman"/>
          <w:snapToGrid/>
          <w:kern w:val="2"/>
          <w:sz w:val="32"/>
          <w:szCs w:val="32"/>
          <w:lang w:eastAsia="zh-CN"/>
        </w:rPr>
        <w:t>：</w:t>
      </w:r>
      <w:bookmarkStart w:id="316" w:name="_Hlk179412125"/>
      <w:r>
        <w:rPr>
          <w:rFonts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芦淞区重污染天气组织架构图</w:t>
      </w:r>
    </w:p>
    <w:p w14:paraId="2F5BE0E2">
      <w:pPr>
        <w:spacing w:line="560" w:lineRule="exact"/>
        <w:ind w:firstLine="1600" w:firstLineChars="5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芦淞区重污染天气应对流程图</w:t>
      </w:r>
    </w:p>
    <w:p w14:paraId="72CF0F8C">
      <w:pPr>
        <w:spacing w:line="560" w:lineRule="exact"/>
        <w:ind w:firstLine="1600" w:firstLineChars="5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重污染天气应急指挥部成员单位职责</w:t>
      </w:r>
    </w:p>
    <w:p w14:paraId="0C9458B6">
      <w:pPr>
        <w:spacing w:line="560" w:lineRule="exact"/>
        <w:ind w:firstLine="1600" w:firstLineChars="5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芦淞区重污染天气应急指挥部成员单位联系电话</w:t>
      </w:r>
    </w:p>
    <w:p w14:paraId="321BF27E">
      <w:pPr>
        <w:spacing w:line="560" w:lineRule="exact"/>
        <w:ind w:left="1916" w:leftChars="760" w:hanging="320" w:hangingChars="1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《株洲市重污染天气应急减排单（工业源）》预警期间应急管控措施-重点行业-芦淞区</w:t>
      </w:r>
    </w:p>
    <w:p w14:paraId="7532A456">
      <w:pPr>
        <w:spacing w:line="560" w:lineRule="exact"/>
        <w:ind w:left="1916" w:leftChars="760" w:hanging="320" w:hangingChars="1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《株洲市重污染天气应急减排单（工业源）》预警期间应急管控措施-其他行业-芦淞区</w:t>
      </w:r>
    </w:p>
    <w:p w14:paraId="32D76BE8">
      <w:pPr>
        <w:spacing w:line="560" w:lineRule="exact"/>
        <w:ind w:firstLine="1600" w:firstLineChars="5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7</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重污染天气</w:t>
      </w:r>
      <w:r>
        <w:rPr>
          <w:rFonts w:hint="eastAsia" w:ascii="Times New Roman" w:hAnsi="Times New Roman" w:eastAsia="仿宋_GB2312" w:cs="Times New Roman"/>
          <w:sz w:val="32"/>
          <w:szCs w:val="32"/>
          <w:lang w:eastAsia="zh-CN"/>
        </w:rPr>
        <w:t>应</w:t>
      </w:r>
      <w:r>
        <w:rPr>
          <w:rFonts w:ascii="Times New Roman" w:hAnsi="Times New Roman" w:eastAsia="仿宋_GB2312" w:cs="Times New Roman"/>
          <w:sz w:val="32"/>
          <w:szCs w:val="32"/>
          <w:lang w:eastAsia="zh-CN"/>
        </w:rPr>
        <w:t>急预案演习记录</w:t>
      </w:r>
    </w:p>
    <w:p w14:paraId="0D537615">
      <w:pPr>
        <w:spacing w:line="560" w:lineRule="exact"/>
        <w:ind w:firstLine="1600" w:firstLineChars="5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8</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重污染天气应急预案演习考核记录</w:t>
      </w:r>
    </w:p>
    <w:p w14:paraId="55E5AC17">
      <w:pPr>
        <w:spacing w:line="560" w:lineRule="exact"/>
        <w:ind w:firstLine="1600" w:firstLineChars="5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9</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芦淞区重点道路管控区域</w:t>
      </w:r>
    </w:p>
    <w:bookmarkEnd w:id="316"/>
    <w:p w14:paraId="6707CB7D">
      <w:pPr>
        <w:pStyle w:val="9"/>
        <w:spacing w:line="560" w:lineRule="exact"/>
        <w:ind w:firstLine="640" w:firstLineChars="200"/>
        <w:rPr>
          <w:rFonts w:ascii="Times New Roman" w:hAnsi="Times New Roman" w:eastAsia="仿宋_GB2312" w:cs="Times New Roman"/>
          <w:sz w:val="32"/>
          <w:szCs w:val="32"/>
          <w:lang w:eastAsia="zh-CN"/>
        </w:rPr>
      </w:pPr>
    </w:p>
    <w:p w14:paraId="31167226">
      <w:pPr>
        <w:pStyle w:val="6"/>
        <w:rPr>
          <w:rFonts w:ascii="Times New Roman" w:hAnsi="Times New Roman" w:eastAsia="仿宋_GB2312" w:cs="Times New Roman"/>
          <w:sz w:val="32"/>
          <w:szCs w:val="32"/>
          <w:lang w:eastAsia="zh-CN"/>
        </w:rPr>
      </w:pPr>
    </w:p>
    <w:p w14:paraId="4525D952">
      <w:pPr>
        <w:rPr>
          <w:rFonts w:ascii="Times New Roman" w:hAnsi="Times New Roman" w:eastAsia="仿宋_GB2312" w:cs="Times New Roman"/>
          <w:sz w:val="32"/>
          <w:szCs w:val="32"/>
          <w:lang w:eastAsia="zh-CN"/>
        </w:rPr>
      </w:pPr>
    </w:p>
    <w:p w14:paraId="580EFD7F">
      <w:pPr>
        <w:pStyle w:val="9"/>
        <w:rPr>
          <w:rFonts w:ascii="Times New Roman" w:hAnsi="Times New Roman" w:eastAsia="仿宋_GB2312" w:cs="Times New Roman"/>
          <w:sz w:val="32"/>
          <w:szCs w:val="32"/>
          <w:lang w:eastAsia="zh-CN"/>
        </w:rPr>
      </w:pPr>
    </w:p>
    <w:p w14:paraId="521FE1C1">
      <w:pPr>
        <w:pStyle w:val="6"/>
        <w:rPr>
          <w:rFonts w:ascii="Times New Roman" w:hAnsi="Times New Roman" w:eastAsia="仿宋_GB2312" w:cs="Times New Roman"/>
          <w:sz w:val="32"/>
          <w:szCs w:val="32"/>
          <w:lang w:eastAsia="zh-CN"/>
        </w:rPr>
      </w:pPr>
    </w:p>
    <w:p w14:paraId="2C24832E">
      <w:pPr>
        <w:rPr>
          <w:rFonts w:ascii="Times New Roman" w:hAnsi="Times New Roman" w:eastAsia="仿宋_GB2312" w:cs="Times New Roman"/>
          <w:sz w:val="32"/>
          <w:szCs w:val="32"/>
          <w:lang w:eastAsia="zh-CN"/>
        </w:rPr>
      </w:pPr>
    </w:p>
    <w:p w14:paraId="0FC93BEE">
      <w:pPr>
        <w:pStyle w:val="9"/>
        <w:rPr>
          <w:rFonts w:ascii="Times New Roman" w:hAnsi="Times New Roman" w:eastAsia="仿宋_GB2312" w:cs="Times New Roman"/>
          <w:sz w:val="32"/>
          <w:szCs w:val="32"/>
          <w:lang w:eastAsia="zh-CN"/>
        </w:rPr>
      </w:pPr>
    </w:p>
    <w:p w14:paraId="360CC020">
      <w:pPr>
        <w:pStyle w:val="6"/>
        <w:rPr>
          <w:rFonts w:ascii="Times New Roman" w:hAnsi="Times New Roman" w:eastAsia="仿宋_GB2312" w:cs="Times New Roman"/>
          <w:sz w:val="32"/>
          <w:szCs w:val="32"/>
          <w:lang w:eastAsia="zh-CN"/>
        </w:rPr>
      </w:pPr>
    </w:p>
    <w:p w14:paraId="22335AFA">
      <w:pPr>
        <w:rPr>
          <w:rFonts w:ascii="Times New Roman" w:hAnsi="Times New Roman" w:eastAsia="仿宋_GB2312" w:cs="Times New Roman"/>
          <w:sz w:val="32"/>
          <w:szCs w:val="32"/>
          <w:lang w:eastAsia="zh-CN"/>
        </w:rPr>
      </w:pPr>
    </w:p>
    <w:p w14:paraId="2735EA03">
      <w:pPr>
        <w:pStyle w:val="9"/>
        <w:rPr>
          <w:rFonts w:ascii="Times New Roman" w:hAnsi="Times New Roman" w:eastAsia="仿宋_GB2312" w:cs="Times New Roman"/>
          <w:sz w:val="32"/>
          <w:szCs w:val="32"/>
          <w:lang w:eastAsia="zh-CN"/>
        </w:rPr>
      </w:pPr>
    </w:p>
    <w:p w14:paraId="5A5F299D">
      <w:pPr>
        <w:pStyle w:val="6"/>
        <w:rPr>
          <w:rFonts w:ascii="Times New Roman" w:hAnsi="Times New Roman" w:eastAsia="仿宋_GB2312" w:cs="Times New Roman"/>
          <w:sz w:val="32"/>
          <w:szCs w:val="32"/>
          <w:lang w:eastAsia="zh-CN"/>
        </w:rPr>
      </w:pPr>
    </w:p>
    <w:p w14:paraId="0FCC528A">
      <w:pPr>
        <w:rPr>
          <w:rFonts w:ascii="Times New Roman" w:hAnsi="Times New Roman" w:eastAsia="仿宋_GB2312" w:cs="Times New Roman"/>
          <w:sz w:val="32"/>
          <w:szCs w:val="32"/>
          <w:lang w:eastAsia="zh-CN"/>
        </w:rPr>
      </w:pPr>
    </w:p>
    <w:p w14:paraId="2C873E31">
      <w:pPr>
        <w:pStyle w:val="9"/>
        <w:rPr>
          <w:rFonts w:ascii="Times New Roman" w:hAnsi="Times New Roman" w:eastAsia="仿宋_GB2312" w:cs="Times New Roman"/>
          <w:sz w:val="32"/>
          <w:szCs w:val="32"/>
          <w:lang w:eastAsia="zh-CN"/>
        </w:rPr>
      </w:pPr>
    </w:p>
    <w:p w14:paraId="5B69B145">
      <w:pPr>
        <w:pStyle w:val="6"/>
        <w:rPr>
          <w:rFonts w:ascii="Times New Roman" w:hAnsi="Times New Roman" w:eastAsia="仿宋_GB2312" w:cs="Times New Roman"/>
          <w:sz w:val="32"/>
          <w:szCs w:val="32"/>
          <w:lang w:eastAsia="zh-CN"/>
        </w:rPr>
      </w:pPr>
    </w:p>
    <w:p w14:paraId="00C28B3F">
      <w:pPr>
        <w:rPr>
          <w:rFonts w:ascii="Times New Roman" w:hAnsi="Times New Roman" w:eastAsia="仿宋_GB2312" w:cs="Times New Roman"/>
          <w:sz w:val="32"/>
          <w:szCs w:val="32"/>
          <w:lang w:eastAsia="zh-CN"/>
        </w:rPr>
      </w:pPr>
    </w:p>
    <w:p w14:paraId="4264A7EF">
      <w:pPr>
        <w:pStyle w:val="9"/>
        <w:rPr>
          <w:rFonts w:ascii="Times New Roman" w:hAnsi="Times New Roman" w:eastAsia="仿宋_GB2312" w:cs="Times New Roman"/>
          <w:sz w:val="32"/>
          <w:szCs w:val="32"/>
          <w:lang w:eastAsia="zh-CN"/>
        </w:rPr>
      </w:pPr>
    </w:p>
    <w:p w14:paraId="2A8B5092">
      <w:pPr>
        <w:pStyle w:val="6"/>
        <w:rPr>
          <w:rFonts w:ascii="Times New Roman" w:hAnsi="Times New Roman" w:eastAsia="仿宋_GB2312" w:cs="Times New Roman"/>
          <w:sz w:val="32"/>
          <w:szCs w:val="32"/>
          <w:lang w:eastAsia="zh-CN"/>
        </w:rPr>
      </w:pPr>
    </w:p>
    <w:p w14:paraId="3D9EC0B0">
      <w:pPr>
        <w:rPr>
          <w:rFonts w:ascii="Times New Roman" w:hAnsi="Times New Roman" w:eastAsia="仿宋_GB2312" w:cs="Times New Roman"/>
          <w:sz w:val="32"/>
          <w:szCs w:val="32"/>
          <w:lang w:eastAsia="zh-CN"/>
        </w:rPr>
      </w:pPr>
    </w:p>
    <w:p w14:paraId="0E52FD00">
      <w:pPr>
        <w:pStyle w:val="9"/>
        <w:rPr>
          <w:rFonts w:ascii="Times New Roman" w:hAnsi="Times New Roman" w:eastAsia="仿宋_GB2312" w:cs="Times New Roman"/>
          <w:sz w:val="32"/>
          <w:szCs w:val="32"/>
          <w:lang w:eastAsia="zh-CN"/>
        </w:rPr>
      </w:pPr>
    </w:p>
    <w:p w14:paraId="20C0B368">
      <w:pPr>
        <w:pStyle w:val="6"/>
        <w:rPr>
          <w:rFonts w:ascii="Times New Roman" w:hAnsi="Times New Roman" w:eastAsia="仿宋_GB2312" w:cs="Times New Roman"/>
          <w:sz w:val="32"/>
          <w:szCs w:val="32"/>
          <w:lang w:eastAsia="zh-CN"/>
        </w:rPr>
      </w:pPr>
    </w:p>
    <w:p w14:paraId="1BAF5E6C">
      <w:pPr>
        <w:rPr>
          <w:rFonts w:ascii="Times New Roman" w:hAnsi="Times New Roman" w:eastAsia="仿宋_GB2312" w:cs="Times New Roman"/>
          <w:sz w:val="32"/>
          <w:szCs w:val="32"/>
          <w:lang w:eastAsia="zh-CN"/>
        </w:rPr>
      </w:pPr>
    </w:p>
    <w:p w14:paraId="31C60D35">
      <w:pPr>
        <w:pStyle w:val="9"/>
        <w:rPr>
          <w:rFonts w:ascii="Times New Roman" w:hAnsi="Times New Roman" w:eastAsia="仿宋_GB2312" w:cs="Times New Roman"/>
          <w:sz w:val="32"/>
          <w:szCs w:val="32"/>
          <w:lang w:eastAsia="zh-CN"/>
        </w:rPr>
      </w:pPr>
    </w:p>
    <w:p w14:paraId="15F57808">
      <w:pPr>
        <w:pStyle w:val="6"/>
        <w:rPr>
          <w:rFonts w:ascii="Times New Roman" w:hAnsi="Times New Roman" w:eastAsia="仿宋_GB2312" w:cs="Times New Roman"/>
          <w:sz w:val="32"/>
          <w:szCs w:val="32"/>
          <w:lang w:eastAsia="zh-CN"/>
        </w:rPr>
      </w:pPr>
    </w:p>
    <w:p w14:paraId="050A9337">
      <w:pPr>
        <w:rPr>
          <w:rFonts w:ascii="Times New Roman" w:hAnsi="Times New Roman" w:eastAsia="仿宋_GB2312" w:cs="Times New Roman"/>
          <w:sz w:val="32"/>
          <w:szCs w:val="32"/>
          <w:lang w:eastAsia="zh-CN"/>
        </w:rPr>
      </w:pPr>
    </w:p>
    <w:p w14:paraId="01BE6353">
      <w:pPr>
        <w:pStyle w:val="9"/>
        <w:rPr>
          <w:rFonts w:ascii="Times New Roman" w:hAnsi="Times New Roman" w:eastAsia="仿宋_GB2312" w:cs="Times New Roman"/>
          <w:sz w:val="32"/>
          <w:szCs w:val="32"/>
          <w:lang w:eastAsia="zh-CN"/>
        </w:rPr>
      </w:pPr>
    </w:p>
    <w:p w14:paraId="7FF51F6B">
      <w:pPr>
        <w:pStyle w:val="6"/>
        <w:rPr>
          <w:rFonts w:ascii="Times New Roman" w:hAnsi="Times New Roman" w:eastAsia="仿宋_GB2312" w:cs="Times New Roman"/>
          <w:sz w:val="32"/>
          <w:szCs w:val="32"/>
          <w:lang w:eastAsia="zh-CN"/>
        </w:rPr>
      </w:pPr>
    </w:p>
    <w:p w14:paraId="79C35BE2">
      <w:pPr>
        <w:rPr>
          <w:rFonts w:ascii="Times New Roman" w:hAnsi="Times New Roman" w:eastAsia="仿宋_GB2312" w:cs="Times New Roman"/>
          <w:sz w:val="32"/>
          <w:szCs w:val="32"/>
          <w:lang w:eastAsia="zh-CN"/>
        </w:rPr>
      </w:pPr>
    </w:p>
    <w:p w14:paraId="56A8E25D">
      <w:pPr>
        <w:pStyle w:val="9"/>
        <w:rPr>
          <w:rFonts w:ascii="Times New Roman" w:hAnsi="Times New Roman" w:eastAsia="仿宋_GB2312" w:cs="Times New Roman"/>
          <w:sz w:val="32"/>
          <w:szCs w:val="32"/>
          <w:lang w:eastAsia="zh-CN"/>
        </w:rPr>
      </w:pPr>
    </w:p>
    <w:p w14:paraId="2800EDF7">
      <w:pPr>
        <w:pStyle w:val="6"/>
        <w:rPr>
          <w:rFonts w:ascii="Times New Roman" w:hAnsi="Times New Roman" w:eastAsia="仿宋_GB2312" w:cs="Times New Roman"/>
          <w:sz w:val="32"/>
          <w:szCs w:val="32"/>
          <w:lang w:eastAsia="zh-CN"/>
        </w:rPr>
      </w:pPr>
    </w:p>
    <w:p w14:paraId="46B5F0F3">
      <w:pPr>
        <w:rPr>
          <w:rFonts w:ascii="Times New Roman" w:hAnsi="Times New Roman" w:eastAsia="仿宋_GB2312" w:cs="Times New Roman"/>
          <w:sz w:val="32"/>
          <w:szCs w:val="32"/>
          <w:lang w:eastAsia="zh-CN"/>
        </w:rPr>
      </w:pPr>
    </w:p>
    <w:p w14:paraId="4CE97A69">
      <w:pPr>
        <w:pStyle w:val="9"/>
        <w:rPr>
          <w:rFonts w:ascii="Times New Roman" w:hAnsi="Times New Roman" w:eastAsia="仿宋_GB2312" w:cs="Times New Roman"/>
          <w:sz w:val="32"/>
          <w:szCs w:val="32"/>
          <w:lang w:eastAsia="zh-CN"/>
        </w:rPr>
      </w:pPr>
    </w:p>
    <w:p w14:paraId="3409E9B5">
      <w:pPr>
        <w:pStyle w:val="6"/>
        <w:rPr>
          <w:rFonts w:ascii="Times New Roman" w:hAnsi="Times New Roman" w:eastAsia="仿宋_GB2312" w:cs="Times New Roman"/>
          <w:sz w:val="32"/>
          <w:szCs w:val="32"/>
          <w:lang w:eastAsia="zh-CN"/>
        </w:rPr>
      </w:pPr>
    </w:p>
    <w:p w14:paraId="7B579D3E">
      <w:pPr>
        <w:widowControl w:val="0"/>
        <w:kinsoku/>
        <w:autoSpaceDE/>
        <w:autoSpaceDN/>
        <w:adjustRightInd/>
        <w:snapToGrid/>
        <w:jc w:val="both"/>
        <w:textAlignment w:val="auto"/>
        <w:outlineLvl w:val="1"/>
        <w:rPr>
          <w:rFonts w:ascii="黑体" w:hAnsi="黑体" w:eastAsia="黑体" w:cs="黑体"/>
          <w:snapToGrid/>
          <w:kern w:val="2"/>
          <w:sz w:val="32"/>
          <w:szCs w:val="32"/>
          <w:lang w:eastAsia="zh-CN"/>
        </w:rPr>
      </w:pPr>
      <w:bookmarkStart w:id="317" w:name="_Toc23629"/>
      <w:bookmarkStart w:id="318" w:name="_Toc11589"/>
      <w:bookmarkStart w:id="319" w:name="_Toc7601"/>
      <w:bookmarkStart w:id="320" w:name="_Toc179409595"/>
      <w:r>
        <w:rPr>
          <w:rFonts w:hint="eastAsia" w:ascii="黑体" w:hAnsi="黑体" w:eastAsia="黑体" w:cs="黑体"/>
          <w:snapToGrid/>
          <w:kern w:val="2"/>
          <w:sz w:val="32"/>
          <w:szCs w:val="32"/>
          <w:lang w:eastAsia="zh-CN"/>
        </w:rPr>
        <w:t>附件1</w:t>
      </w:r>
      <w:bookmarkEnd w:id="317"/>
      <w:bookmarkEnd w:id="318"/>
      <w:bookmarkEnd w:id="319"/>
      <w:bookmarkStart w:id="321" w:name="_Toc5372"/>
      <w:bookmarkStart w:id="322" w:name="_Toc30730"/>
      <w:bookmarkStart w:id="323" w:name="_Toc1380"/>
    </w:p>
    <w:p w14:paraId="6B384137">
      <w:pPr>
        <w:widowControl w:val="0"/>
        <w:kinsoku/>
        <w:autoSpaceDE/>
        <w:autoSpaceDN/>
        <w:adjustRightInd/>
        <w:snapToGrid/>
        <w:jc w:val="center"/>
        <w:textAlignment w:val="auto"/>
        <w:outlineLvl w:val="1"/>
        <w:rPr>
          <w:rFonts w:ascii="仿宋_GB2312" w:hAnsi="仿宋_GB2312" w:eastAsia="仿宋_GB2312" w:cs="仿宋_GB2312"/>
          <w:b/>
          <w:bCs/>
          <w:snapToGrid/>
          <w:kern w:val="2"/>
          <w:sz w:val="32"/>
          <w:szCs w:val="32"/>
          <w:lang w:eastAsia="zh-CN"/>
        </w:rPr>
      </w:pPr>
      <w:r>
        <w:rPr>
          <w:rFonts w:hint="eastAsia" w:ascii="方正小标宋简体" w:hAnsi="方正小标宋简体" w:eastAsia="方正小标宋简体" w:cs="方正小标宋简体"/>
          <w:snapToGrid/>
          <w:kern w:val="2"/>
          <w:sz w:val="32"/>
          <w:szCs w:val="32"/>
          <w:lang w:eastAsia="zh-CN"/>
        </w:rPr>
        <w:t>芦淞区重污染天气组织架构图</w:t>
      </w:r>
      <w:bookmarkEnd w:id="320"/>
      <w:bookmarkEnd w:id="321"/>
      <w:bookmarkEnd w:id="322"/>
      <w:bookmarkEnd w:id="323"/>
    </w:p>
    <w:p w14:paraId="682AD82F">
      <w:pPr>
        <w:pStyle w:val="9"/>
        <w:rPr>
          <w:lang w:eastAsia="zh-CN"/>
        </w:rPr>
      </w:pPr>
    </w:p>
    <w:p w14:paraId="4EB470FE">
      <w:pPr>
        <w:pStyle w:val="6"/>
        <w:rPr>
          <w:lang w:eastAsia="zh-CN"/>
        </w:rPr>
      </w:pPr>
    </w:p>
    <w:p w14:paraId="3F9CF142">
      <w:pPr>
        <w:rPr>
          <w:lang w:eastAsia="zh-CN"/>
        </w:rPr>
        <w:sectPr>
          <w:footerReference r:id="rId3" w:type="default"/>
          <w:pgSz w:w="11906" w:h="16839"/>
          <w:pgMar w:top="1429" w:right="1604" w:bottom="1429" w:left="1606" w:header="0" w:footer="964" w:gutter="0"/>
          <w:pgNumType w:start="1"/>
          <w:cols w:space="0" w:num="1"/>
        </w:sect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-247015</wp:posOffset>
            </wp:positionH>
            <wp:positionV relativeFrom="paragraph">
              <wp:posOffset>489585</wp:posOffset>
            </wp:positionV>
            <wp:extent cx="5999480" cy="5513070"/>
            <wp:effectExtent l="0" t="0" r="1270" b="11430"/>
            <wp:wrapNone/>
            <wp:docPr id="2" name="图片 2" descr="aba5b8e1aaa8b33877b4a2b75a903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ba5b8e1aaa8b33877b4a2b75a903f1"/>
                    <pic:cNvPicPr>
                      <a:picLocks noChangeAspect="1"/>
                    </pic:cNvPicPr>
                  </pic:nvPicPr>
                  <pic:blipFill>
                    <a:blip r:embed="rId5"/>
                    <a:stretch>
                      <a:fillRect/>
                    </a:stretch>
                  </pic:blipFill>
                  <pic:spPr>
                    <a:xfrm>
                      <a:off x="0" y="0"/>
                      <a:ext cx="5999480" cy="5513070"/>
                    </a:xfrm>
                    <a:prstGeom prst="rect">
                      <a:avLst/>
                    </a:prstGeom>
                  </pic:spPr>
                </pic:pic>
              </a:graphicData>
            </a:graphic>
          </wp:anchor>
        </w:drawing>
      </w:r>
    </w:p>
    <w:p w14:paraId="20571D4D">
      <w:pPr>
        <w:widowControl w:val="0"/>
        <w:kinsoku/>
        <w:autoSpaceDE/>
        <w:autoSpaceDN/>
        <w:adjustRightInd/>
        <w:snapToGrid/>
        <w:jc w:val="both"/>
        <w:textAlignment w:val="auto"/>
        <w:outlineLvl w:val="1"/>
        <w:rPr>
          <w:rFonts w:ascii="仿宋_GB2312" w:hAnsi="仿宋_GB2312" w:eastAsia="仿宋_GB2312" w:cs="仿宋_GB2312"/>
          <w:b/>
          <w:bCs/>
          <w:snapToGrid/>
          <w:kern w:val="2"/>
          <w:sz w:val="32"/>
          <w:szCs w:val="32"/>
          <w:lang w:eastAsia="zh-CN"/>
        </w:rPr>
      </w:pPr>
      <w:bookmarkStart w:id="324" w:name="_Toc18594"/>
      <w:bookmarkStart w:id="325" w:name="_Toc21939"/>
      <w:bookmarkStart w:id="326" w:name="_Toc17118"/>
      <w:bookmarkStart w:id="327" w:name="_Toc179409596"/>
      <w:r>
        <w:rPr>
          <w:rFonts w:hint="eastAsia" w:ascii="黑体" w:hAnsi="黑体" w:eastAsia="黑体" w:cs="黑体"/>
          <w:snapToGrid/>
          <w:kern w:val="2"/>
          <w:sz w:val="32"/>
          <w:szCs w:val="32"/>
          <w:lang w:eastAsia="zh-CN"/>
        </w:rPr>
        <w:t>附件2</w:t>
      </w:r>
      <w:bookmarkEnd w:id="324"/>
      <w:bookmarkEnd w:id="325"/>
      <w:bookmarkEnd w:id="326"/>
      <w:bookmarkStart w:id="328" w:name="_Toc12227"/>
      <w:bookmarkStart w:id="329" w:name="_Toc23002"/>
      <w:bookmarkStart w:id="330" w:name="_Toc26963"/>
    </w:p>
    <w:p w14:paraId="490BD296">
      <w:pPr>
        <w:pStyle w:val="5"/>
        <w:jc w:val="center"/>
        <w:rPr>
          <w:rFonts w:ascii="方正小标宋简体" w:hAnsi="方正小标宋简体" w:eastAsia="方正小标宋简体" w:cs="方正小标宋简体"/>
          <w:b w:val="0"/>
          <w:snapToGrid/>
          <w:kern w:val="2"/>
          <w:sz w:val="44"/>
          <w:szCs w:val="44"/>
          <w:lang w:eastAsia="zh-CN"/>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10795</wp:posOffset>
            </wp:positionH>
            <wp:positionV relativeFrom="paragraph">
              <wp:posOffset>761365</wp:posOffset>
            </wp:positionV>
            <wp:extent cx="5315585" cy="6841490"/>
            <wp:effectExtent l="0" t="0" r="18415" b="1651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315585" cy="6841490"/>
                    </a:xfrm>
                    <a:prstGeom prst="rect">
                      <a:avLst/>
                    </a:prstGeom>
                    <a:noFill/>
                    <a:ln>
                      <a:noFill/>
                    </a:ln>
                  </pic:spPr>
                </pic:pic>
              </a:graphicData>
            </a:graphic>
          </wp:anchor>
        </w:drawing>
      </w:r>
      <w:r>
        <w:rPr>
          <w:rFonts w:hint="eastAsia" w:ascii="方正小标宋简体" w:hAnsi="方正小标宋简体" w:eastAsia="方正小标宋简体" w:cs="方正小标宋简体"/>
          <w:b w:val="0"/>
          <w:snapToGrid/>
          <w:kern w:val="2"/>
          <w:sz w:val="44"/>
          <w:szCs w:val="44"/>
          <w:lang w:eastAsia="zh-CN"/>
        </w:rPr>
        <w:t>芦淞区重污染天气应对流程图</w:t>
      </w:r>
      <w:bookmarkEnd w:id="327"/>
      <w:bookmarkEnd w:id="328"/>
      <w:bookmarkEnd w:id="329"/>
      <w:bookmarkEnd w:id="330"/>
    </w:p>
    <w:p w14:paraId="659AA67F">
      <w:pPr>
        <w:rPr>
          <w:lang w:eastAsia="zh-CN"/>
        </w:rPr>
      </w:pPr>
    </w:p>
    <w:p w14:paraId="78F24673">
      <w:pPr>
        <w:rPr>
          <w:lang w:eastAsia="zh-CN"/>
        </w:rPr>
      </w:pPr>
    </w:p>
    <w:p w14:paraId="0185B4B3">
      <w:pPr>
        <w:pStyle w:val="9"/>
        <w:rPr>
          <w:lang w:eastAsia="zh-CN"/>
        </w:rPr>
      </w:pPr>
    </w:p>
    <w:p w14:paraId="0171E184">
      <w:pPr>
        <w:pStyle w:val="6"/>
        <w:rPr>
          <w:lang w:eastAsia="zh-CN"/>
        </w:rPr>
      </w:pPr>
    </w:p>
    <w:p w14:paraId="08E5380F">
      <w:pPr>
        <w:rPr>
          <w:lang w:eastAsia="zh-CN"/>
        </w:rPr>
      </w:pPr>
    </w:p>
    <w:p w14:paraId="5CA451C7">
      <w:pPr>
        <w:pStyle w:val="9"/>
        <w:rPr>
          <w:lang w:eastAsia="zh-CN"/>
        </w:rPr>
      </w:pPr>
    </w:p>
    <w:p w14:paraId="26E224F2">
      <w:pPr>
        <w:pStyle w:val="6"/>
        <w:rPr>
          <w:lang w:eastAsia="zh-CN"/>
        </w:rPr>
      </w:pPr>
    </w:p>
    <w:p w14:paraId="4CB016A1">
      <w:pPr>
        <w:rPr>
          <w:lang w:eastAsia="zh-CN"/>
        </w:rPr>
      </w:pPr>
    </w:p>
    <w:p w14:paraId="1A60F99B">
      <w:pPr>
        <w:pStyle w:val="9"/>
        <w:rPr>
          <w:lang w:eastAsia="zh-CN"/>
        </w:rPr>
      </w:pPr>
    </w:p>
    <w:p w14:paraId="15545DFE">
      <w:pPr>
        <w:pStyle w:val="6"/>
        <w:rPr>
          <w:lang w:eastAsia="zh-CN"/>
        </w:rPr>
      </w:pPr>
    </w:p>
    <w:p w14:paraId="60A692F7">
      <w:pPr>
        <w:rPr>
          <w:lang w:eastAsia="zh-CN"/>
        </w:rPr>
      </w:pPr>
    </w:p>
    <w:p w14:paraId="716108AF">
      <w:pPr>
        <w:pStyle w:val="9"/>
        <w:rPr>
          <w:lang w:eastAsia="zh-CN"/>
        </w:rPr>
      </w:pPr>
    </w:p>
    <w:p w14:paraId="3297248D">
      <w:pPr>
        <w:pStyle w:val="6"/>
        <w:rPr>
          <w:lang w:eastAsia="zh-CN"/>
        </w:rPr>
      </w:pPr>
    </w:p>
    <w:p w14:paraId="6B61FC2D">
      <w:pPr>
        <w:rPr>
          <w:lang w:eastAsia="zh-CN"/>
        </w:rPr>
      </w:pPr>
    </w:p>
    <w:p w14:paraId="29144B14">
      <w:pPr>
        <w:pStyle w:val="9"/>
        <w:rPr>
          <w:lang w:eastAsia="zh-CN"/>
        </w:rPr>
      </w:pPr>
    </w:p>
    <w:p w14:paraId="0A90F425">
      <w:pPr>
        <w:pStyle w:val="6"/>
        <w:rPr>
          <w:lang w:eastAsia="zh-CN"/>
        </w:rPr>
      </w:pPr>
    </w:p>
    <w:p w14:paraId="75F2D38E">
      <w:pPr>
        <w:rPr>
          <w:lang w:eastAsia="zh-CN"/>
        </w:rPr>
      </w:pPr>
    </w:p>
    <w:p w14:paraId="7FAADD8D">
      <w:pPr>
        <w:pStyle w:val="9"/>
        <w:rPr>
          <w:lang w:eastAsia="zh-CN"/>
        </w:rPr>
      </w:pPr>
    </w:p>
    <w:p w14:paraId="59026AE0">
      <w:pPr>
        <w:pStyle w:val="6"/>
        <w:rPr>
          <w:lang w:eastAsia="zh-CN"/>
        </w:rPr>
      </w:pPr>
    </w:p>
    <w:p w14:paraId="4CCAE891">
      <w:pPr>
        <w:rPr>
          <w:lang w:eastAsia="zh-CN"/>
        </w:rPr>
      </w:pPr>
    </w:p>
    <w:p w14:paraId="1F48F0AC">
      <w:pPr>
        <w:pStyle w:val="9"/>
        <w:rPr>
          <w:lang w:eastAsia="zh-CN"/>
        </w:rPr>
      </w:pPr>
    </w:p>
    <w:p w14:paraId="4C45C2D6">
      <w:pPr>
        <w:pStyle w:val="6"/>
        <w:rPr>
          <w:lang w:eastAsia="zh-CN"/>
        </w:rPr>
      </w:pPr>
    </w:p>
    <w:p w14:paraId="2B50691B">
      <w:pPr>
        <w:rPr>
          <w:lang w:eastAsia="zh-CN"/>
        </w:rPr>
      </w:pPr>
    </w:p>
    <w:p w14:paraId="46DCF0B9">
      <w:pPr>
        <w:pStyle w:val="9"/>
        <w:rPr>
          <w:lang w:eastAsia="zh-CN"/>
        </w:rPr>
      </w:pPr>
    </w:p>
    <w:p w14:paraId="250BC0BA">
      <w:pPr>
        <w:pStyle w:val="6"/>
        <w:rPr>
          <w:lang w:eastAsia="zh-CN"/>
        </w:rPr>
      </w:pPr>
    </w:p>
    <w:p w14:paraId="4EED590A">
      <w:pPr>
        <w:rPr>
          <w:lang w:eastAsia="zh-CN"/>
        </w:rPr>
      </w:pPr>
    </w:p>
    <w:p w14:paraId="027DBAB0">
      <w:pPr>
        <w:pStyle w:val="9"/>
        <w:rPr>
          <w:lang w:eastAsia="zh-CN"/>
        </w:rPr>
      </w:pPr>
    </w:p>
    <w:p w14:paraId="2C6FB48D">
      <w:pPr>
        <w:pStyle w:val="6"/>
        <w:rPr>
          <w:lang w:eastAsia="zh-CN"/>
        </w:rPr>
      </w:pPr>
    </w:p>
    <w:p w14:paraId="546E4B0F">
      <w:pPr>
        <w:rPr>
          <w:lang w:eastAsia="zh-CN"/>
        </w:rPr>
      </w:pPr>
    </w:p>
    <w:p w14:paraId="26425405">
      <w:pPr>
        <w:pStyle w:val="9"/>
        <w:rPr>
          <w:lang w:eastAsia="zh-CN"/>
        </w:rPr>
      </w:pPr>
    </w:p>
    <w:p w14:paraId="599E07ED">
      <w:pPr>
        <w:pStyle w:val="6"/>
        <w:rPr>
          <w:lang w:eastAsia="zh-CN"/>
        </w:rPr>
      </w:pPr>
    </w:p>
    <w:p w14:paraId="1EA2ED36">
      <w:pPr>
        <w:rPr>
          <w:lang w:eastAsia="zh-CN"/>
        </w:rPr>
      </w:pPr>
    </w:p>
    <w:p w14:paraId="6B72E97C">
      <w:pPr>
        <w:pStyle w:val="9"/>
        <w:rPr>
          <w:lang w:eastAsia="zh-CN"/>
        </w:rPr>
      </w:pPr>
    </w:p>
    <w:p w14:paraId="32743515">
      <w:pPr>
        <w:pStyle w:val="6"/>
        <w:rPr>
          <w:lang w:eastAsia="zh-CN"/>
        </w:rPr>
      </w:pPr>
    </w:p>
    <w:p w14:paraId="2F2523FF">
      <w:pPr>
        <w:rPr>
          <w:lang w:eastAsia="zh-CN"/>
        </w:rPr>
      </w:pPr>
    </w:p>
    <w:p w14:paraId="3EE2BE69">
      <w:pPr>
        <w:pStyle w:val="9"/>
        <w:rPr>
          <w:lang w:eastAsia="zh-CN"/>
        </w:rPr>
      </w:pPr>
    </w:p>
    <w:p w14:paraId="1BAF94A5">
      <w:pPr>
        <w:pStyle w:val="6"/>
        <w:rPr>
          <w:lang w:eastAsia="zh-CN"/>
        </w:rPr>
      </w:pPr>
    </w:p>
    <w:p w14:paraId="39E630E5">
      <w:pPr>
        <w:rPr>
          <w:lang w:eastAsia="zh-CN"/>
        </w:rPr>
      </w:pPr>
    </w:p>
    <w:p w14:paraId="4EEE8873">
      <w:pPr>
        <w:pStyle w:val="9"/>
        <w:rPr>
          <w:lang w:eastAsia="zh-CN"/>
        </w:rPr>
      </w:pPr>
    </w:p>
    <w:p w14:paraId="2FF573A7">
      <w:pPr>
        <w:pStyle w:val="6"/>
        <w:rPr>
          <w:lang w:eastAsia="zh-CN"/>
        </w:rPr>
      </w:pPr>
    </w:p>
    <w:p w14:paraId="76629945">
      <w:pPr>
        <w:rPr>
          <w:lang w:eastAsia="zh-CN"/>
        </w:rPr>
      </w:pPr>
    </w:p>
    <w:p w14:paraId="3F9ED078">
      <w:pPr>
        <w:pStyle w:val="9"/>
        <w:rPr>
          <w:lang w:eastAsia="zh-CN"/>
        </w:rPr>
      </w:pPr>
    </w:p>
    <w:p w14:paraId="4AB074B8">
      <w:pPr>
        <w:pStyle w:val="6"/>
        <w:rPr>
          <w:lang w:eastAsia="zh-CN"/>
        </w:rPr>
      </w:pPr>
    </w:p>
    <w:p w14:paraId="6E7A8A9C">
      <w:pPr>
        <w:rPr>
          <w:lang w:eastAsia="zh-CN"/>
        </w:rPr>
      </w:pPr>
    </w:p>
    <w:p w14:paraId="6E2485B8">
      <w:pPr>
        <w:pStyle w:val="9"/>
        <w:rPr>
          <w:lang w:eastAsia="zh-CN"/>
        </w:rPr>
      </w:pPr>
    </w:p>
    <w:p w14:paraId="0A2AD836">
      <w:pPr>
        <w:pStyle w:val="6"/>
        <w:rPr>
          <w:lang w:eastAsia="zh-CN"/>
        </w:rPr>
      </w:pPr>
    </w:p>
    <w:p w14:paraId="28B5468B">
      <w:pPr>
        <w:rPr>
          <w:lang w:eastAsia="zh-CN"/>
        </w:rPr>
      </w:pPr>
    </w:p>
    <w:p w14:paraId="4D5FFB71">
      <w:pPr>
        <w:pStyle w:val="9"/>
        <w:rPr>
          <w:lang w:eastAsia="zh-CN"/>
        </w:rPr>
      </w:pPr>
    </w:p>
    <w:p w14:paraId="763DF9AF">
      <w:pPr>
        <w:pStyle w:val="6"/>
        <w:rPr>
          <w:lang w:eastAsia="zh-CN"/>
        </w:rPr>
      </w:pPr>
    </w:p>
    <w:p w14:paraId="42A0B465">
      <w:pPr>
        <w:rPr>
          <w:lang w:eastAsia="zh-CN"/>
        </w:rPr>
      </w:pPr>
    </w:p>
    <w:p w14:paraId="2A35706B">
      <w:pPr>
        <w:widowControl w:val="0"/>
        <w:kinsoku/>
        <w:autoSpaceDE/>
        <w:autoSpaceDN/>
        <w:adjustRightInd/>
        <w:snapToGrid/>
        <w:jc w:val="both"/>
        <w:textAlignment w:val="auto"/>
        <w:outlineLvl w:val="1"/>
        <w:rPr>
          <w:rFonts w:ascii="仿宋_GB2312" w:hAnsi="仿宋_GB2312" w:eastAsia="仿宋_GB2312" w:cs="仿宋_GB2312"/>
          <w:b/>
          <w:bCs/>
          <w:snapToGrid/>
          <w:kern w:val="2"/>
          <w:sz w:val="32"/>
          <w:szCs w:val="32"/>
          <w:lang w:eastAsia="zh-CN"/>
        </w:rPr>
      </w:pPr>
      <w:bookmarkStart w:id="331" w:name="_Toc8261"/>
      <w:bookmarkStart w:id="332" w:name="_Toc23820"/>
      <w:bookmarkStart w:id="333" w:name="_Toc31152"/>
      <w:bookmarkStart w:id="334" w:name="_Toc179409597"/>
      <w:r>
        <w:rPr>
          <w:rFonts w:hint="eastAsia" w:ascii="黑体" w:hAnsi="黑体" w:eastAsia="黑体" w:cs="黑体"/>
          <w:snapToGrid/>
          <w:kern w:val="2"/>
          <w:sz w:val="32"/>
          <w:szCs w:val="32"/>
          <w:lang w:eastAsia="zh-CN"/>
        </w:rPr>
        <w:t>附件3</w:t>
      </w:r>
      <w:bookmarkEnd w:id="331"/>
      <w:bookmarkEnd w:id="332"/>
      <w:bookmarkEnd w:id="333"/>
      <w:bookmarkStart w:id="335" w:name="_Toc3442"/>
      <w:bookmarkStart w:id="336" w:name="_Toc32531"/>
      <w:bookmarkStart w:id="337" w:name="_Toc22462"/>
    </w:p>
    <w:p w14:paraId="5F2677A9">
      <w:pPr>
        <w:pStyle w:val="9"/>
        <w:jc w:val="center"/>
        <w:rPr>
          <w:rFonts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重污染天气应急指挥部成员单位职责</w:t>
      </w:r>
      <w:bookmarkEnd w:id="334"/>
      <w:bookmarkEnd w:id="335"/>
      <w:bookmarkEnd w:id="336"/>
      <w:bookmarkEnd w:id="337"/>
    </w:p>
    <w:tbl>
      <w:tblPr>
        <w:tblStyle w:val="12"/>
        <w:tblpPr w:leftFromText="180" w:rightFromText="180" w:vertAnchor="text" w:horzAnchor="page" w:tblpX="1492" w:tblpY="640"/>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6780"/>
      </w:tblGrid>
      <w:tr w14:paraId="21F1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vAlign w:val="center"/>
          </w:tcPr>
          <w:p w14:paraId="61C97079">
            <w:pPr>
              <w:widowControl w:val="0"/>
              <w:kinsoku/>
              <w:autoSpaceDE/>
              <w:autoSpaceDN/>
              <w:adjustRightInd/>
              <w:snapToGrid/>
              <w:spacing w:line="360" w:lineRule="auto"/>
              <w:jc w:val="center"/>
              <w:textAlignment w:val="auto"/>
              <w:rPr>
                <w:rFonts w:ascii="仿宋_GB2312" w:hAnsi="仿宋_GB2312" w:eastAsia="仿宋_GB2312" w:cs="仿宋_GB2312"/>
                <w:b/>
                <w:bCs/>
                <w:snapToGrid/>
                <w:kern w:val="2"/>
                <w:sz w:val="32"/>
                <w:szCs w:val="32"/>
                <w:lang w:eastAsia="zh-CN"/>
              </w:rPr>
            </w:pPr>
            <w:r>
              <w:rPr>
                <w:rFonts w:hint="eastAsia" w:ascii="仿宋_GB2312" w:hAnsi="仿宋_GB2312" w:eastAsia="仿宋_GB2312" w:cs="仿宋_GB2312"/>
                <w:b/>
                <w:bCs/>
                <w:snapToGrid/>
                <w:kern w:val="2"/>
                <w:sz w:val="32"/>
                <w:szCs w:val="32"/>
                <w:lang w:eastAsia="zh-CN"/>
              </w:rPr>
              <w:t>单位</w:t>
            </w:r>
          </w:p>
        </w:tc>
        <w:tc>
          <w:tcPr>
            <w:tcW w:w="6780" w:type="dxa"/>
            <w:vAlign w:val="center"/>
          </w:tcPr>
          <w:p w14:paraId="07ECC93F">
            <w:pPr>
              <w:widowControl w:val="0"/>
              <w:kinsoku/>
              <w:autoSpaceDE/>
              <w:autoSpaceDN/>
              <w:adjustRightInd/>
              <w:snapToGrid/>
              <w:spacing w:line="360" w:lineRule="auto"/>
              <w:jc w:val="center"/>
              <w:textAlignment w:val="auto"/>
              <w:rPr>
                <w:rFonts w:ascii="仿宋_GB2312" w:hAnsi="仿宋_GB2312" w:eastAsia="仿宋_GB2312" w:cs="仿宋_GB2312"/>
                <w:b/>
                <w:bCs/>
                <w:snapToGrid/>
                <w:kern w:val="2"/>
                <w:sz w:val="32"/>
                <w:szCs w:val="32"/>
                <w:lang w:eastAsia="zh-CN"/>
              </w:rPr>
            </w:pPr>
            <w:r>
              <w:rPr>
                <w:rFonts w:hint="eastAsia" w:ascii="仿宋_GB2312" w:hAnsi="仿宋_GB2312" w:eastAsia="仿宋_GB2312" w:cs="仿宋_GB2312"/>
                <w:b/>
                <w:bCs/>
                <w:snapToGrid/>
                <w:kern w:val="2"/>
                <w:sz w:val="32"/>
                <w:szCs w:val="32"/>
                <w:lang w:eastAsia="zh-CN"/>
              </w:rPr>
              <w:t>职责</w:t>
            </w:r>
          </w:p>
        </w:tc>
      </w:tr>
      <w:tr w14:paraId="7E16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2290" w:type="dxa"/>
            <w:vAlign w:val="center"/>
          </w:tcPr>
          <w:p w14:paraId="3CC99B14">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区委宣传部</w:t>
            </w:r>
          </w:p>
        </w:tc>
        <w:tc>
          <w:tcPr>
            <w:tcW w:w="6780" w:type="dxa"/>
            <w:vAlign w:val="center"/>
          </w:tcPr>
          <w:p w14:paraId="1D4F1646">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协调配合指导做好本预案和全区重污染天气应对工作的宣传报道；协调配合重污染天气预警信息发布；配合开展重污染天气应对宣传教育活动，指导做好社会动员，普及科学常识。</w:t>
            </w:r>
          </w:p>
        </w:tc>
      </w:tr>
      <w:tr w14:paraId="5671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290" w:type="dxa"/>
            <w:vAlign w:val="center"/>
          </w:tcPr>
          <w:p w14:paraId="37458719">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区委网信办</w:t>
            </w:r>
          </w:p>
        </w:tc>
        <w:tc>
          <w:tcPr>
            <w:tcW w:w="6780" w:type="dxa"/>
            <w:vAlign w:val="center"/>
          </w:tcPr>
          <w:p w14:paraId="015C8BF3">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负责指导重污染天气涉区网络舆情的监测预警处置和引导评论等工作。</w:t>
            </w:r>
          </w:p>
        </w:tc>
      </w:tr>
      <w:tr w14:paraId="4F14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2290" w:type="dxa"/>
            <w:vAlign w:val="center"/>
          </w:tcPr>
          <w:p w14:paraId="5DA62028">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区发改局</w:t>
            </w:r>
          </w:p>
        </w:tc>
        <w:tc>
          <w:tcPr>
            <w:tcW w:w="6780" w:type="dxa"/>
            <w:vAlign w:val="center"/>
          </w:tcPr>
          <w:p w14:paraId="492C99CA">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负责组织供电企业对重污染天气应急响应期间相关企业依法执行限电、停电措施；协调应急状态下的能源保障工作，督促有关单位做好外部电力采购等能源保障工作。</w:t>
            </w:r>
          </w:p>
        </w:tc>
      </w:tr>
      <w:tr w14:paraId="71A8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2290" w:type="dxa"/>
            <w:vAlign w:val="center"/>
          </w:tcPr>
          <w:p w14:paraId="672AADB3">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区教育局</w:t>
            </w:r>
          </w:p>
        </w:tc>
        <w:tc>
          <w:tcPr>
            <w:tcW w:w="6780" w:type="dxa"/>
            <w:vAlign w:val="center"/>
          </w:tcPr>
          <w:p w14:paraId="6B5687E3">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负责指导督促学校和教育机构重污染天气应急响应期间执行减少或停止户外教学活动、采取弹性教学或停课等应急措施；指导学校和教育机构开展重污染天气健康防护知识宣传教育和应急演练。</w:t>
            </w:r>
          </w:p>
        </w:tc>
      </w:tr>
      <w:tr w14:paraId="2DD3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0" w:type="dxa"/>
            <w:vAlign w:val="center"/>
          </w:tcPr>
          <w:p w14:paraId="55A7B94D">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区科工信局</w:t>
            </w:r>
          </w:p>
        </w:tc>
        <w:tc>
          <w:tcPr>
            <w:tcW w:w="6780" w:type="dxa"/>
            <w:vAlign w:val="center"/>
          </w:tcPr>
          <w:p w14:paraId="1E7C9E5C">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指导督促重污染天气应急响应期间企业依法落实限产减排应急保障措施。开展重污染天气应急响应期间企业限产、停产情况执法检查，会同株洲市生态环境局芦淞分局制定并更新工业企业应急减排项目清单。协调督促通信运营企业发布重污染天气预警信息。</w:t>
            </w:r>
          </w:p>
        </w:tc>
      </w:tr>
      <w:tr w14:paraId="1207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2290" w:type="dxa"/>
            <w:vAlign w:val="center"/>
          </w:tcPr>
          <w:p w14:paraId="3604B419">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芦淞交警大队</w:t>
            </w:r>
          </w:p>
        </w:tc>
        <w:tc>
          <w:tcPr>
            <w:tcW w:w="6780" w:type="dxa"/>
            <w:vAlign w:val="center"/>
          </w:tcPr>
          <w:p w14:paraId="6D7DE6AA">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依法制定和组织实施重污染天气应急响应期间重型运输车辆临时限行、禁行应急保障措施；会同市生态环境局芦淞分局开展机动车大气污染的监督检查；配合有关部门开展渣土车、砂石车等运输车辆违反规定上路行驶的检查执法。</w:t>
            </w:r>
          </w:p>
        </w:tc>
      </w:tr>
      <w:tr w14:paraId="261F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290" w:type="dxa"/>
            <w:vAlign w:val="center"/>
          </w:tcPr>
          <w:p w14:paraId="31DD84B8">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区财政局</w:t>
            </w:r>
          </w:p>
        </w:tc>
        <w:tc>
          <w:tcPr>
            <w:tcW w:w="6780" w:type="dxa"/>
            <w:vAlign w:val="center"/>
          </w:tcPr>
          <w:p w14:paraId="1A395FDC">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负责保障重污染天气应对工作所需资金，并对资金的使用进行绩效评价。</w:t>
            </w:r>
          </w:p>
        </w:tc>
      </w:tr>
      <w:tr w14:paraId="2B89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2290" w:type="dxa"/>
            <w:vAlign w:val="center"/>
          </w:tcPr>
          <w:p w14:paraId="19CD1C7B">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区自然资源局</w:t>
            </w:r>
          </w:p>
        </w:tc>
        <w:tc>
          <w:tcPr>
            <w:tcW w:w="6780" w:type="dxa"/>
            <w:vAlign w:val="center"/>
          </w:tcPr>
          <w:p w14:paraId="6CCA64C9">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负责指导督促重污染天气应急响应期间储备土地平整、施工及作业车辆（非道路移动施工机械、重型运输车辆等，下同）项目落实扬尘污染控制措施。</w:t>
            </w:r>
          </w:p>
        </w:tc>
      </w:tr>
      <w:tr w14:paraId="5A4E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5" w:hRule="atLeast"/>
        </w:trPr>
        <w:tc>
          <w:tcPr>
            <w:tcW w:w="2290" w:type="dxa"/>
            <w:vAlign w:val="center"/>
          </w:tcPr>
          <w:p w14:paraId="51081B0B">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市生态环境局芦淞分局</w:t>
            </w:r>
          </w:p>
        </w:tc>
        <w:tc>
          <w:tcPr>
            <w:tcW w:w="6780" w:type="dxa"/>
            <w:vAlign w:val="center"/>
          </w:tcPr>
          <w:p w14:paraId="3F0267A3">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承担区指挥部办公室职责，负责重污染天气应对工作统筹协调；牵头制（修）订全区重污染天气应急预案；牵头制定并定期更新大气污染源清单，会同有关部门制定并定期更新应急减排项目清单，监督相关企业编制落实“一厂一策”实施方案，落实污染物减排措施，并对重污染天气应急响应期间相关措施落实情况开展监督检查；收集分析各部门工作信息，及时上报重要信息；配合做好新闻发布工作；负责重污染天气专家组的日常工作。</w:t>
            </w:r>
          </w:p>
        </w:tc>
      </w:tr>
      <w:tr w14:paraId="66A5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2290" w:type="dxa"/>
            <w:vAlign w:val="center"/>
          </w:tcPr>
          <w:p w14:paraId="178D5AB6">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区住建局</w:t>
            </w:r>
          </w:p>
        </w:tc>
        <w:tc>
          <w:tcPr>
            <w:tcW w:w="6780" w:type="dxa"/>
            <w:vAlign w:val="center"/>
          </w:tcPr>
          <w:p w14:paraId="24DDA8E6">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配合市住建局指导督促重污染天气应急响应期间房屋建筑、市政基础设施工程场地施工及作业车辆落实扬尘污染控制措施；配合市住建局制定并定期更新房屋建筑和市政基础设施施工应急减排项目清单，配合市住建局对纳入保障类项目的保障民生、保障城区正常运转的房屋建筑、区政基础设施施工项目进行审核。</w:t>
            </w:r>
          </w:p>
        </w:tc>
      </w:tr>
      <w:tr w14:paraId="79B9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2290" w:type="dxa"/>
            <w:vAlign w:val="center"/>
          </w:tcPr>
          <w:p w14:paraId="6C109B27">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区城管局</w:t>
            </w:r>
          </w:p>
        </w:tc>
        <w:tc>
          <w:tcPr>
            <w:tcW w:w="6780" w:type="dxa"/>
            <w:vAlign w:val="center"/>
          </w:tcPr>
          <w:p w14:paraId="541D0E45">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指导督促重污染天气应急响应期间落实渣土砂石、建筑材料运输扬尘控制措施、城区道路扬尘控制措施；指导督促重污染天气应急响应期间园林、绿化场地施工及作业车辆落实扬尘污染控制措施，禁止违规露天烧烤、露天焚烧垃圾等管控措施。负责依法制定重污染天气应急响应期间环境卫生管理措施及扬尘污染控制措施的实施。</w:t>
            </w:r>
          </w:p>
        </w:tc>
      </w:tr>
      <w:tr w14:paraId="5DE4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2290" w:type="dxa"/>
            <w:vAlign w:val="center"/>
          </w:tcPr>
          <w:p w14:paraId="53860817">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区水利局</w:t>
            </w:r>
          </w:p>
        </w:tc>
        <w:tc>
          <w:tcPr>
            <w:tcW w:w="6780" w:type="dxa"/>
            <w:vAlign w:val="center"/>
          </w:tcPr>
          <w:p w14:paraId="57F144AD">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指导督促重污染天气应急响应期间水利工程场地施工及作业车辆落实扬尘污染控制措施；会同市生态环境局芦淞分局制定并定期更新水利工程施工应急减排项目清单，对纳入保障类项目的保障民生、保障城区正常运转的水利建设项目进行审核。</w:t>
            </w:r>
          </w:p>
        </w:tc>
      </w:tr>
      <w:tr w14:paraId="79B9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290" w:type="dxa"/>
            <w:vAlign w:val="center"/>
          </w:tcPr>
          <w:p w14:paraId="25907214">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区农业农村局</w:t>
            </w:r>
          </w:p>
        </w:tc>
        <w:tc>
          <w:tcPr>
            <w:tcW w:w="6780" w:type="dxa"/>
            <w:vAlign w:val="center"/>
          </w:tcPr>
          <w:p w14:paraId="31753D30">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z w:val="32"/>
                <w:szCs w:val="32"/>
                <w:lang w:eastAsia="zh-CN" w:bidi="ar"/>
              </w:rPr>
              <w:t>负</w:t>
            </w:r>
            <w:r>
              <w:rPr>
                <w:rFonts w:hint="eastAsia" w:ascii="仿宋_GB2312" w:hAnsi="仿宋_GB2312" w:eastAsia="仿宋_GB2312" w:cs="仿宋_GB2312"/>
                <w:snapToGrid/>
                <w:kern w:val="2"/>
                <w:sz w:val="32"/>
                <w:szCs w:val="32"/>
                <w:lang w:eastAsia="zh-CN"/>
              </w:rPr>
              <w:t>责指导和监督管理重污染天气应急响应期间农作物秸秆综合利用工作。</w:t>
            </w:r>
          </w:p>
        </w:tc>
      </w:tr>
      <w:tr w14:paraId="1C53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vAlign w:val="center"/>
          </w:tcPr>
          <w:p w14:paraId="4DDB7EB6">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区应急管理局</w:t>
            </w:r>
          </w:p>
        </w:tc>
        <w:tc>
          <w:tcPr>
            <w:tcW w:w="6780" w:type="dxa"/>
            <w:vAlign w:val="center"/>
          </w:tcPr>
          <w:p w14:paraId="7898E341">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负责根据应急减排项目清单，指导相关企业做好临时停产、限产（降低生产负荷）时的安全生产工作；配合做好重污染天气的应急演练、应急响应、调查评估、信息发布、应急保障和救助救援等工作。</w:t>
            </w:r>
          </w:p>
        </w:tc>
      </w:tr>
      <w:tr w14:paraId="38BC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vAlign w:val="center"/>
          </w:tcPr>
          <w:p w14:paraId="408B1753">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区卫健局</w:t>
            </w:r>
          </w:p>
        </w:tc>
        <w:tc>
          <w:tcPr>
            <w:tcW w:w="6780" w:type="dxa"/>
            <w:vAlign w:val="center"/>
          </w:tcPr>
          <w:p w14:paraId="330A99D4">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负责指导督促医疗卫生机构制定重污染天气应急诊疗措施，并抓好落实；组织开展重污染天气公众健康和疾病预防相关信息宣传。</w:t>
            </w:r>
          </w:p>
        </w:tc>
      </w:tr>
      <w:tr w14:paraId="2789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0" w:type="dxa"/>
            <w:vAlign w:val="center"/>
          </w:tcPr>
          <w:p w14:paraId="2585FC99">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芦淞公安分局/董家段公安分局</w:t>
            </w:r>
          </w:p>
        </w:tc>
        <w:tc>
          <w:tcPr>
            <w:tcW w:w="6780" w:type="dxa"/>
            <w:vAlign w:val="center"/>
          </w:tcPr>
          <w:p w14:paraId="2038365A">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负责指导督促做好重污染天气社会治安工作，负责烟花爆竹禁放工作，落实违规燃放爆竹管控措施。</w:t>
            </w:r>
          </w:p>
        </w:tc>
      </w:tr>
      <w:tr w14:paraId="4F9A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trPr>
        <w:tc>
          <w:tcPr>
            <w:tcW w:w="2290" w:type="dxa"/>
            <w:vAlign w:val="center"/>
          </w:tcPr>
          <w:p w14:paraId="6E804B17">
            <w:pPr>
              <w:widowControl w:val="0"/>
              <w:kinsoku/>
              <w:autoSpaceDE/>
              <w:autoSpaceDN/>
              <w:adjustRightInd/>
              <w:snapToGrid/>
              <w:spacing w:line="560" w:lineRule="exact"/>
              <w:jc w:val="center"/>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区交通运输局</w:t>
            </w:r>
          </w:p>
        </w:tc>
        <w:tc>
          <w:tcPr>
            <w:tcW w:w="6780" w:type="dxa"/>
            <w:vAlign w:val="center"/>
          </w:tcPr>
          <w:p w14:paraId="4ACDAE09">
            <w:pPr>
              <w:widowControl w:val="0"/>
              <w:kinsoku/>
              <w:autoSpaceDE/>
              <w:autoSpaceDN/>
              <w:adjustRightInd/>
              <w:snapToGrid/>
              <w:spacing w:line="560" w:lineRule="exact"/>
              <w:textAlignment w:val="auto"/>
              <w:rPr>
                <w:rFonts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负责制定重污染天气应急响应期间监管职责范围内公路等交通建设扬尘污染控制实施方案和喷涂粉刷、切割、护坡喷浆等施工过程管控措施，并对落实情况进行监督检查；组织落实重污染天气应急响应期间监管职责范围内公路等交通建设施工工地项目非道路移动机械和建筑垃圾、渣土、砂石运输等重型车辆管控措施，并对落实情况进行监督检查；并对落实情况进行监督检查。</w:t>
            </w:r>
          </w:p>
        </w:tc>
      </w:tr>
    </w:tbl>
    <w:p w14:paraId="732F184A">
      <w:pPr>
        <w:pStyle w:val="6"/>
        <w:rPr>
          <w:rFonts w:ascii="方正小标宋简体" w:hAnsi="方正小标宋简体" w:eastAsia="方正小标宋简体" w:cs="方正小标宋简体"/>
          <w:snapToGrid/>
          <w:kern w:val="2"/>
          <w:sz w:val="32"/>
          <w:szCs w:val="32"/>
          <w:lang w:eastAsia="zh-CN"/>
        </w:rPr>
      </w:pPr>
    </w:p>
    <w:p w14:paraId="70C3B1DC">
      <w:pPr>
        <w:rPr>
          <w:lang w:eastAsia="zh-CN"/>
        </w:rPr>
      </w:pPr>
    </w:p>
    <w:p w14:paraId="1E8B432E">
      <w:pPr>
        <w:pStyle w:val="9"/>
        <w:rPr>
          <w:lang w:eastAsia="zh-CN"/>
        </w:rPr>
      </w:pPr>
    </w:p>
    <w:p w14:paraId="5F9CF1BC">
      <w:pPr>
        <w:pStyle w:val="6"/>
        <w:rPr>
          <w:lang w:eastAsia="zh-CN"/>
        </w:rPr>
      </w:pPr>
    </w:p>
    <w:p w14:paraId="22F291B7">
      <w:pPr>
        <w:rPr>
          <w:lang w:eastAsia="zh-CN"/>
        </w:rPr>
      </w:pPr>
    </w:p>
    <w:p w14:paraId="4ECCD9D8">
      <w:pPr>
        <w:pStyle w:val="9"/>
        <w:rPr>
          <w:lang w:eastAsia="zh-CN"/>
        </w:rPr>
      </w:pPr>
    </w:p>
    <w:p w14:paraId="23CE0E6F">
      <w:pPr>
        <w:pStyle w:val="6"/>
        <w:rPr>
          <w:lang w:eastAsia="zh-CN"/>
        </w:rPr>
      </w:pPr>
    </w:p>
    <w:p w14:paraId="330C7F6F">
      <w:pPr>
        <w:rPr>
          <w:lang w:eastAsia="zh-CN"/>
        </w:rPr>
      </w:pPr>
    </w:p>
    <w:p w14:paraId="01818744">
      <w:pPr>
        <w:pStyle w:val="9"/>
        <w:rPr>
          <w:lang w:eastAsia="zh-CN"/>
        </w:rPr>
      </w:pPr>
    </w:p>
    <w:p w14:paraId="612EE92F">
      <w:pPr>
        <w:pStyle w:val="6"/>
        <w:rPr>
          <w:lang w:eastAsia="zh-CN"/>
        </w:rPr>
      </w:pPr>
    </w:p>
    <w:p w14:paraId="5FB493BA">
      <w:pPr>
        <w:rPr>
          <w:lang w:eastAsia="zh-CN"/>
        </w:rPr>
      </w:pPr>
    </w:p>
    <w:p w14:paraId="2D944234">
      <w:pPr>
        <w:pStyle w:val="9"/>
        <w:rPr>
          <w:lang w:eastAsia="zh-CN"/>
        </w:rPr>
      </w:pPr>
    </w:p>
    <w:p w14:paraId="2BBC937E">
      <w:pPr>
        <w:pStyle w:val="6"/>
        <w:rPr>
          <w:lang w:eastAsia="zh-CN"/>
        </w:rPr>
      </w:pPr>
    </w:p>
    <w:p w14:paraId="7C731100">
      <w:pPr>
        <w:rPr>
          <w:lang w:eastAsia="zh-CN"/>
        </w:rPr>
      </w:pPr>
    </w:p>
    <w:p w14:paraId="65603119">
      <w:pPr>
        <w:pStyle w:val="9"/>
        <w:rPr>
          <w:lang w:eastAsia="zh-CN"/>
        </w:rPr>
      </w:pPr>
    </w:p>
    <w:p w14:paraId="36486EEA">
      <w:pPr>
        <w:widowControl w:val="0"/>
        <w:kinsoku/>
        <w:autoSpaceDE/>
        <w:autoSpaceDN/>
        <w:adjustRightInd/>
        <w:snapToGrid/>
        <w:jc w:val="both"/>
        <w:textAlignment w:val="auto"/>
        <w:outlineLvl w:val="1"/>
        <w:rPr>
          <w:rFonts w:ascii="仿宋_GB2312" w:hAnsi="仿宋_GB2312" w:eastAsia="仿宋_GB2312" w:cs="仿宋_GB2312"/>
          <w:b/>
          <w:bCs/>
          <w:snapToGrid/>
          <w:kern w:val="2"/>
          <w:sz w:val="32"/>
          <w:szCs w:val="32"/>
          <w:lang w:eastAsia="zh-CN"/>
        </w:rPr>
      </w:pPr>
      <w:bookmarkStart w:id="338" w:name="_Toc21361"/>
      <w:bookmarkStart w:id="339" w:name="_Toc274"/>
      <w:bookmarkStart w:id="340" w:name="_Toc11178"/>
      <w:bookmarkStart w:id="341" w:name="_Toc11349"/>
      <w:bookmarkStart w:id="342" w:name="_Toc179409598"/>
      <w:r>
        <w:rPr>
          <w:rFonts w:hint="eastAsia" w:ascii="黑体" w:hAnsi="黑体" w:eastAsia="黑体" w:cs="黑体"/>
          <w:snapToGrid/>
          <w:kern w:val="2"/>
          <w:sz w:val="32"/>
          <w:szCs w:val="32"/>
          <w:lang w:eastAsia="zh-CN"/>
        </w:rPr>
        <w:t>附件4</w:t>
      </w:r>
      <w:bookmarkEnd w:id="338"/>
      <w:bookmarkEnd w:id="339"/>
      <w:bookmarkEnd w:id="340"/>
      <w:bookmarkStart w:id="343" w:name="_Toc3853"/>
      <w:bookmarkStart w:id="344" w:name="_Toc1552"/>
      <w:bookmarkStart w:id="345" w:name="_Toc15375"/>
    </w:p>
    <w:p w14:paraId="13D3D0E4">
      <w:pPr>
        <w:widowControl w:val="0"/>
        <w:kinsoku/>
        <w:autoSpaceDE/>
        <w:autoSpaceDN/>
        <w:adjustRightInd/>
        <w:snapToGrid/>
        <w:jc w:val="center"/>
        <w:textAlignment w:val="auto"/>
        <w:outlineLvl w:val="1"/>
        <w:rPr>
          <w:rFonts w:ascii="方正小标宋简体" w:hAnsi="方正小标宋简体" w:eastAsia="方正小标宋简体" w:cs="方正小标宋简体"/>
          <w:snapToGrid/>
          <w:kern w:val="2"/>
          <w:sz w:val="36"/>
          <w:szCs w:val="36"/>
          <w:lang w:eastAsia="zh-CN"/>
        </w:rPr>
      </w:pPr>
      <w:r>
        <w:rPr>
          <w:rFonts w:hint="eastAsia" w:ascii="方正小标宋简体" w:hAnsi="方正小标宋简体" w:eastAsia="方正小标宋简体" w:cs="方正小标宋简体"/>
          <w:snapToGrid/>
          <w:kern w:val="2"/>
          <w:sz w:val="44"/>
          <w:szCs w:val="44"/>
          <w:lang w:eastAsia="zh-CN"/>
        </w:rPr>
        <w:t>株洲市芦淞区突发环境事件应急联系电话</w:t>
      </w:r>
      <w:bookmarkEnd w:id="341"/>
      <w:bookmarkEnd w:id="342"/>
      <w:bookmarkEnd w:id="343"/>
      <w:bookmarkEnd w:id="344"/>
      <w:bookmarkEnd w:id="345"/>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4084"/>
        <w:gridCol w:w="2963"/>
      </w:tblGrid>
      <w:tr w14:paraId="6B92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vAlign w:val="center"/>
          </w:tcPr>
          <w:p w14:paraId="4001720D">
            <w:pPr>
              <w:autoSpaceDE/>
              <w:autoSpaceDN/>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4084" w:type="dxa"/>
            <w:vAlign w:val="center"/>
          </w:tcPr>
          <w:p w14:paraId="1281318B">
            <w:pPr>
              <w:autoSpaceDE/>
              <w:autoSpaceDN/>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单位名称</w:t>
            </w:r>
          </w:p>
        </w:tc>
        <w:tc>
          <w:tcPr>
            <w:tcW w:w="2963" w:type="dxa"/>
            <w:vAlign w:val="center"/>
          </w:tcPr>
          <w:p w14:paraId="01566CA7">
            <w:pPr>
              <w:autoSpaceDE/>
              <w:autoSpaceDN/>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联系方式</w:t>
            </w:r>
          </w:p>
        </w:tc>
      </w:tr>
      <w:tr w14:paraId="1DCA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vAlign w:val="center"/>
          </w:tcPr>
          <w:p w14:paraId="010ACED5">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084" w:type="dxa"/>
            <w:vAlign w:val="center"/>
          </w:tcPr>
          <w:p w14:paraId="16AD7828">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区委宣传部</w:t>
            </w:r>
          </w:p>
        </w:tc>
        <w:tc>
          <w:tcPr>
            <w:tcW w:w="2963" w:type="dxa"/>
            <w:vAlign w:val="center"/>
          </w:tcPr>
          <w:p w14:paraId="17E7418B">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28580754</w:t>
            </w:r>
          </w:p>
        </w:tc>
      </w:tr>
      <w:tr w14:paraId="2C82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7233A0F2">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4084" w:type="dxa"/>
            <w:shd w:val="clear" w:color="auto" w:fill="auto"/>
          </w:tcPr>
          <w:p w14:paraId="41B254F2">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区委网信办</w:t>
            </w:r>
          </w:p>
        </w:tc>
        <w:tc>
          <w:tcPr>
            <w:tcW w:w="2963" w:type="dxa"/>
            <w:vAlign w:val="center"/>
          </w:tcPr>
          <w:p w14:paraId="71718EDE">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28580770</w:t>
            </w:r>
          </w:p>
        </w:tc>
      </w:tr>
      <w:tr w14:paraId="0A75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3326CE1D">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084" w:type="dxa"/>
            <w:shd w:val="clear" w:color="auto" w:fill="auto"/>
          </w:tcPr>
          <w:p w14:paraId="72BDF903">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区发改局</w:t>
            </w:r>
          </w:p>
        </w:tc>
        <w:tc>
          <w:tcPr>
            <w:tcW w:w="2963" w:type="dxa"/>
            <w:vAlign w:val="center"/>
          </w:tcPr>
          <w:p w14:paraId="7D06D70E">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28580749</w:t>
            </w:r>
          </w:p>
        </w:tc>
      </w:tr>
      <w:tr w14:paraId="1B5F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4D750BDA">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4084" w:type="dxa"/>
            <w:shd w:val="clear" w:color="auto" w:fill="auto"/>
          </w:tcPr>
          <w:p w14:paraId="1E549831">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区教育局</w:t>
            </w:r>
          </w:p>
        </w:tc>
        <w:tc>
          <w:tcPr>
            <w:tcW w:w="2963" w:type="dxa"/>
            <w:vAlign w:val="center"/>
          </w:tcPr>
          <w:p w14:paraId="2E5F5C27">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28580882</w:t>
            </w:r>
          </w:p>
        </w:tc>
      </w:tr>
      <w:tr w14:paraId="66D6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2B961E52">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w:t>
            </w:r>
          </w:p>
        </w:tc>
        <w:tc>
          <w:tcPr>
            <w:tcW w:w="4084" w:type="dxa"/>
            <w:vAlign w:val="center"/>
          </w:tcPr>
          <w:p w14:paraId="3916074E">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市生态环境局芦淞分局</w:t>
            </w:r>
          </w:p>
        </w:tc>
        <w:tc>
          <w:tcPr>
            <w:tcW w:w="2963" w:type="dxa"/>
            <w:vAlign w:val="center"/>
          </w:tcPr>
          <w:p w14:paraId="1D231B2C">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28682785</w:t>
            </w:r>
          </w:p>
        </w:tc>
      </w:tr>
      <w:tr w14:paraId="0BEE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40967D76">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w:t>
            </w:r>
          </w:p>
        </w:tc>
        <w:tc>
          <w:tcPr>
            <w:tcW w:w="4084" w:type="dxa"/>
            <w:vAlign w:val="center"/>
          </w:tcPr>
          <w:p w14:paraId="6857DDB3">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w:t>
            </w:r>
          </w:p>
        </w:tc>
        <w:tc>
          <w:tcPr>
            <w:tcW w:w="2963" w:type="dxa"/>
            <w:vAlign w:val="center"/>
          </w:tcPr>
          <w:p w14:paraId="0DE100F6">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28580689</w:t>
            </w:r>
          </w:p>
        </w:tc>
      </w:tr>
      <w:tr w14:paraId="41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5851B5FF">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w:t>
            </w:r>
          </w:p>
        </w:tc>
        <w:tc>
          <w:tcPr>
            <w:tcW w:w="4084" w:type="dxa"/>
            <w:vAlign w:val="center"/>
          </w:tcPr>
          <w:p w14:paraId="51BFD6F2">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区科工信局</w:t>
            </w:r>
          </w:p>
        </w:tc>
        <w:tc>
          <w:tcPr>
            <w:tcW w:w="2963" w:type="dxa"/>
            <w:vAlign w:val="center"/>
          </w:tcPr>
          <w:p w14:paraId="47A5DD8D">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28580846</w:t>
            </w:r>
          </w:p>
        </w:tc>
      </w:tr>
      <w:tr w14:paraId="270E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1AE481CA">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8</w:t>
            </w:r>
          </w:p>
        </w:tc>
        <w:tc>
          <w:tcPr>
            <w:tcW w:w="4084" w:type="dxa"/>
            <w:vAlign w:val="center"/>
          </w:tcPr>
          <w:p w14:paraId="4B53D33C">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区财政局</w:t>
            </w:r>
          </w:p>
        </w:tc>
        <w:tc>
          <w:tcPr>
            <w:tcW w:w="2963" w:type="dxa"/>
            <w:vAlign w:val="center"/>
          </w:tcPr>
          <w:p w14:paraId="69DB8F1E">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28580810</w:t>
            </w:r>
          </w:p>
        </w:tc>
      </w:tr>
      <w:tr w14:paraId="3C3B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6EC951CC">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9</w:t>
            </w:r>
          </w:p>
        </w:tc>
        <w:tc>
          <w:tcPr>
            <w:tcW w:w="4084" w:type="dxa"/>
            <w:vAlign w:val="center"/>
          </w:tcPr>
          <w:p w14:paraId="3C53F965">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区住建局</w:t>
            </w:r>
          </w:p>
        </w:tc>
        <w:tc>
          <w:tcPr>
            <w:tcW w:w="2963" w:type="dxa"/>
            <w:vAlign w:val="center"/>
          </w:tcPr>
          <w:p w14:paraId="7C935BF3">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28580920</w:t>
            </w:r>
          </w:p>
        </w:tc>
      </w:tr>
      <w:tr w14:paraId="3F39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4DAAF84B">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w:t>
            </w:r>
          </w:p>
        </w:tc>
        <w:tc>
          <w:tcPr>
            <w:tcW w:w="4084" w:type="dxa"/>
            <w:vAlign w:val="center"/>
          </w:tcPr>
          <w:p w14:paraId="3304389A">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区水利局</w:t>
            </w:r>
          </w:p>
        </w:tc>
        <w:tc>
          <w:tcPr>
            <w:tcW w:w="2963" w:type="dxa"/>
            <w:vAlign w:val="center"/>
          </w:tcPr>
          <w:p w14:paraId="43FC403D">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28580209</w:t>
            </w:r>
          </w:p>
        </w:tc>
      </w:tr>
      <w:tr w14:paraId="1B36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140920C9">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4084" w:type="dxa"/>
            <w:vAlign w:val="center"/>
          </w:tcPr>
          <w:p w14:paraId="3D3B7186">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区农业农村局</w:t>
            </w:r>
          </w:p>
        </w:tc>
        <w:tc>
          <w:tcPr>
            <w:tcW w:w="2963" w:type="dxa"/>
            <w:vAlign w:val="center"/>
          </w:tcPr>
          <w:p w14:paraId="2C7EE57E">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28580902</w:t>
            </w:r>
          </w:p>
        </w:tc>
      </w:tr>
      <w:tr w14:paraId="6395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21969D72">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4084" w:type="dxa"/>
            <w:vAlign w:val="center"/>
          </w:tcPr>
          <w:p w14:paraId="2A22F196">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区卫健局</w:t>
            </w:r>
          </w:p>
        </w:tc>
        <w:tc>
          <w:tcPr>
            <w:tcW w:w="2963" w:type="dxa"/>
            <w:vAlign w:val="center"/>
          </w:tcPr>
          <w:p w14:paraId="199AD2CC">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28580566</w:t>
            </w:r>
          </w:p>
        </w:tc>
      </w:tr>
      <w:tr w14:paraId="2E86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7ED9FAD2">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13</w:t>
            </w:r>
          </w:p>
        </w:tc>
        <w:tc>
          <w:tcPr>
            <w:tcW w:w="4084" w:type="dxa"/>
            <w:vAlign w:val="center"/>
          </w:tcPr>
          <w:p w14:paraId="0B7842ED">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区城管局</w:t>
            </w:r>
          </w:p>
        </w:tc>
        <w:tc>
          <w:tcPr>
            <w:tcW w:w="2963" w:type="dxa"/>
            <w:vAlign w:val="center"/>
          </w:tcPr>
          <w:p w14:paraId="1FAC42A9">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28580703</w:t>
            </w:r>
          </w:p>
        </w:tc>
      </w:tr>
      <w:tr w14:paraId="242B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67044F5C">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14</w:t>
            </w:r>
          </w:p>
        </w:tc>
        <w:tc>
          <w:tcPr>
            <w:tcW w:w="4084" w:type="dxa"/>
            <w:vAlign w:val="center"/>
          </w:tcPr>
          <w:p w14:paraId="2B6579B4">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区自然资源局</w:t>
            </w:r>
          </w:p>
        </w:tc>
        <w:tc>
          <w:tcPr>
            <w:tcW w:w="2963" w:type="dxa"/>
            <w:vAlign w:val="center"/>
          </w:tcPr>
          <w:p w14:paraId="6EFABCD7">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28685201</w:t>
            </w:r>
          </w:p>
        </w:tc>
      </w:tr>
      <w:tr w14:paraId="638D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2FC572F8">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4084" w:type="dxa"/>
            <w:vAlign w:val="center"/>
          </w:tcPr>
          <w:p w14:paraId="44D85DAC">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芦淞</w:t>
            </w:r>
            <w:r>
              <w:rPr>
                <w:rFonts w:hint="eastAsia" w:ascii="仿宋_GB2312" w:hAnsi="仿宋_GB2312" w:eastAsia="仿宋_GB2312" w:cs="仿宋_GB2312"/>
                <w:sz w:val="32"/>
                <w:szCs w:val="32"/>
              </w:rPr>
              <w:t>交警大队</w:t>
            </w:r>
          </w:p>
        </w:tc>
        <w:tc>
          <w:tcPr>
            <w:tcW w:w="2963" w:type="dxa"/>
            <w:vAlign w:val="center"/>
          </w:tcPr>
          <w:p w14:paraId="3B8E778F">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28687289</w:t>
            </w:r>
          </w:p>
        </w:tc>
      </w:tr>
      <w:tr w14:paraId="7ADC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48971D45">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16</w:t>
            </w:r>
          </w:p>
        </w:tc>
        <w:tc>
          <w:tcPr>
            <w:tcW w:w="4084" w:type="dxa"/>
            <w:vAlign w:val="center"/>
          </w:tcPr>
          <w:p w14:paraId="684AA8BF">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芦淞公安分局</w:t>
            </w:r>
          </w:p>
        </w:tc>
        <w:tc>
          <w:tcPr>
            <w:tcW w:w="2963" w:type="dxa"/>
            <w:vAlign w:val="center"/>
          </w:tcPr>
          <w:p w14:paraId="13388892">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28683512</w:t>
            </w:r>
          </w:p>
        </w:tc>
      </w:tr>
      <w:tr w14:paraId="5C6A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67D45EB2">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17</w:t>
            </w:r>
          </w:p>
        </w:tc>
        <w:tc>
          <w:tcPr>
            <w:tcW w:w="4084" w:type="dxa"/>
            <w:shd w:val="clear" w:color="auto" w:fill="auto"/>
          </w:tcPr>
          <w:p w14:paraId="5941C5AE">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董家段公安分局</w:t>
            </w:r>
          </w:p>
        </w:tc>
        <w:tc>
          <w:tcPr>
            <w:tcW w:w="2963" w:type="dxa"/>
            <w:vAlign w:val="center"/>
          </w:tcPr>
          <w:p w14:paraId="4B497715">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28683590</w:t>
            </w:r>
          </w:p>
        </w:tc>
      </w:tr>
      <w:tr w14:paraId="35A9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71B6A63F">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18</w:t>
            </w:r>
          </w:p>
        </w:tc>
        <w:tc>
          <w:tcPr>
            <w:tcW w:w="4084" w:type="dxa"/>
            <w:shd w:val="clear" w:color="auto" w:fill="auto"/>
          </w:tcPr>
          <w:p w14:paraId="0714B700">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区交通运输局</w:t>
            </w:r>
          </w:p>
        </w:tc>
        <w:tc>
          <w:tcPr>
            <w:tcW w:w="2963" w:type="dxa"/>
            <w:vAlign w:val="center"/>
          </w:tcPr>
          <w:p w14:paraId="40BD3512">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28580139</w:t>
            </w:r>
          </w:p>
        </w:tc>
      </w:tr>
      <w:tr w14:paraId="2EB4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4CE8830A">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19</w:t>
            </w:r>
          </w:p>
        </w:tc>
        <w:tc>
          <w:tcPr>
            <w:tcW w:w="4084" w:type="dxa"/>
            <w:vAlign w:val="center"/>
          </w:tcPr>
          <w:p w14:paraId="0EF805D4">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贺家土</w:t>
            </w:r>
            <w:r>
              <w:rPr>
                <w:rFonts w:hint="eastAsia" w:ascii="仿宋_GB2312" w:hAnsi="仿宋_GB2312" w:eastAsia="仿宋_GB2312" w:cs="仿宋_GB2312"/>
                <w:sz w:val="32"/>
                <w:szCs w:val="32"/>
              </w:rPr>
              <w:t>街道办事处</w:t>
            </w:r>
          </w:p>
        </w:tc>
        <w:tc>
          <w:tcPr>
            <w:tcW w:w="2963" w:type="dxa"/>
            <w:vAlign w:val="center"/>
          </w:tcPr>
          <w:p w14:paraId="5C045EC5">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22658710</w:t>
            </w:r>
          </w:p>
        </w:tc>
      </w:tr>
      <w:tr w14:paraId="7662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6093BFC0">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4084" w:type="dxa"/>
            <w:vAlign w:val="center"/>
          </w:tcPr>
          <w:p w14:paraId="1F3014A6">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街道办事处</w:t>
            </w:r>
          </w:p>
        </w:tc>
        <w:tc>
          <w:tcPr>
            <w:tcW w:w="2963" w:type="dxa"/>
            <w:vAlign w:val="center"/>
          </w:tcPr>
          <w:p w14:paraId="1294ED5D">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28208715</w:t>
            </w:r>
          </w:p>
        </w:tc>
      </w:tr>
      <w:tr w14:paraId="32E0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456FC16B">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21</w:t>
            </w:r>
          </w:p>
        </w:tc>
        <w:tc>
          <w:tcPr>
            <w:tcW w:w="4084" w:type="dxa"/>
            <w:vAlign w:val="center"/>
          </w:tcPr>
          <w:p w14:paraId="6B5BECFA">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建宁</w:t>
            </w:r>
            <w:r>
              <w:rPr>
                <w:rFonts w:hint="eastAsia" w:ascii="仿宋_GB2312" w:hAnsi="仿宋_GB2312" w:eastAsia="仿宋_GB2312" w:cs="仿宋_GB2312"/>
                <w:sz w:val="32"/>
                <w:szCs w:val="32"/>
              </w:rPr>
              <w:t>街道办事处</w:t>
            </w:r>
          </w:p>
        </w:tc>
        <w:tc>
          <w:tcPr>
            <w:tcW w:w="2963" w:type="dxa"/>
            <w:vAlign w:val="center"/>
          </w:tcPr>
          <w:p w14:paraId="409F1B1F">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22211554</w:t>
            </w:r>
          </w:p>
        </w:tc>
      </w:tr>
      <w:tr w14:paraId="16DD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shd w:val="clear" w:color="auto" w:fill="auto"/>
            <w:vAlign w:val="center"/>
          </w:tcPr>
          <w:p w14:paraId="613B1776">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22</w:t>
            </w:r>
          </w:p>
        </w:tc>
        <w:tc>
          <w:tcPr>
            <w:tcW w:w="4084" w:type="dxa"/>
            <w:vAlign w:val="center"/>
          </w:tcPr>
          <w:p w14:paraId="32FFFA09">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龙泉</w:t>
            </w:r>
            <w:r>
              <w:rPr>
                <w:rFonts w:hint="eastAsia" w:ascii="仿宋_GB2312" w:hAnsi="仿宋_GB2312" w:eastAsia="仿宋_GB2312" w:cs="仿宋_GB2312"/>
                <w:sz w:val="32"/>
                <w:szCs w:val="32"/>
              </w:rPr>
              <w:t>街道办事处</w:t>
            </w:r>
          </w:p>
        </w:tc>
        <w:tc>
          <w:tcPr>
            <w:tcW w:w="2963" w:type="dxa"/>
            <w:vAlign w:val="center"/>
          </w:tcPr>
          <w:p w14:paraId="212801E4">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28512226</w:t>
            </w:r>
          </w:p>
        </w:tc>
      </w:tr>
      <w:tr w14:paraId="5F04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vAlign w:val="center"/>
          </w:tcPr>
          <w:p w14:paraId="4016728F">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23</w:t>
            </w:r>
          </w:p>
        </w:tc>
        <w:tc>
          <w:tcPr>
            <w:tcW w:w="4084" w:type="dxa"/>
            <w:vAlign w:val="center"/>
          </w:tcPr>
          <w:p w14:paraId="3835BC6E">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庆云街道办事处</w:t>
            </w:r>
          </w:p>
        </w:tc>
        <w:tc>
          <w:tcPr>
            <w:tcW w:w="2963" w:type="dxa"/>
            <w:vAlign w:val="center"/>
          </w:tcPr>
          <w:p w14:paraId="008A91B2">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28287125</w:t>
            </w:r>
          </w:p>
        </w:tc>
      </w:tr>
      <w:tr w14:paraId="4D0F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vAlign w:val="center"/>
          </w:tcPr>
          <w:p w14:paraId="37F20157">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24</w:t>
            </w:r>
          </w:p>
        </w:tc>
        <w:tc>
          <w:tcPr>
            <w:tcW w:w="4084" w:type="dxa"/>
            <w:vAlign w:val="center"/>
          </w:tcPr>
          <w:p w14:paraId="5A2A3C79">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枫溪街道办事处</w:t>
            </w:r>
          </w:p>
        </w:tc>
        <w:tc>
          <w:tcPr>
            <w:tcW w:w="2963" w:type="dxa"/>
            <w:vAlign w:val="center"/>
          </w:tcPr>
          <w:p w14:paraId="215ECDF1">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28580186</w:t>
            </w:r>
          </w:p>
        </w:tc>
      </w:tr>
      <w:tr w14:paraId="263E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vAlign w:val="center"/>
          </w:tcPr>
          <w:p w14:paraId="6282F314">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25</w:t>
            </w:r>
          </w:p>
        </w:tc>
        <w:tc>
          <w:tcPr>
            <w:tcW w:w="4084" w:type="dxa"/>
            <w:vAlign w:val="center"/>
          </w:tcPr>
          <w:p w14:paraId="54B43336">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董家塅街道办事处</w:t>
            </w:r>
          </w:p>
        </w:tc>
        <w:tc>
          <w:tcPr>
            <w:tcW w:w="2963" w:type="dxa"/>
            <w:vAlign w:val="center"/>
          </w:tcPr>
          <w:p w14:paraId="201D7C81">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28558490</w:t>
            </w:r>
          </w:p>
        </w:tc>
      </w:tr>
      <w:tr w14:paraId="1732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9" w:type="dxa"/>
            <w:vAlign w:val="center"/>
          </w:tcPr>
          <w:p w14:paraId="3A0BD7D5">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26</w:t>
            </w:r>
          </w:p>
        </w:tc>
        <w:tc>
          <w:tcPr>
            <w:tcW w:w="4084" w:type="dxa"/>
            <w:vAlign w:val="center"/>
          </w:tcPr>
          <w:p w14:paraId="7363E8D5">
            <w:pPr>
              <w:autoSpaceDE/>
              <w:autoSpaceDN/>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白关镇</w:t>
            </w:r>
            <w:r>
              <w:rPr>
                <w:rFonts w:hint="eastAsia" w:ascii="仿宋_GB2312" w:hAnsi="仿宋_GB2312" w:eastAsia="仿宋_GB2312" w:cs="仿宋_GB2312"/>
                <w:sz w:val="32"/>
                <w:szCs w:val="32"/>
              </w:rPr>
              <w:t>人民政府</w:t>
            </w:r>
          </w:p>
        </w:tc>
        <w:tc>
          <w:tcPr>
            <w:tcW w:w="2963" w:type="dxa"/>
            <w:vAlign w:val="center"/>
          </w:tcPr>
          <w:p w14:paraId="5AE82724">
            <w:pPr>
              <w:autoSpaceDE/>
              <w:autoSpaceDN/>
              <w:spacing w:line="560" w:lineRule="exact"/>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27495198</w:t>
            </w:r>
          </w:p>
        </w:tc>
      </w:tr>
    </w:tbl>
    <w:p w14:paraId="07BF43E3">
      <w:pPr>
        <w:pStyle w:val="6"/>
        <w:rPr>
          <w:lang w:eastAsia="zh-CN"/>
        </w:rPr>
      </w:pPr>
    </w:p>
    <w:p w14:paraId="4F9C0DBE">
      <w:pPr>
        <w:rPr>
          <w:lang w:eastAsia="zh-CN"/>
        </w:rPr>
      </w:pPr>
    </w:p>
    <w:p w14:paraId="30C8074B">
      <w:pPr>
        <w:pStyle w:val="9"/>
        <w:rPr>
          <w:lang w:eastAsia="zh-CN"/>
        </w:rPr>
      </w:pPr>
    </w:p>
    <w:p w14:paraId="04CC96DA">
      <w:pPr>
        <w:pStyle w:val="6"/>
        <w:rPr>
          <w:lang w:eastAsia="zh-CN"/>
        </w:rPr>
      </w:pPr>
    </w:p>
    <w:p w14:paraId="37C3CB10">
      <w:pPr>
        <w:rPr>
          <w:lang w:eastAsia="zh-CN"/>
        </w:rPr>
      </w:pPr>
    </w:p>
    <w:p w14:paraId="6D52028C">
      <w:pPr>
        <w:pStyle w:val="9"/>
        <w:rPr>
          <w:lang w:eastAsia="zh-CN"/>
        </w:rPr>
      </w:pPr>
    </w:p>
    <w:p w14:paraId="7E38979D">
      <w:pPr>
        <w:pStyle w:val="6"/>
        <w:rPr>
          <w:lang w:eastAsia="zh-CN"/>
        </w:rPr>
      </w:pPr>
    </w:p>
    <w:p w14:paraId="5C1D4B75">
      <w:pPr>
        <w:rPr>
          <w:lang w:eastAsia="zh-CN"/>
        </w:rPr>
      </w:pPr>
    </w:p>
    <w:p w14:paraId="6AE4B738">
      <w:pPr>
        <w:pStyle w:val="9"/>
        <w:rPr>
          <w:lang w:eastAsia="zh-CN"/>
        </w:rPr>
      </w:pPr>
    </w:p>
    <w:p w14:paraId="6355D8E0">
      <w:pPr>
        <w:pStyle w:val="6"/>
        <w:rPr>
          <w:lang w:eastAsia="zh-CN"/>
        </w:rPr>
      </w:pPr>
    </w:p>
    <w:p w14:paraId="6F6DFB30">
      <w:pPr>
        <w:rPr>
          <w:lang w:eastAsia="zh-CN"/>
        </w:rPr>
      </w:pPr>
    </w:p>
    <w:p w14:paraId="694A5D44">
      <w:pPr>
        <w:pStyle w:val="9"/>
        <w:rPr>
          <w:lang w:eastAsia="zh-CN"/>
        </w:rPr>
      </w:pPr>
    </w:p>
    <w:p w14:paraId="64E8EB38">
      <w:pPr>
        <w:pStyle w:val="6"/>
        <w:rPr>
          <w:lang w:eastAsia="zh-CN"/>
        </w:rPr>
      </w:pPr>
    </w:p>
    <w:p w14:paraId="5694A44D">
      <w:pPr>
        <w:rPr>
          <w:lang w:eastAsia="zh-CN"/>
        </w:rPr>
      </w:pPr>
    </w:p>
    <w:p w14:paraId="1F6FF976">
      <w:pPr>
        <w:pStyle w:val="9"/>
        <w:rPr>
          <w:lang w:eastAsia="zh-CN"/>
        </w:rPr>
      </w:pPr>
    </w:p>
    <w:p w14:paraId="25C1F564">
      <w:pPr>
        <w:pStyle w:val="6"/>
        <w:rPr>
          <w:lang w:eastAsia="zh-CN"/>
        </w:rPr>
      </w:pPr>
    </w:p>
    <w:p w14:paraId="1CEFC8C9">
      <w:pPr>
        <w:rPr>
          <w:lang w:eastAsia="zh-CN"/>
        </w:rPr>
      </w:pPr>
    </w:p>
    <w:p w14:paraId="35F67720">
      <w:pPr>
        <w:pStyle w:val="9"/>
        <w:rPr>
          <w:lang w:eastAsia="zh-CN"/>
        </w:rPr>
      </w:pPr>
    </w:p>
    <w:p w14:paraId="4B44D1A1">
      <w:pPr>
        <w:pStyle w:val="6"/>
        <w:rPr>
          <w:lang w:eastAsia="zh-CN"/>
        </w:rPr>
      </w:pPr>
    </w:p>
    <w:p w14:paraId="2A2AE083">
      <w:pPr>
        <w:rPr>
          <w:lang w:eastAsia="zh-CN"/>
        </w:rPr>
      </w:pPr>
    </w:p>
    <w:p w14:paraId="49F3BEF5">
      <w:pPr>
        <w:pStyle w:val="9"/>
        <w:rPr>
          <w:lang w:eastAsia="zh-CN"/>
        </w:rPr>
      </w:pPr>
    </w:p>
    <w:p w14:paraId="26F18DC7">
      <w:pPr>
        <w:pStyle w:val="6"/>
        <w:rPr>
          <w:lang w:eastAsia="zh-CN"/>
        </w:rPr>
      </w:pPr>
    </w:p>
    <w:p w14:paraId="1BD8DDCB">
      <w:pPr>
        <w:rPr>
          <w:lang w:eastAsia="zh-CN"/>
        </w:rPr>
      </w:pPr>
    </w:p>
    <w:p w14:paraId="69C167B2">
      <w:pPr>
        <w:pStyle w:val="9"/>
        <w:rPr>
          <w:lang w:eastAsia="zh-CN"/>
        </w:rPr>
      </w:pPr>
    </w:p>
    <w:p w14:paraId="3BB40549">
      <w:pPr>
        <w:pStyle w:val="6"/>
        <w:rPr>
          <w:lang w:eastAsia="zh-CN"/>
        </w:rPr>
      </w:pPr>
    </w:p>
    <w:p w14:paraId="043B9166">
      <w:pPr>
        <w:rPr>
          <w:lang w:eastAsia="zh-CN"/>
        </w:rPr>
      </w:pPr>
    </w:p>
    <w:p w14:paraId="7C459B4A">
      <w:pPr>
        <w:pStyle w:val="9"/>
        <w:rPr>
          <w:lang w:eastAsia="zh-CN"/>
        </w:rPr>
      </w:pPr>
    </w:p>
    <w:p w14:paraId="156370A7">
      <w:pPr>
        <w:pStyle w:val="6"/>
        <w:rPr>
          <w:lang w:eastAsia="zh-CN"/>
        </w:rPr>
      </w:pPr>
    </w:p>
    <w:p w14:paraId="22E5796E">
      <w:pPr>
        <w:rPr>
          <w:lang w:eastAsia="zh-CN"/>
        </w:rPr>
      </w:pPr>
    </w:p>
    <w:p w14:paraId="587044BB">
      <w:pPr>
        <w:pStyle w:val="9"/>
        <w:rPr>
          <w:lang w:eastAsia="zh-CN"/>
        </w:rPr>
      </w:pPr>
    </w:p>
    <w:p w14:paraId="6609969E">
      <w:pPr>
        <w:pStyle w:val="6"/>
        <w:rPr>
          <w:lang w:eastAsia="zh-CN"/>
        </w:rPr>
      </w:pPr>
    </w:p>
    <w:p w14:paraId="18E41FB1">
      <w:pPr>
        <w:rPr>
          <w:lang w:eastAsia="zh-CN"/>
        </w:rPr>
      </w:pPr>
    </w:p>
    <w:p w14:paraId="02A0792F">
      <w:pPr>
        <w:pStyle w:val="9"/>
        <w:rPr>
          <w:lang w:eastAsia="zh-CN"/>
        </w:rPr>
      </w:pPr>
    </w:p>
    <w:p w14:paraId="6155B62C">
      <w:pPr>
        <w:pStyle w:val="6"/>
        <w:rPr>
          <w:lang w:eastAsia="zh-CN"/>
        </w:rPr>
      </w:pPr>
    </w:p>
    <w:p w14:paraId="303A955F">
      <w:pPr>
        <w:rPr>
          <w:lang w:eastAsia="zh-CN"/>
        </w:rPr>
      </w:pPr>
    </w:p>
    <w:p w14:paraId="528130C2">
      <w:pPr>
        <w:pStyle w:val="9"/>
        <w:rPr>
          <w:lang w:eastAsia="zh-CN"/>
        </w:rPr>
      </w:pPr>
    </w:p>
    <w:p w14:paraId="413854C0">
      <w:pPr>
        <w:pStyle w:val="6"/>
        <w:rPr>
          <w:lang w:eastAsia="zh-CN"/>
        </w:rPr>
      </w:pPr>
    </w:p>
    <w:p w14:paraId="29180E29">
      <w:pPr>
        <w:rPr>
          <w:lang w:eastAsia="zh-CN"/>
        </w:rPr>
      </w:pPr>
    </w:p>
    <w:p w14:paraId="1AE40E84">
      <w:pPr>
        <w:pStyle w:val="9"/>
        <w:rPr>
          <w:lang w:eastAsia="zh-CN"/>
        </w:rPr>
      </w:pPr>
    </w:p>
    <w:p w14:paraId="3A0DACB4">
      <w:pPr>
        <w:pStyle w:val="6"/>
        <w:rPr>
          <w:lang w:eastAsia="zh-CN"/>
        </w:rPr>
      </w:pPr>
    </w:p>
    <w:p w14:paraId="39A74B8F">
      <w:pPr>
        <w:rPr>
          <w:lang w:eastAsia="zh-CN"/>
        </w:rPr>
      </w:pPr>
    </w:p>
    <w:p w14:paraId="620A8271">
      <w:pPr>
        <w:pStyle w:val="9"/>
        <w:rPr>
          <w:lang w:eastAsia="zh-CN"/>
        </w:rPr>
      </w:pPr>
    </w:p>
    <w:p w14:paraId="483B0C8E">
      <w:pPr>
        <w:pStyle w:val="6"/>
        <w:rPr>
          <w:lang w:eastAsia="zh-CN"/>
        </w:rPr>
      </w:pPr>
    </w:p>
    <w:p w14:paraId="1C5D85D2">
      <w:pPr>
        <w:rPr>
          <w:lang w:eastAsia="zh-CN"/>
        </w:rPr>
      </w:pPr>
    </w:p>
    <w:p w14:paraId="4AE381C9">
      <w:pPr>
        <w:pStyle w:val="9"/>
        <w:rPr>
          <w:lang w:eastAsia="zh-CN"/>
        </w:rPr>
      </w:pPr>
    </w:p>
    <w:p w14:paraId="046E20BA">
      <w:pPr>
        <w:widowControl w:val="0"/>
        <w:kinsoku/>
        <w:autoSpaceDE/>
        <w:autoSpaceDN/>
        <w:adjustRightInd/>
        <w:snapToGrid/>
        <w:jc w:val="both"/>
        <w:textAlignment w:val="auto"/>
        <w:outlineLvl w:val="1"/>
        <w:rPr>
          <w:rFonts w:ascii="黑体" w:hAnsi="黑体" w:eastAsia="黑体" w:cs="黑体"/>
          <w:snapToGrid/>
          <w:kern w:val="2"/>
          <w:sz w:val="32"/>
          <w:szCs w:val="32"/>
          <w:lang w:eastAsia="zh-CN"/>
        </w:rPr>
        <w:sectPr>
          <w:pgSz w:w="11906" w:h="16838"/>
          <w:pgMar w:top="1440" w:right="1800" w:bottom="1440" w:left="1800" w:header="851" w:footer="992" w:gutter="0"/>
          <w:cols w:space="425" w:num="1"/>
          <w:docGrid w:type="lines" w:linePitch="312" w:charSpace="0"/>
        </w:sectPr>
      </w:pPr>
      <w:bookmarkStart w:id="346" w:name="_Toc7394"/>
      <w:bookmarkStart w:id="347" w:name="_Toc20949"/>
      <w:bookmarkStart w:id="348" w:name="_Toc20952"/>
      <w:bookmarkStart w:id="349" w:name="_Toc179409599"/>
    </w:p>
    <w:p w14:paraId="5C37ED70">
      <w:pPr>
        <w:widowControl w:val="0"/>
        <w:kinsoku/>
        <w:autoSpaceDE/>
        <w:autoSpaceDN/>
        <w:adjustRightInd/>
        <w:snapToGrid/>
        <w:jc w:val="both"/>
        <w:textAlignment w:val="auto"/>
        <w:outlineLvl w:val="1"/>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附件5</w:t>
      </w:r>
      <w:bookmarkEnd w:id="346"/>
      <w:bookmarkEnd w:id="347"/>
      <w:bookmarkEnd w:id="348"/>
      <w:bookmarkStart w:id="350" w:name="_Toc1342"/>
      <w:bookmarkStart w:id="351" w:name="_Toc12568"/>
      <w:bookmarkStart w:id="352" w:name="_Toc25406"/>
    </w:p>
    <w:p w14:paraId="61D8646F">
      <w:pPr>
        <w:widowControl w:val="0"/>
        <w:kinsoku/>
        <w:autoSpaceDE/>
        <w:autoSpaceDN/>
        <w:adjustRightInd/>
        <w:snapToGrid/>
        <w:spacing w:line="340" w:lineRule="exact"/>
        <w:jc w:val="center"/>
        <w:textAlignment w:val="auto"/>
        <w:outlineLvl w:val="1"/>
        <w:rPr>
          <w:rFonts w:ascii="方正楷体_GB2312" w:hAnsi="方正楷体_GB2312" w:eastAsia="方正楷体_GB2312" w:cs="方正楷体_GB2312"/>
          <w:b/>
          <w:bCs/>
          <w:snapToGrid/>
          <w:kern w:val="2"/>
          <w:sz w:val="32"/>
          <w:szCs w:val="32"/>
          <w:lang w:eastAsia="zh-CN"/>
        </w:rPr>
      </w:pPr>
      <w:r>
        <w:rPr>
          <w:rFonts w:hint="eastAsia" w:ascii="方正小标宋简体" w:hAnsi="方正小标宋简体" w:eastAsia="方正小标宋简体" w:cs="方正小标宋简体"/>
          <w:snapToGrid/>
          <w:kern w:val="2"/>
          <w:sz w:val="32"/>
          <w:szCs w:val="32"/>
          <w:lang w:eastAsia="zh-CN"/>
        </w:rPr>
        <w:t>《株洲市重污染天气应急减排单（工业源）》预警期间应急管控措施-重点行业-芦淞区</w:t>
      </w:r>
      <w:bookmarkEnd w:id="349"/>
      <w:bookmarkEnd w:id="350"/>
      <w:bookmarkEnd w:id="351"/>
      <w:bookmarkEnd w:id="352"/>
    </w:p>
    <w:tbl>
      <w:tblPr>
        <w:tblStyle w:val="12"/>
        <w:tblpPr w:leftFromText="180" w:rightFromText="180" w:vertAnchor="text" w:horzAnchor="page" w:tblpX="1329" w:tblpY="618"/>
        <w:tblOverlap w:val="never"/>
        <w:tblW w:w="143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9"/>
        <w:gridCol w:w="1950"/>
        <w:gridCol w:w="1174"/>
        <w:gridCol w:w="2081"/>
        <w:gridCol w:w="1260"/>
        <w:gridCol w:w="1185"/>
        <w:gridCol w:w="1230"/>
        <w:gridCol w:w="1350"/>
        <w:gridCol w:w="1605"/>
        <w:gridCol w:w="1575"/>
      </w:tblGrid>
      <w:tr w14:paraId="5A5DED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9" w:type="dxa"/>
            <w:tcBorders>
              <w:tl2br w:val="nil"/>
              <w:tr2bl w:val="nil"/>
            </w:tcBorders>
            <w:vAlign w:val="center"/>
          </w:tcPr>
          <w:p w14:paraId="4591E930">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序号</w:t>
            </w:r>
          </w:p>
        </w:tc>
        <w:tc>
          <w:tcPr>
            <w:tcW w:w="1950" w:type="dxa"/>
            <w:tcBorders>
              <w:tl2br w:val="nil"/>
              <w:tr2bl w:val="nil"/>
            </w:tcBorders>
            <w:vAlign w:val="center"/>
          </w:tcPr>
          <w:p w14:paraId="09ABC1BD">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企业名称</w:t>
            </w:r>
          </w:p>
        </w:tc>
        <w:tc>
          <w:tcPr>
            <w:tcW w:w="1174" w:type="dxa"/>
            <w:tcBorders>
              <w:tl2br w:val="nil"/>
              <w:tr2bl w:val="nil"/>
            </w:tcBorders>
            <w:vAlign w:val="center"/>
          </w:tcPr>
          <w:p w14:paraId="1D342756">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统一社会信用代码</w:t>
            </w:r>
          </w:p>
        </w:tc>
        <w:tc>
          <w:tcPr>
            <w:tcW w:w="2081" w:type="dxa"/>
            <w:tcBorders>
              <w:tl2br w:val="nil"/>
              <w:tr2bl w:val="nil"/>
            </w:tcBorders>
            <w:vAlign w:val="center"/>
          </w:tcPr>
          <w:p w14:paraId="74D5C024">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详细地址</w:t>
            </w:r>
          </w:p>
        </w:tc>
        <w:tc>
          <w:tcPr>
            <w:tcW w:w="1260" w:type="dxa"/>
            <w:tcBorders>
              <w:tl2br w:val="nil"/>
              <w:tr2bl w:val="nil"/>
            </w:tcBorders>
            <w:vAlign w:val="center"/>
          </w:tcPr>
          <w:p w14:paraId="4739243B">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所属区县</w:t>
            </w:r>
          </w:p>
        </w:tc>
        <w:tc>
          <w:tcPr>
            <w:tcW w:w="1185" w:type="dxa"/>
            <w:tcBorders>
              <w:tl2br w:val="nil"/>
              <w:tr2bl w:val="nil"/>
            </w:tcBorders>
            <w:vAlign w:val="center"/>
          </w:tcPr>
          <w:p w14:paraId="762FCEB6">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行业类型</w:t>
            </w:r>
          </w:p>
        </w:tc>
        <w:tc>
          <w:tcPr>
            <w:tcW w:w="1230" w:type="dxa"/>
            <w:tcBorders>
              <w:tl2br w:val="nil"/>
              <w:tr2bl w:val="nil"/>
            </w:tcBorders>
            <w:vAlign w:val="center"/>
          </w:tcPr>
          <w:p w14:paraId="231A0FCF">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管控类型</w:t>
            </w:r>
          </w:p>
        </w:tc>
        <w:tc>
          <w:tcPr>
            <w:tcW w:w="1350" w:type="dxa"/>
            <w:tcBorders>
              <w:tl2br w:val="nil"/>
              <w:tr2bl w:val="nil"/>
            </w:tcBorders>
            <w:vAlign w:val="center"/>
          </w:tcPr>
          <w:p w14:paraId="39DD3D0F">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减排措施-红色预警</w:t>
            </w:r>
          </w:p>
        </w:tc>
        <w:tc>
          <w:tcPr>
            <w:tcW w:w="1605" w:type="dxa"/>
            <w:tcBorders>
              <w:tl2br w:val="nil"/>
              <w:tr2bl w:val="nil"/>
            </w:tcBorders>
            <w:vAlign w:val="center"/>
          </w:tcPr>
          <w:p w14:paraId="777C3F83">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减排措施-橙色预警</w:t>
            </w:r>
          </w:p>
        </w:tc>
        <w:tc>
          <w:tcPr>
            <w:tcW w:w="1575" w:type="dxa"/>
            <w:tcBorders>
              <w:tl2br w:val="nil"/>
              <w:tr2bl w:val="nil"/>
            </w:tcBorders>
            <w:vAlign w:val="center"/>
          </w:tcPr>
          <w:p w14:paraId="749D8756">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减排措施-黄色预警</w:t>
            </w:r>
          </w:p>
        </w:tc>
      </w:tr>
    </w:tbl>
    <w:p w14:paraId="02BC5C39">
      <w:pPr>
        <w:pStyle w:val="9"/>
        <w:rPr>
          <w:rFonts w:ascii="方正楷体_GB2312" w:hAnsi="方正楷体_GB2312" w:eastAsia="方正楷体_GB2312" w:cs="方正楷体_GB2312"/>
          <w:b/>
          <w:bCs/>
          <w:snapToGrid/>
          <w:kern w:val="2"/>
          <w:sz w:val="24"/>
          <w:szCs w:val="24"/>
          <w:lang w:eastAsia="zh-CN"/>
        </w:rPr>
      </w:pPr>
    </w:p>
    <w:p w14:paraId="0F2ABA12">
      <w:pPr>
        <w:pStyle w:val="6"/>
        <w:rPr>
          <w:rFonts w:ascii="方正楷体_GB2312" w:hAnsi="方正楷体_GB2312" w:eastAsia="方正楷体_GB2312" w:cs="方正楷体_GB2312"/>
          <w:b/>
          <w:bCs/>
          <w:snapToGrid/>
          <w:kern w:val="2"/>
          <w:sz w:val="24"/>
          <w:szCs w:val="24"/>
          <w:lang w:eastAsia="zh-CN"/>
        </w:rPr>
      </w:pPr>
      <w:r>
        <w:rPr>
          <w:rFonts w:hint="eastAsia" w:ascii="方正楷体_GB2312" w:hAnsi="方正楷体_GB2312" w:eastAsia="方正楷体_GB2312" w:cs="方正楷体_GB2312"/>
          <w:b/>
          <w:bCs/>
          <w:snapToGrid/>
          <w:kern w:val="2"/>
          <w:sz w:val="24"/>
          <w:szCs w:val="24"/>
          <w:lang w:eastAsia="zh-CN"/>
        </w:rPr>
        <w:t>注：工业源应急减排清单由于涉及企业生产工序，会涉及企业商业机密，故不进行公示，由株洲市生态环境局芦淞分局负责进行动态更新。各职能部门重污染天气应急指挥部成员单位应根据各自职责建立并定期更新重污染天气应急减排清单。</w:t>
      </w:r>
    </w:p>
    <w:p w14:paraId="75310354">
      <w:pPr>
        <w:pStyle w:val="6"/>
        <w:rPr>
          <w:rFonts w:ascii="方正楷体_GB2312" w:hAnsi="方正楷体_GB2312" w:eastAsia="方正楷体_GB2312" w:cs="方正楷体_GB2312"/>
          <w:b/>
          <w:bCs/>
          <w:snapToGrid/>
          <w:kern w:val="2"/>
          <w:sz w:val="24"/>
          <w:szCs w:val="24"/>
          <w:lang w:eastAsia="zh-CN"/>
        </w:rPr>
      </w:pPr>
    </w:p>
    <w:p w14:paraId="7459A699">
      <w:pPr>
        <w:rPr>
          <w:rFonts w:ascii="方正楷体_GB2312" w:hAnsi="方正楷体_GB2312" w:eastAsia="方正楷体_GB2312" w:cs="方正楷体_GB2312"/>
          <w:b/>
          <w:bCs/>
          <w:snapToGrid/>
          <w:kern w:val="2"/>
          <w:sz w:val="24"/>
          <w:szCs w:val="24"/>
          <w:lang w:eastAsia="zh-CN"/>
        </w:rPr>
      </w:pPr>
    </w:p>
    <w:p w14:paraId="2E5929CE">
      <w:pPr>
        <w:pStyle w:val="9"/>
        <w:rPr>
          <w:rFonts w:ascii="方正楷体_GB2312" w:hAnsi="方正楷体_GB2312" w:eastAsia="方正楷体_GB2312" w:cs="方正楷体_GB2312"/>
          <w:b/>
          <w:bCs/>
          <w:snapToGrid/>
          <w:kern w:val="2"/>
          <w:sz w:val="24"/>
          <w:szCs w:val="24"/>
          <w:lang w:eastAsia="zh-CN"/>
        </w:rPr>
      </w:pPr>
    </w:p>
    <w:p w14:paraId="2DA57ECE">
      <w:pPr>
        <w:rPr>
          <w:rFonts w:ascii="方正楷体_GB2312" w:hAnsi="方正楷体_GB2312" w:eastAsia="方正楷体_GB2312" w:cs="方正楷体_GB2312"/>
          <w:b/>
          <w:bCs/>
          <w:snapToGrid/>
          <w:kern w:val="2"/>
          <w:sz w:val="24"/>
          <w:szCs w:val="24"/>
          <w:lang w:eastAsia="zh-CN"/>
        </w:rPr>
      </w:pPr>
    </w:p>
    <w:p w14:paraId="40FE7CCD">
      <w:pPr>
        <w:pStyle w:val="9"/>
        <w:rPr>
          <w:rFonts w:ascii="方正楷体_GB2312" w:hAnsi="方正楷体_GB2312" w:eastAsia="方正楷体_GB2312" w:cs="方正楷体_GB2312"/>
          <w:b/>
          <w:bCs/>
          <w:snapToGrid/>
          <w:kern w:val="2"/>
          <w:sz w:val="24"/>
          <w:szCs w:val="24"/>
          <w:lang w:eastAsia="zh-CN"/>
        </w:rPr>
      </w:pPr>
    </w:p>
    <w:p w14:paraId="7E06A7C0">
      <w:pPr>
        <w:pStyle w:val="6"/>
        <w:rPr>
          <w:rFonts w:ascii="方正楷体_GB2312" w:hAnsi="方正楷体_GB2312" w:eastAsia="方正楷体_GB2312" w:cs="方正楷体_GB2312"/>
          <w:b/>
          <w:bCs/>
          <w:snapToGrid/>
          <w:kern w:val="2"/>
          <w:sz w:val="24"/>
          <w:szCs w:val="24"/>
          <w:lang w:eastAsia="zh-CN"/>
        </w:rPr>
      </w:pPr>
    </w:p>
    <w:p w14:paraId="605E6470">
      <w:pPr>
        <w:rPr>
          <w:rFonts w:ascii="方正楷体_GB2312" w:hAnsi="方正楷体_GB2312" w:eastAsia="方正楷体_GB2312" w:cs="方正楷体_GB2312"/>
          <w:b/>
          <w:bCs/>
          <w:snapToGrid/>
          <w:kern w:val="2"/>
          <w:sz w:val="24"/>
          <w:szCs w:val="24"/>
          <w:lang w:eastAsia="zh-CN"/>
        </w:rPr>
      </w:pPr>
    </w:p>
    <w:p w14:paraId="204007EA">
      <w:pPr>
        <w:pStyle w:val="9"/>
        <w:rPr>
          <w:rFonts w:ascii="方正楷体_GB2312" w:hAnsi="方正楷体_GB2312" w:eastAsia="方正楷体_GB2312" w:cs="方正楷体_GB2312"/>
          <w:b/>
          <w:bCs/>
          <w:snapToGrid/>
          <w:kern w:val="2"/>
          <w:sz w:val="24"/>
          <w:szCs w:val="24"/>
          <w:lang w:eastAsia="zh-CN"/>
        </w:rPr>
      </w:pPr>
    </w:p>
    <w:p w14:paraId="537C4CB6">
      <w:pPr>
        <w:pStyle w:val="6"/>
        <w:rPr>
          <w:rFonts w:ascii="方正楷体_GB2312" w:hAnsi="方正楷体_GB2312" w:eastAsia="方正楷体_GB2312" w:cs="方正楷体_GB2312"/>
          <w:b/>
          <w:bCs/>
          <w:snapToGrid/>
          <w:kern w:val="2"/>
          <w:sz w:val="24"/>
          <w:szCs w:val="24"/>
          <w:lang w:eastAsia="zh-CN"/>
        </w:rPr>
      </w:pPr>
    </w:p>
    <w:p w14:paraId="250CF65B">
      <w:pPr>
        <w:rPr>
          <w:rFonts w:ascii="方正楷体_GB2312" w:hAnsi="方正楷体_GB2312" w:eastAsia="方正楷体_GB2312" w:cs="方正楷体_GB2312"/>
          <w:b/>
          <w:bCs/>
          <w:snapToGrid/>
          <w:kern w:val="2"/>
          <w:sz w:val="24"/>
          <w:szCs w:val="24"/>
          <w:lang w:eastAsia="zh-CN"/>
        </w:rPr>
      </w:pPr>
    </w:p>
    <w:p w14:paraId="336787A5">
      <w:pPr>
        <w:pStyle w:val="2"/>
        <w:rPr>
          <w:lang w:eastAsia="zh-CN"/>
        </w:rPr>
      </w:pPr>
    </w:p>
    <w:p w14:paraId="7D53CF35">
      <w:pPr>
        <w:widowControl w:val="0"/>
        <w:kinsoku/>
        <w:autoSpaceDE/>
        <w:autoSpaceDN/>
        <w:adjustRightInd/>
        <w:snapToGrid/>
        <w:jc w:val="both"/>
        <w:textAlignment w:val="auto"/>
        <w:outlineLvl w:val="1"/>
        <w:rPr>
          <w:rFonts w:ascii="方正楷体_GB2312" w:hAnsi="方正楷体_GB2312" w:eastAsia="方正楷体_GB2312" w:cs="方正楷体_GB2312"/>
          <w:b/>
          <w:bCs/>
          <w:snapToGrid/>
          <w:kern w:val="2"/>
          <w:sz w:val="32"/>
          <w:szCs w:val="32"/>
          <w:lang w:eastAsia="zh-CN"/>
        </w:rPr>
      </w:pPr>
      <w:bookmarkStart w:id="353" w:name="_Toc179409600"/>
      <w:r>
        <w:rPr>
          <w:rFonts w:hint="eastAsia" w:ascii="黑体" w:hAnsi="黑体" w:eastAsia="黑体" w:cs="黑体"/>
          <w:snapToGrid/>
          <w:kern w:val="2"/>
          <w:sz w:val="32"/>
          <w:szCs w:val="32"/>
          <w:lang w:eastAsia="zh-CN"/>
        </w:rPr>
        <w:t>附件6</w:t>
      </w:r>
    </w:p>
    <w:p w14:paraId="13410F68">
      <w:pPr>
        <w:widowControl w:val="0"/>
        <w:kinsoku/>
        <w:autoSpaceDE/>
        <w:autoSpaceDN/>
        <w:adjustRightInd/>
        <w:snapToGrid/>
        <w:jc w:val="center"/>
        <w:textAlignment w:val="auto"/>
        <w:outlineLvl w:val="1"/>
        <w:rPr>
          <w:lang w:eastAsia="zh-CN"/>
        </w:rPr>
      </w:pPr>
      <w:r>
        <w:rPr>
          <w:rFonts w:hint="eastAsia" w:ascii="方正小标宋简体" w:hAnsi="方正小标宋简体" w:eastAsia="方正小标宋简体" w:cs="方正小标宋简体"/>
          <w:snapToGrid/>
          <w:kern w:val="2"/>
          <w:sz w:val="32"/>
          <w:szCs w:val="32"/>
          <w:lang w:eastAsia="zh-CN"/>
        </w:rPr>
        <w:t>《株洲市重污染天气应急减排单（工业源）》预警期间应急管控措施-其他行业-芦淞区</w:t>
      </w:r>
      <w:bookmarkEnd w:id="353"/>
    </w:p>
    <w:tbl>
      <w:tblPr>
        <w:tblStyle w:val="12"/>
        <w:tblpPr w:leftFromText="180" w:rightFromText="180" w:vertAnchor="text" w:horzAnchor="page" w:tblpX="1329" w:tblpY="618"/>
        <w:tblOverlap w:val="never"/>
        <w:tblW w:w="143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9"/>
        <w:gridCol w:w="1950"/>
        <w:gridCol w:w="1174"/>
        <w:gridCol w:w="2081"/>
        <w:gridCol w:w="1260"/>
        <w:gridCol w:w="1185"/>
        <w:gridCol w:w="1230"/>
        <w:gridCol w:w="1350"/>
        <w:gridCol w:w="1605"/>
        <w:gridCol w:w="1575"/>
      </w:tblGrid>
      <w:tr w14:paraId="2CEE5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9" w:type="dxa"/>
            <w:tcBorders>
              <w:tl2br w:val="nil"/>
              <w:tr2bl w:val="nil"/>
            </w:tcBorders>
            <w:vAlign w:val="center"/>
          </w:tcPr>
          <w:p w14:paraId="41F8B2AB">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序号</w:t>
            </w:r>
          </w:p>
        </w:tc>
        <w:tc>
          <w:tcPr>
            <w:tcW w:w="1950" w:type="dxa"/>
            <w:tcBorders>
              <w:tl2br w:val="nil"/>
              <w:tr2bl w:val="nil"/>
            </w:tcBorders>
            <w:vAlign w:val="center"/>
          </w:tcPr>
          <w:p w14:paraId="7CEB1233">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企业名称</w:t>
            </w:r>
          </w:p>
        </w:tc>
        <w:tc>
          <w:tcPr>
            <w:tcW w:w="1174" w:type="dxa"/>
            <w:tcBorders>
              <w:tl2br w:val="nil"/>
              <w:tr2bl w:val="nil"/>
            </w:tcBorders>
            <w:vAlign w:val="center"/>
          </w:tcPr>
          <w:p w14:paraId="612624B0">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bookmarkStart w:id="366" w:name="_GoBack"/>
            <w:bookmarkEnd w:id="366"/>
            <w:r>
              <w:rPr>
                <w:rFonts w:hint="eastAsia" w:ascii="方正仿宋_GB2312" w:hAnsi="方正仿宋_GB2312" w:eastAsia="方正仿宋_GB2312" w:cs="方正仿宋_GB2312"/>
                <w:b/>
                <w:bCs/>
                <w:snapToGrid/>
                <w:color w:val="auto"/>
                <w:kern w:val="2"/>
                <w:sz w:val="24"/>
                <w:szCs w:val="24"/>
                <w:lang w:eastAsia="zh-CN"/>
              </w:rPr>
              <w:t>统一社会信用代码</w:t>
            </w:r>
          </w:p>
        </w:tc>
        <w:tc>
          <w:tcPr>
            <w:tcW w:w="2081" w:type="dxa"/>
            <w:tcBorders>
              <w:tl2br w:val="nil"/>
              <w:tr2bl w:val="nil"/>
            </w:tcBorders>
            <w:vAlign w:val="center"/>
          </w:tcPr>
          <w:p w14:paraId="0F5A5F03">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详细地址</w:t>
            </w:r>
          </w:p>
        </w:tc>
        <w:tc>
          <w:tcPr>
            <w:tcW w:w="1260" w:type="dxa"/>
            <w:tcBorders>
              <w:tl2br w:val="nil"/>
              <w:tr2bl w:val="nil"/>
            </w:tcBorders>
            <w:vAlign w:val="center"/>
          </w:tcPr>
          <w:p w14:paraId="18FBBF39">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所属区县</w:t>
            </w:r>
          </w:p>
        </w:tc>
        <w:tc>
          <w:tcPr>
            <w:tcW w:w="1185" w:type="dxa"/>
            <w:tcBorders>
              <w:tl2br w:val="nil"/>
              <w:tr2bl w:val="nil"/>
            </w:tcBorders>
            <w:vAlign w:val="center"/>
          </w:tcPr>
          <w:p w14:paraId="0CE3ABFA">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行业类型</w:t>
            </w:r>
          </w:p>
        </w:tc>
        <w:tc>
          <w:tcPr>
            <w:tcW w:w="1230" w:type="dxa"/>
            <w:tcBorders>
              <w:tl2br w:val="nil"/>
              <w:tr2bl w:val="nil"/>
            </w:tcBorders>
            <w:vAlign w:val="center"/>
          </w:tcPr>
          <w:p w14:paraId="15494720">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管控类型</w:t>
            </w:r>
          </w:p>
        </w:tc>
        <w:tc>
          <w:tcPr>
            <w:tcW w:w="1350" w:type="dxa"/>
            <w:tcBorders>
              <w:tl2br w:val="nil"/>
              <w:tr2bl w:val="nil"/>
            </w:tcBorders>
            <w:vAlign w:val="center"/>
          </w:tcPr>
          <w:p w14:paraId="373A5E08">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减排措施-红色预警</w:t>
            </w:r>
          </w:p>
        </w:tc>
        <w:tc>
          <w:tcPr>
            <w:tcW w:w="1605" w:type="dxa"/>
            <w:tcBorders>
              <w:tl2br w:val="nil"/>
              <w:tr2bl w:val="nil"/>
            </w:tcBorders>
            <w:vAlign w:val="center"/>
          </w:tcPr>
          <w:p w14:paraId="553636B7">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减排措施-橙色预警</w:t>
            </w:r>
          </w:p>
        </w:tc>
        <w:tc>
          <w:tcPr>
            <w:tcW w:w="1575" w:type="dxa"/>
            <w:tcBorders>
              <w:tl2br w:val="nil"/>
              <w:tr2bl w:val="nil"/>
            </w:tcBorders>
            <w:vAlign w:val="center"/>
          </w:tcPr>
          <w:p w14:paraId="1BDDF435">
            <w:pPr>
              <w:widowControl w:val="0"/>
              <w:kinsoku/>
              <w:autoSpaceDE/>
              <w:autoSpaceDN/>
              <w:snapToGrid/>
              <w:spacing w:line="360" w:lineRule="exact"/>
              <w:jc w:val="center"/>
              <w:textAlignment w:val="auto"/>
              <w:rPr>
                <w:rFonts w:ascii="方正仿宋_GB2312" w:hAnsi="方正仿宋_GB2312" w:eastAsia="方正仿宋_GB2312" w:cs="方正仿宋_GB2312"/>
                <w:b/>
                <w:bCs/>
                <w:snapToGrid/>
                <w:color w:val="auto"/>
                <w:kern w:val="2"/>
                <w:sz w:val="24"/>
                <w:szCs w:val="24"/>
                <w:lang w:eastAsia="zh-CN"/>
              </w:rPr>
            </w:pPr>
            <w:r>
              <w:rPr>
                <w:rFonts w:hint="eastAsia" w:ascii="方正仿宋_GB2312" w:hAnsi="方正仿宋_GB2312" w:eastAsia="方正仿宋_GB2312" w:cs="方正仿宋_GB2312"/>
                <w:b/>
                <w:bCs/>
                <w:snapToGrid/>
                <w:color w:val="auto"/>
                <w:kern w:val="2"/>
                <w:sz w:val="24"/>
                <w:szCs w:val="24"/>
                <w:lang w:eastAsia="zh-CN"/>
              </w:rPr>
              <w:t>减排措施-黄色预警</w:t>
            </w:r>
          </w:p>
        </w:tc>
      </w:tr>
    </w:tbl>
    <w:p w14:paraId="4E1B0C14">
      <w:pPr>
        <w:rPr>
          <w:rFonts w:ascii="方正楷体_GB2312" w:hAnsi="方正楷体_GB2312" w:eastAsia="方正楷体_GB2312" w:cs="方正楷体_GB2312"/>
          <w:b/>
          <w:bCs/>
          <w:snapToGrid/>
          <w:kern w:val="2"/>
          <w:sz w:val="24"/>
          <w:szCs w:val="24"/>
          <w:lang w:eastAsia="zh-CN"/>
        </w:rPr>
      </w:pPr>
    </w:p>
    <w:p w14:paraId="7EAB2C2F">
      <w:pPr>
        <w:pStyle w:val="9"/>
        <w:rPr>
          <w:rFonts w:ascii="方正楷体_GB2312" w:hAnsi="方正楷体_GB2312" w:eastAsia="方正楷体_GB2312" w:cs="方正楷体_GB2312"/>
          <w:b/>
          <w:bCs/>
          <w:snapToGrid/>
          <w:kern w:val="2"/>
          <w:sz w:val="24"/>
          <w:szCs w:val="24"/>
          <w:lang w:eastAsia="zh-CN"/>
        </w:rPr>
      </w:pPr>
      <w:r>
        <w:rPr>
          <w:rFonts w:hint="eastAsia" w:ascii="方正楷体_GB2312" w:hAnsi="方正楷体_GB2312" w:eastAsia="方正楷体_GB2312" w:cs="方正楷体_GB2312"/>
          <w:b/>
          <w:bCs/>
          <w:snapToGrid/>
          <w:kern w:val="2"/>
          <w:sz w:val="24"/>
          <w:szCs w:val="24"/>
          <w:lang w:eastAsia="zh-CN"/>
        </w:rPr>
        <w:t>注：工业源应急减排清单由于涉及企业生产工序，会涉及企业商业机密，故不进行公示，由株洲市生态环境局芦淞分局负责进行动态更新。各职能部门重污染天气应急指挥部成员单位应根据各自职责建立并定期更新重污染天气应急减排清单。</w:t>
      </w:r>
    </w:p>
    <w:p w14:paraId="07CB0DE0">
      <w:pPr>
        <w:pStyle w:val="6"/>
        <w:rPr>
          <w:rFonts w:ascii="方正楷体_GB2312" w:hAnsi="方正楷体_GB2312" w:eastAsia="方正楷体_GB2312" w:cs="方正楷体_GB2312"/>
          <w:b/>
          <w:bCs/>
          <w:snapToGrid/>
          <w:kern w:val="2"/>
          <w:sz w:val="24"/>
          <w:szCs w:val="24"/>
          <w:lang w:eastAsia="zh-CN"/>
        </w:rPr>
      </w:pPr>
    </w:p>
    <w:p w14:paraId="13DFF529">
      <w:pPr>
        <w:rPr>
          <w:rFonts w:ascii="方正楷体_GB2312" w:hAnsi="方正楷体_GB2312" w:eastAsia="方正楷体_GB2312" w:cs="方正楷体_GB2312"/>
          <w:b/>
          <w:bCs/>
          <w:snapToGrid/>
          <w:kern w:val="2"/>
          <w:sz w:val="24"/>
          <w:szCs w:val="24"/>
          <w:lang w:eastAsia="zh-CN"/>
        </w:rPr>
      </w:pPr>
    </w:p>
    <w:p w14:paraId="11CCF4DF">
      <w:pPr>
        <w:pStyle w:val="9"/>
        <w:rPr>
          <w:rFonts w:ascii="方正楷体_GB2312" w:hAnsi="方正楷体_GB2312" w:eastAsia="方正楷体_GB2312" w:cs="方正楷体_GB2312"/>
          <w:b/>
          <w:bCs/>
          <w:snapToGrid/>
          <w:kern w:val="2"/>
          <w:sz w:val="24"/>
          <w:szCs w:val="24"/>
          <w:lang w:eastAsia="zh-CN"/>
        </w:rPr>
      </w:pPr>
    </w:p>
    <w:p w14:paraId="7EDAD3B8">
      <w:pPr>
        <w:pStyle w:val="6"/>
        <w:rPr>
          <w:rFonts w:ascii="方正楷体_GB2312" w:hAnsi="方正楷体_GB2312" w:eastAsia="方正楷体_GB2312" w:cs="方正楷体_GB2312"/>
          <w:b/>
          <w:bCs/>
          <w:snapToGrid/>
          <w:kern w:val="2"/>
          <w:sz w:val="24"/>
          <w:szCs w:val="24"/>
          <w:lang w:eastAsia="zh-CN"/>
        </w:rPr>
      </w:pPr>
    </w:p>
    <w:p w14:paraId="657CC0FB">
      <w:pPr>
        <w:widowControl w:val="0"/>
        <w:kinsoku/>
        <w:autoSpaceDE/>
        <w:autoSpaceDN/>
        <w:adjustRightInd/>
        <w:snapToGrid/>
        <w:jc w:val="both"/>
        <w:textAlignment w:val="auto"/>
        <w:outlineLvl w:val="1"/>
        <w:rPr>
          <w:rFonts w:ascii="黑体" w:hAnsi="黑体" w:eastAsia="黑体" w:cs="黑体"/>
          <w:snapToGrid/>
          <w:kern w:val="2"/>
          <w:sz w:val="32"/>
          <w:szCs w:val="32"/>
          <w:lang w:eastAsia="zh-CN"/>
        </w:rPr>
        <w:sectPr>
          <w:pgSz w:w="16838" w:h="11906" w:orient="landscape"/>
          <w:pgMar w:top="1800" w:right="1440" w:bottom="1800" w:left="1440" w:header="851" w:footer="992" w:gutter="0"/>
          <w:cols w:space="425" w:num="1"/>
          <w:docGrid w:type="lines" w:linePitch="312" w:charSpace="0"/>
        </w:sectPr>
      </w:pPr>
      <w:bookmarkStart w:id="354" w:name="_Toc179409601"/>
      <w:bookmarkStart w:id="355" w:name="_Toc23085"/>
      <w:bookmarkStart w:id="356" w:name="_Toc2934"/>
      <w:bookmarkStart w:id="357" w:name="_Toc27868"/>
    </w:p>
    <w:p w14:paraId="10B3ACE0">
      <w:pPr>
        <w:widowControl w:val="0"/>
        <w:kinsoku/>
        <w:autoSpaceDE/>
        <w:autoSpaceDN/>
        <w:adjustRightInd/>
        <w:snapToGrid/>
        <w:jc w:val="both"/>
        <w:textAlignment w:val="auto"/>
        <w:outlineLvl w:val="1"/>
        <w:rPr>
          <w:rFonts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附件7</w:t>
      </w:r>
    </w:p>
    <w:p w14:paraId="57FBBEAD">
      <w:pPr>
        <w:widowControl w:val="0"/>
        <w:kinsoku/>
        <w:autoSpaceDE/>
        <w:autoSpaceDN/>
        <w:adjustRightInd/>
        <w:snapToGrid/>
        <w:spacing w:line="440" w:lineRule="exact"/>
        <w:jc w:val="center"/>
        <w:textAlignment w:val="auto"/>
        <w:outlineLvl w:val="1"/>
        <w:rPr>
          <w:rFonts w:ascii="方正楷体_GB2312" w:hAnsi="方正楷体_GB2312" w:eastAsia="方正楷体_GB2312" w:cs="方正楷体_GB2312"/>
          <w:b/>
          <w:bCs/>
          <w:snapToGrid/>
          <w:kern w:val="2"/>
          <w:sz w:val="36"/>
          <w:szCs w:val="36"/>
          <w:lang w:eastAsia="zh-CN"/>
        </w:rPr>
      </w:pPr>
      <w:r>
        <w:rPr>
          <w:rFonts w:hint="eastAsia" w:ascii="方正小标宋简体" w:hAnsi="方正小标宋简体" w:eastAsia="方正小标宋简体" w:cs="方正小标宋简体"/>
          <w:snapToGrid/>
          <w:kern w:val="2"/>
          <w:sz w:val="36"/>
          <w:szCs w:val="36"/>
          <w:lang w:eastAsia="zh-CN"/>
        </w:rPr>
        <w:t>重污染天气应急预案演习记录</w:t>
      </w:r>
      <w:bookmarkEnd w:id="354"/>
      <w:bookmarkEnd w:id="355"/>
      <w:bookmarkEnd w:id="356"/>
      <w:bookmarkEnd w:id="357"/>
    </w:p>
    <w:p w14:paraId="6FCEE09D">
      <w:pPr>
        <w:pStyle w:val="9"/>
        <w:jc w:val="center"/>
        <w:rPr>
          <w:rFonts w:ascii="方正小标宋简体" w:hAnsi="方正小标宋简体" w:eastAsia="方正小标宋简体" w:cs="方正小标宋简体"/>
          <w:snapToGrid/>
          <w:kern w:val="2"/>
          <w:sz w:val="36"/>
          <w:szCs w:val="36"/>
          <w:lang w:eastAsia="zh-CN"/>
        </w:rPr>
      </w:pPr>
      <w:r>
        <w:rPr>
          <w:rFonts w:hint="eastAsia" w:ascii="方正小标宋简体" w:hAnsi="方正小标宋简体" w:eastAsia="方正小标宋简体" w:cs="方正小标宋简体"/>
          <w:snapToGrid/>
          <w:kern w:val="2"/>
          <w:sz w:val="36"/>
          <w:szCs w:val="36"/>
          <w:lang w:eastAsia="zh-CN"/>
        </w:rPr>
        <w:t>重污染天气应急预案演习记录表</w:t>
      </w:r>
    </w:p>
    <w:tbl>
      <w:tblPr>
        <w:tblStyle w:val="15"/>
        <w:tblW w:w="8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8"/>
        <w:gridCol w:w="772"/>
        <w:gridCol w:w="879"/>
        <w:gridCol w:w="847"/>
        <w:gridCol w:w="350"/>
        <w:gridCol w:w="567"/>
        <w:gridCol w:w="526"/>
        <w:gridCol w:w="533"/>
        <w:gridCol w:w="672"/>
        <w:gridCol w:w="2497"/>
      </w:tblGrid>
      <w:tr w14:paraId="3648A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jc w:val="center"/>
        </w:trPr>
        <w:tc>
          <w:tcPr>
            <w:tcW w:w="1390" w:type="dxa"/>
            <w:gridSpan w:val="2"/>
            <w:tcBorders>
              <w:top w:val="single" w:color="000000" w:sz="10" w:space="0"/>
              <w:left w:val="single" w:color="000000" w:sz="10" w:space="0"/>
            </w:tcBorders>
            <w:vAlign w:val="center"/>
          </w:tcPr>
          <w:p w14:paraId="6E8BEB35">
            <w:pPr>
              <w:jc w:val="center"/>
              <w:rPr>
                <w:rFonts w:ascii="Times New Roman" w:hAnsi="Times New Roman" w:eastAsia="宋体" w:cs="Times New Roman"/>
                <w:lang w:eastAsia="zh-CN"/>
              </w:rPr>
            </w:pPr>
            <w:r>
              <w:rPr>
                <w:rFonts w:hint="eastAsia" w:ascii="Times New Roman" w:hAnsi="Times New Roman" w:eastAsia="宋体" w:cs="Times New Roman"/>
                <w:lang w:eastAsia="zh-CN"/>
              </w:rPr>
              <w:t>预案名称</w:t>
            </w:r>
          </w:p>
        </w:tc>
        <w:tc>
          <w:tcPr>
            <w:tcW w:w="2643" w:type="dxa"/>
            <w:gridSpan w:val="4"/>
            <w:tcBorders>
              <w:top w:val="single" w:color="000000" w:sz="10" w:space="0"/>
            </w:tcBorders>
            <w:vAlign w:val="center"/>
          </w:tcPr>
          <w:p w14:paraId="08CB39FB">
            <w:pPr>
              <w:jc w:val="center"/>
              <w:rPr>
                <w:rFonts w:ascii="Times New Roman" w:hAnsi="Times New Roman" w:eastAsia="宋体" w:cs="Times New Roman"/>
                <w:lang w:eastAsia="zh-CN"/>
              </w:rPr>
            </w:pPr>
          </w:p>
        </w:tc>
        <w:tc>
          <w:tcPr>
            <w:tcW w:w="1059" w:type="dxa"/>
            <w:gridSpan w:val="2"/>
            <w:tcBorders>
              <w:top w:val="single" w:color="000000" w:sz="10" w:space="0"/>
            </w:tcBorders>
            <w:vAlign w:val="center"/>
          </w:tcPr>
          <w:p w14:paraId="777C110C">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演习地点</w:t>
            </w:r>
          </w:p>
        </w:tc>
        <w:tc>
          <w:tcPr>
            <w:tcW w:w="3169" w:type="dxa"/>
            <w:gridSpan w:val="2"/>
            <w:tcBorders>
              <w:top w:val="single" w:color="000000" w:sz="10" w:space="0"/>
              <w:right w:val="single" w:color="000000" w:sz="10" w:space="0"/>
            </w:tcBorders>
            <w:vAlign w:val="center"/>
          </w:tcPr>
          <w:p w14:paraId="6DA6E268">
            <w:pPr>
              <w:jc w:val="center"/>
              <w:rPr>
                <w:rFonts w:ascii="Times New Roman" w:hAnsi="Times New Roman" w:eastAsia="宋体" w:cs="Times New Roman"/>
                <w:lang w:eastAsia="zh-CN"/>
              </w:rPr>
            </w:pPr>
          </w:p>
        </w:tc>
      </w:tr>
      <w:tr w14:paraId="22C1F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390" w:type="dxa"/>
            <w:gridSpan w:val="2"/>
            <w:tcBorders>
              <w:left w:val="single" w:color="000000" w:sz="10" w:space="0"/>
            </w:tcBorders>
            <w:vAlign w:val="center"/>
          </w:tcPr>
          <w:p w14:paraId="1BA5BE8A">
            <w:pPr>
              <w:jc w:val="center"/>
              <w:rPr>
                <w:rFonts w:ascii="Times New Roman" w:hAnsi="Times New Roman" w:eastAsia="宋体" w:cs="Times New Roman"/>
                <w:lang w:eastAsia="zh-CN"/>
              </w:rPr>
            </w:pPr>
            <w:r>
              <w:rPr>
                <w:rFonts w:hint="eastAsia" w:ascii="Times New Roman" w:hAnsi="Times New Roman" w:eastAsia="宋体" w:cs="Times New Roman"/>
                <w:lang w:eastAsia="zh-CN"/>
              </w:rPr>
              <w:t>组织部门</w:t>
            </w:r>
          </w:p>
        </w:tc>
        <w:tc>
          <w:tcPr>
            <w:tcW w:w="879" w:type="dxa"/>
            <w:vAlign w:val="center"/>
          </w:tcPr>
          <w:p w14:paraId="408B8069">
            <w:pPr>
              <w:jc w:val="center"/>
              <w:rPr>
                <w:rFonts w:ascii="Times New Roman" w:hAnsi="Times New Roman" w:eastAsia="宋体" w:cs="Times New Roman"/>
                <w:lang w:eastAsia="zh-CN"/>
              </w:rPr>
            </w:pPr>
          </w:p>
        </w:tc>
        <w:tc>
          <w:tcPr>
            <w:tcW w:w="847" w:type="dxa"/>
            <w:vAlign w:val="center"/>
          </w:tcPr>
          <w:p w14:paraId="42CA1289">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总指挥</w:t>
            </w:r>
          </w:p>
        </w:tc>
        <w:tc>
          <w:tcPr>
            <w:tcW w:w="917" w:type="dxa"/>
            <w:gridSpan w:val="2"/>
            <w:vAlign w:val="center"/>
          </w:tcPr>
          <w:p w14:paraId="5D35FC2B">
            <w:pPr>
              <w:jc w:val="center"/>
              <w:rPr>
                <w:rFonts w:ascii="Times New Roman" w:hAnsi="Times New Roman" w:eastAsia="宋体" w:cs="Times New Roman"/>
                <w:lang w:eastAsia="zh-CN"/>
              </w:rPr>
            </w:pPr>
          </w:p>
        </w:tc>
        <w:tc>
          <w:tcPr>
            <w:tcW w:w="1059" w:type="dxa"/>
            <w:gridSpan w:val="2"/>
            <w:vAlign w:val="center"/>
          </w:tcPr>
          <w:p w14:paraId="7B17D4C2">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演习时间</w:t>
            </w:r>
          </w:p>
        </w:tc>
        <w:tc>
          <w:tcPr>
            <w:tcW w:w="3169" w:type="dxa"/>
            <w:gridSpan w:val="2"/>
            <w:tcBorders>
              <w:right w:val="single" w:color="000000" w:sz="10" w:space="0"/>
            </w:tcBorders>
            <w:vAlign w:val="center"/>
          </w:tcPr>
          <w:p w14:paraId="5C4A2032">
            <w:pPr>
              <w:jc w:val="center"/>
              <w:rPr>
                <w:rFonts w:ascii="Times New Roman" w:hAnsi="Times New Roman" w:eastAsia="宋体" w:cs="Times New Roman"/>
                <w:lang w:eastAsia="zh-CN"/>
              </w:rPr>
            </w:pPr>
          </w:p>
        </w:tc>
      </w:tr>
      <w:tr w14:paraId="30F4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1390" w:type="dxa"/>
            <w:gridSpan w:val="2"/>
            <w:tcBorders>
              <w:left w:val="single" w:color="000000" w:sz="10" w:space="0"/>
            </w:tcBorders>
            <w:vAlign w:val="center"/>
          </w:tcPr>
          <w:p w14:paraId="0585195A">
            <w:pPr>
              <w:jc w:val="center"/>
              <w:rPr>
                <w:rFonts w:ascii="Times New Roman" w:hAnsi="Times New Roman" w:eastAsia="宋体" w:cs="Times New Roman"/>
                <w:lang w:eastAsia="zh-CN"/>
              </w:rPr>
            </w:pPr>
            <w:r>
              <w:rPr>
                <w:rFonts w:hint="eastAsia" w:ascii="Times New Roman" w:hAnsi="Times New Roman" w:eastAsia="宋体" w:cs="Times New Roman"/>
                <w:lang w:eastAsia="zh-CN"/>
              </w:rPr>
              <w:t>参加部门和单位</w:t>
            </w:r>
          </w:p>
        </w:tc>
        <w:tc>
          <w:tcPr>
            <w:tcW w:w="3169" w:type="dxa"/>
            <w:gridSpan w:val="5"/>
            <w:vAlign w:val="center"/>
          </w:tcPr>
          <w:p w14:paraId="5E2A3A88">
            <w:pPr>
              <w:jc w:val="center"/>
              <w:rPr>
                <w:rFonts w:ascii="Times New Roman" w:hAnsi="Times New Roman" w:eastAsia="宋体" w:cs="Times New Roman"/>
                <w:lang w:eastAsia="zh-CN"/>
              </w:rPr>
            </w:pPr>
          </w:p>
        </w:tc>
        <w:tc>
          <w:tcPr>
            <w:tcW w:w="1205" w:type="dxa"/>
            <w:gridSpan w:val="2"/>
            <w:vAlign w:val="center"/>
          </w:tcPr>
          <w:p w14:paraId="15144D06">
            <w:pPr>
              <w:jc w:val="center"/>
              <w:rPr>
                <w:rFonts w:ascii="Times New Roman" w:hAnsi="Times New Roman" w:eastAsia="宋体" w:cs="Times New Roman"/>
                <w:lang w:eastAsia="zh-CN"/>
              </w:rPr>
            </w:pPr>
          </w:p>
          <w:p w14:paraId="46DB9BF2">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演习方式</w:t>
            </w:r>
          </w:p>
        </w:tc>
        <w:tc>
          <w:tcPr>
            <w:tcW w:w="2497" w:type="dxa"/>
            <w:tcBorders>
              <w:right w:val="single" w:color="000000" w:sz="10" w:space="0"/>
            </w:tcBorders>
            <w:vAlign w:val="center"/>
          </w:tcPr>
          <w:p w14:paraId="71FA78AA">
            <w:pPr>
              <w:jc w:val="center"/>
              <w:rPr>
                <w:rFonts w:ascii="Times New Roman" w:hAnsi="Times New Roman" w:eastAsia="宋体" w:cs="Times New Roman"/>
                <w:lang w:eastAsia="zh-CN"/>
              </w:rPr>
            </w:pPr>
          </w:p>
        </w:tc>
      </w:tr>
      <w:tr w14:paraId="19F3B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jc w:val="center"/>
        </w:trPr>
        <w:tc>
          <w:tcPr>
            <w:tcW w:w="1390" w:type="dxa"/>
            <w:gridSpan w:val="2"/>
            <w:tcBorders>
              <w:left w:val="single" w:color="000000" w:sz="10" w:space="0"/>
            </w:tcBorders>
            <w:vAlign w:val="center"/>
          </w:tcPr>
          <w:p w14:paraId="1C79321A">
            <w:pPr>
              <w:jc w:val="center"/>
              <w:rPr>
                <w:rFonts w:ascii="Times New Roman" w:hAnsi="Times New Roman" w:eastAsia="宋体" w:cs="Times New Roman"/>
                <w:lang w:eastAsia="zh-CN"/>
              </w:rPr>
            </w:pPr>
          </w:p>
          <w:p w14:paraId="7083D37A">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演习类别</w:t>
            </w:r>
          </w:p>
        </w:tc>
        <w:tc>
          <w:tcPr>
            <w:tcW w:w="2076" w:type="dxa"/>
            <w:gridSpan w:val="3"/>
            <w:vAlign w:val="center"/>
          </w:tcPr>
          <w:p w14:paraId="0C54ECD4">
            <w:pPr>
              <w:jc w:val="center"/>
              <w:rPr>
                <w:rFonts w:ascii="Times New Roman" w:hAnsi="Times New Roman" w:eastAsia="宋体" w:cs="Times New Roman"/>
                <w:lang w:eastAsia="zh-CN"/>
              </w:rPr>
            </w:pPr>
          </w:p>
        </w:tc>
        <w:tc>
          <w:tcPr>
            <w:tcW w:w="4795" w:type="dxa"/>
            <w:gridSpan w:val="5"/>
            <w:tcBorders>
              <w:right w:val="single" w:color="000000" w:sz="10" w:space="0"/>
            </w:tcBorders>
            <w:vAlign w:val="center"/>
          </w:tcPr>
          <w:p w14:paraId="310E3E15">
            <w:pPr>
              <w:rPr>
                <w:rFonts w:ascii="Times New Roman" w:hAnsi="Times New Roman" w:eastAsia="宋体" w:cs="Times New Roman"/>
                <w:lang w:eastAsia="zh-CN"/>
              </w:rPr>
            </w:pPr>
          </w:p>
          <w:p w14:paraId="0A7086E5">
            <w:pPr>
              <w:rPr>
                <w:rFonts w:ascii="Times New Roman" w:hAnsi="Times New Roman" w:eastAsia="宋体" w:cs="Times New Roman"/>
                <w:lang w:eastAsia="zh-CN"/>
              </w:rPr>
            </w:pPr>
            <w:r>
              <w:rPr>
                <w:rFonts w:hint="eastAsia" w:ascii="Times New Roman" w:hAnsi="Times New Roman" w:eastAsia="宋体" w:cs="Times New Roman"/>
                <w:lang w:eastAsia="zh-CN"/>
              </w:rPr>
              <w:t>演习程序：</w:t>
            </w:r>
          </w:p>
        </w:tc>
      </w:tr>
      <w:tr w14:paraId="4DC6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7" w:hRule="atLeast"/>
          <w:jc w:val="center"/>
        </w:trPr>
        <w:tc>
          <w:tcPr>
            <w:tcW w:w="1390" w:type="dxa"/>
            <w:gridSpan w:val="2"/>
            <w:tcBorders>
              <w:left w:val="single" w:color="000000" w:sz="10" w:space="0"/>
            </w:tcBorders>
            <w:vAlign w:val="center"/>
          </w:tcPr>
          <w:p w14:paraId="3678CC04">
            <w:pPr>
              <w:jc w:val="center"/>
              <w:rPr>
                <w:rFonts w:ascii="Times New Roman" w:hAnsi="Times New Roman" w:eastAsia="宋体" w:cs="Times New Roman"/>
                <w:lang w:eastAsia="zh-CN"/>
              </w:rPr>
            </w:pPr>
            <w:r>
              <w:rPr>
                <w:rFonts w:hint="eastAsia" w:ascii="Times New Roman" w:hAnsi="Times New Roman" w:eastAsia="宋体" w:cs="Times New Roman"/>
                <w:lang w:eastAsia="zh-CN"/>
              </w:rPr>
              <w:t>预案评审</w:t>
            </w:r>
          </w:p>
        </w:tc>
        <w:tc>
          <w:tcPr>
            <w:tcW w:w="6871" w:type="dxa"/>
            <w:gridSpan w:val="8"/>
            <w:tcBorders>
              <w:right w:val="single" w:color="000000" w:sz="10" w:space="0"/>
            </w:tcBorders>
            <w:vAlign w:val="center"/>
          </w:tcPr>
          <w:p w14:paraId="53378ACC">
            <w:pPr>
              <w:rPr>
                <w:rFonts w:ascii="Times New Roman" w:hAnsi="Times New Roman" w:eastAsia="宋体" w:cs="Times New Roman"/>
                <w:lang w:eastAsia="zh-CN"/>
              </w:rPr>
            </w:pPr>
            <w:r>
              <w:rPr>
                <w:rFonts w:hint="eastAsia" w:ascii="Times New Roman" w:hAnsi="Times New Roman" w:eastAsia="宋体" w:cs="Times New Roman"/>
                <w:lang w:eastAsia="zh-CN"/>
              </w:rPr>
              <w:t>□适宜性：全部能够执行</w:t>
            </w:r>
          </w:p>
          <w:p w14:paraId="14D489AE">
            <w:pPr>
              <w:rPr>
                <w:rFonts w:ascii="Times New Roman" w:hAnsi="Times New Roman" w:eastAsia="宋体" w:cs="Times New Roman"/>
                <w:lang w:eastAsia="zh-CN"/>
              </w:rPr>
            </w:pPr>
            <w:r>
              <w:rPr>
                <w:rFonts w:hint="eastAsia" w:ascii="Times New Roman" w:hAnsi="Times New Roman" w:eastAsia="宋体" w:cs="Times New Roman"/>
                <w:lang w:eastAsia="zh-CN"/>
              </w:rPr>
              <w:t>□执行过程不够顺利</w:t>
            </w:r>
          </w:p>
          <w:p w14:paraId="38B29C52">
            <w:pPr>
              <w:rPr>
                <w:rFonts w:ascii="Times New Roman" w:hAnsi="Times New Roman" w:eastAsia="宋体" w:cs="Times New Roman"/>
                <w:lang w:eastAsia="zh-CN"/>
              </w:rPr>
            </w:pPr>
            <w:r>
              <w:rPr>
                <w:rFonts w:hint="eastAsia" w:ascii="Times New Roman" w:hAnsi="Times New Roman" w:eastAsia="宋体" w:cs="Times New Roman"/>
                <w:lang w:eastAsia="zh-CN"/>
              </w:rPr>
              <w:t>□明显不适宜</w:t>
            </w:r>
          </w:p>
          <w:p w14:paraId="3723D3E6">
            <w:pPr>
              <w:rPr>
                <w:rFonts w:ascii="Times New Roman" w:hAnsi="Times New Roman" w:eastAsia="宋体" w:cs="Times New Roman"/>
                <w:lang w:eastAsia="zh-CN"/>
              </w:rPr>
            </w:pPr>
            <w:r>
              <w:rPr>
                <w:rFonts w:hint="eastAsia" w:ascii="Times New Roman" w:hAnsi="Times New Roman" w:eastAsia="宋体" w:cs="Times New Roman"/>
                <w:lang w:eastAsia="zh-CN"/>
              </w:rPr>
              <w:t>□充分性：完全满足应急要求</w:t>
            </w:r>
          </w:p>
          <w:p w14:paraId="7484FDC9">
            <w:pPr>
              <w:rPr>
                <w:rFonts w:ascii="Times New Roman" w:hAnsi="Times New Roman" w:eastAsia="宋体" w:cs="Times New Roman"/>
                <w:lang w:eastAsia="zh-CN"/>
              </w:rPr>
            </w:pPr>
            <w:r>
              <w:rPr>
                <w:rFonts w:hint="eastAsia" w:ascii="Times New Roman" w:hAnsi="Times New Roman" w:eastAsia="宋体" w:cs="Times New Roman"/>
                <w:lang w:eastAsia="zh-CN"/>
              </w:rPr>
              <w:t>□基本满足需要完善</w:t>
            </w:r>
          </w:p>
          <w:p w14:paraId="2D09030E">
            <w:pPr>
              <w:rPr>
                <w:rFonts w:ascii="Times New Roman" w:hAnsi="Times New Roman" w:eastAsia="宋体" w:cs="Times New Roman"/>
                <w:lang w:eastAsia="zh-CN"/>
              </w:rPr>
            </w:pPr>
            <w:r>
              <w:rPr>
                <w:rFonts w:hint="eastAsia" w:ascii="Times New Roman" w:hAnsi="Times New Roman" w:eastAsia="宋体" w:cs="Times New Roman"/>
                <w:lang w:eastAsia="zh-CN"/>
              </w:rPr>
              <w:t>□不充分，必须修改</w:t>
            </w:r>
          </w:p>
        </w:tc>
      </w:tr>
      <w:tr w14:paraId="547E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jc w:val="center"/>
        </w:trPr>
        <w:tc>
          <w:tcPr>
            <w:tcW w:w="618" w:type="dxa"/>
            <w:vMerge w:val="restart"/>
            <w:tcBorders>
              <w:left w:val="single" w:color="000000" w:sz="10" w:space="0"/>
            </w:tcBorders>
            <w:vAlign w:val="center"/>
          </w:tcPr>
          <w:p w14:paraId="63904BE9">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 效果 评审</w:t>
            </w:r>
          </w:p>
        </w:tc>
        <w:tc>
          <w:tcPr>
            <w:tcW w:w="772" w:type="dxa"/>
            <w:vAlign w:val="center"/>
          </w:tcPr>
          <w:p w14:paraId="31BD2281">
            <w:pPr>
              <w:jc w:val="center"/>
              <w:rPr>
                <w:rFonts w:ascii="Times New Roman" w:hAnsi="Times New Roman" w:eastAsia="宋体" w:cs="Times New Roman"/>
                <w:lang w:eastAsia="zh-CN"/>
              </w:rPr>
            </w:pPr>
            <w:r>
              <w:rPr>
                <w:rFonts w:hint="eastAsia" w:ascii="Times New Roman" w:hAnsi="Times New Roman" w:eastAsia="宋体" w:cs="Times New Roman"/>
                <w:lang w:eastAsia="zh-CN"/>
              </w:rPr>
              <w:t>人员到位情况</w:t>
            </w:r>
          </w:p>
        </w:tc>
        <w:tc>
          <w:tcPr>
            <w:tcW w:w="6871" w:type="dxa"/>
            <w:gridSpan w:val="8"/>
            <w:tcBorders>
              <w:right w:val="single" w:color="000000" w:sz="10" w:space="0"/>
            </w:tcBorders>
            <w:vAlign w:val="center"/>
          </w:tcPr>
          <w:p w14:paraId="3FE1882E">
            <w:pPr>
              <w:rPr>
                <w:rFonts w:ascii="Times New Roman" w:hAnsi="Times New Roman" w:eastAsia="宋体" w:cs="Times New Roman"/>
                <w:lang w:eastAsia="zh-CN"/>
              </w:rPr>
            </w:pPr>
          </w:p>
          <w:p w14:paraId="5BF4681B">
            <w:pPr>
              <w:rPr>
                <w:rFonts w:ascii="Times New Roman" w:hAnsi="Times New Roman" w:eastAsia="宋体" w:cs="Times New Roman"/>
                <w:lang w:eastAsia="zh-CN"/>
              </w:rPr>
            </w:pPr>
            <w:r>
              <w:rPr>
                <w:rFonts w:hint="eastAsia" w:ascii="Times New Roman" w:hAnsi="Times New Roman" w:eastAsia="宋体" w:cs="Times New Roman"/>
                <w:lang w:eastAsia="zh-CN"/>
              </w:rPr>
              <w:t xml:space="preserve">□迅速准确 </w:t>
            </w:r>
          </w:p>
          <w:p w14:paraId="4A3213F8">
            <w:pPr>
              <w:rPr>
                <w:rFonts w:ascii="Times New Roman" w:hAnsi="Times New Roman" w:eastAsia="宋体" w:cs="Times New Roman"/>
                <w:lang w:eastAsia="zh-CN"/>
              </w:rPr>
            </w:pPr>
            <w:r>
              <w:rPr>
                <w:rFonts w:hint="eastAsia" w:ascii="Times New Roman" w:hAnsi="Times New Roman" w:eastAsia="宋体" w:cs="Times New Roman"/>
                <w:lang w:eastAsia="zh-CN"/>
              </w:rPr>
              <w:t>□基本按时到位</w:t>
            </w:r>
          </w:p>
          <w:p w14:paraId="7E34E0F7">
            <w:pPr>
              <w:rPr>
                <w:rFonts w:ascii="Times New Roman" w:hAnsi="Times New Roman" w:eastAsia="宋体" w:cs="Times New Roman"/>
                <w:lang w:eastAsia="zh-CN"/>
              </w:rPr>
            </w:pPr>
            <w:r>
              <w:rPr>
                <w:rFonts w:hint="eastAsia" w:ascii="Times New Roman" w:hAnsi="Times New Roman" w:eastAsia="宋体" w:cs="Times New Roman"/>
                <w:lang w:eastAsia="zh-CN"/>
              </w:rPr>
              <w:t>□个别人员不到位</w:t>
            </w:r>
          </w:p>
          <w:p w14:paraId="4DA755B2">
            <w:pPr>
              <w:rPr>
                <w:rFonts w:ascii="Times New Roman" w:hAnsi="Times New Roman" w:eastAsia="宋体" w:cs="Times New Roman"/>
                <w:lang w:eastAsia="zh-CN"/>
              </w:rPr>
            </w:pPr>
            <w:r>
              <w:rPr>
                <w:rFonts w:hint="eastAsia" w:ascii="Times New Roman" w:hAnsi="Times New Roman" w:eastAsia="宋体" w:cs="Times New Roman"/>
                <w:lang w:eastAsia="zh-CN"/>
              </w:rPr>
              <w:t>□重点部位人员不到位</w:t>
            </w:r>
          </w:p>
          <w:p w14:paraId="278F7225">
            <w:pPr>
              <w:rPr>
                <w:rFonts w:ascii="Times New Roman" w:hAnsi="Times New Roman" w:eastAsia="宋体" w:cs="Times New Roman"/>
                <w:lang w:eastAsia="zh-CN"/>
              </w:rPr>
            </w:pPr>
            <w:r>
              <w:rPr>
                <w:rFonts w:hint="eastAsia" w:ascii="Times New Roman" w:hAnsi="Times New Roman" w:eastAsia="宋体" w:cs="Times New Roman"/>
                <w:lang w:eastAsia="zh-CN"/>
              </w:rPr>
              <w:t>□职责明确，操作熟练</w:t>
            </w:r>
          </w:p>
          <w:p w14:paraId="451ABF2C">
            <w:pPr>
              <w:rPr>
                <w:rFonts w:ascii="Times New Roman" w:hAnsi="Times New Roman" w:eastAsia="宋体" w:cs="Times New Roman"/>
                <w:lang w:eastAsia="zh-CN"/>
              </w:rPr>
            </w:pPr>
            <w:r>
              <w:rPr>
                <w:rFonts w:hint="eastAsia" w:ascii="Times New Roman" w:hAnsi="Times New Roman" w:eastAsia="宋体" w:cs="Times New Roman"/>
                <w:lang w:eastAsia="zh-CN"/>
              </w:rPr>
              <w:t>□职责明确，操作不够熟练</w:t>
            </w:r>
          </w:p>
          <w:p w14:paraId="2E24CAA2">
            <w:pPr>
              <w:rPr>
                <w:rFonts w:ascii="Times New Roman" w:hAnsi="Times New Roman" w:eastAsia="宋体" w:cs="Times New Roman"/>
                <w:lang w:eastAsia="zh-CN"/>
              </w:rPr>
            </w:pPr>
            <w:r>
              <w:rPr>
                <w:rFonts w:hint="eastAsia" w:ascii="Times New Roman" w:hAnsi="Times New Roman" w:eastAsia="宋体" w:cs="Times New Roman"/>
                <w:lang w:eastAsia="zh-CN"/>
              </w:rPr>
              <w:t>□职责不明，操作不熟练</w:t>
            </w:r>
          </w:p>
        </w:tc>
      </w:tr>
      <w:tr w14:paraId="16AEF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1" w:hRule="atLeast"/>
          <w:jc w:val="center"/>
        </w:trPr>
        <w:tc>
          <w:tcPr>
            <w:tcW w:w="618" w:type="dxa"/>
            <w:vMerge w:val="continue"/>
            <w:tcBorders>
              <w:left w:val="single" w:color="000000" w:sz="10" w:space="0"/>
            </w:tcBorders>
          </w:tcPr>
          <w:p w14:paraId="14E42C6A">
            <w:pPr>
              <w:jc w:val="center"/>
              <w:rPr>
                <w:rFonts w:ascii="Times New Roman" w:hAnsi="Times New Roman" w:eastAsia="宋体" w:cs="Times New Roman"/>
                <w:lang w:eastAsia="zh-CN"/>
              </w:rPr>
            </w:pPr>
          </w:p>
        </w:tc>
        <w:tc>
          <w:tcPr>
            <w:tcW w:w="772" w:type="dxa"/>
            <w:tcBorders>
              <w:top w:val="single" w:color="000000" w:sz="10" w:space="0"/>
            </w:tcBorders>
          </w:tcPr>
          <w:p w14:paraId="1088A026">
            <w:pPr>
              <w:jc w:val="center"/>
              <w:rPr>
                <w:rFonts w:ascii="Times New Roman" w:hAnsi="Times New Roman" w:eastAsia="宋体" w:cs="Times New Roman"/>
                <w:lang w:eastAsia="zh-CN"/>
              </w:rPr>
            </w:pPr>
          </w:p>
          <w:p w14:paraId="647489C6">
            <w:pPr>
              <w:jc w:val="center"/>
              <w:rPr>
                <w:rFonts w:ascii="Times New Roman" w:hAnsi="Times New Roman" w:eastAsia="宋体" w:cs="Times New Roman"/>
                <w:lang w:eastAsia="zh-CN"/>
              </w:rPr>
            </w:pPr>
          </w:p>
          <w:p w14:paraId="65D66511">
            <w:pPr>
              <w:jc w:val="center"/>
              <w:rPr>
                <w:rFonts w:ascii="Times New Roman" w:hAnsi="Times New Roman" w:eastAsia="宋体" w:cs="Times New Roman"/>
                <w:lang w:eastAsia="zh-CN"/>
              </w:rPr>
            </w:pPr>
          </w:p>
          <w:p w14:paraId="6CF02BD8">
            <w:pPr>
              <w:jc w:val="center"/>
              <w:rPr>
                <w:rFonts w:ascii="Times New Roman" w:hAnsi="Times New Roman" w:eastAsia="宋体" w:cs="Times New Roman"/>
                <w:lang w:eastAsia="zh-CN"/>
              </w:rPr>
            </w:pPr>
          </w:p>
          <w:p w14:paraId="54CEE22C">
            <w:pPr>
              <w:jc w:val="center"/>
              <w:rPr>
                <w:rFonts w:ascii="Times New Roman" w:hAnsi="Times New Roman" w:eastAsia="宋体" w:cs="Times New Roman"/>
                <w:lang w:eastAsia="zh-CN"/>
              </w:rPr>
            </w:pPr>
          </w:p>
          <w:p w14:paraId="1FC7909F">
            <w:pPr>
              <w:jc w:val="center"/>
              <w:rPr>
                <w:rFonts w:ascii="Times New Roman" w:hAnsi="Times New Roman" w:eastAsia="宋体" w:cs="Times New Roman"/>
                <w:lang w:eastAsia="zh-CN"/>
              </w:rPr>
            </w:pPr>
          </w:p>
          <w:p w14:paraId="4603E70C">
            <w:pPr>
              <w:jc w:val="center"/>
              <w:rPr>
                <w:rFonts w:ascii="Times New Roman" w:hAnsi="Times New Roman" w:eastAsia="宋体" w:cs="Times New Roman"/>
                <w:lang w:eastAsia="zh-CN"/>
              </w:rPr>
            </w:pPr>
          </w:p>
          <w:p w14:paraId="1EC3958C">
            <w:pPr>
              <w:jc w:val="center"/>
              <w:rPr>
                <w:rFonts w:ascii="Times New Roman" w:hAnsi="Times New Roman" w:eastAsia="宋体" w:cs="Times New Roman"/>
                <w:lang w:eastAsia="zh-CN"/>
              </w:rPr>
            </w:pPr>
            <w:r>
              <w:rPr>
                <w:rFonts w:hint="eastAsia" w:ascii="Times New Roman" w:hAnsi="Times New Roman" w:eastAsia="宋体" w:cs="Times New Roman"/>
                <w:lang w:eastAsia="zh-CN"/>
              </w:rPr>
              <w:t>物资到 位情况</w:t>
            </w:r>
          </w:p>
        </w:tc>
        <w:tc>
          <w:tcPr>
            <w:tcW w:w="6871" w:type="dxa"/>
            <w:gridSpan w:val="8"/>
            <w:tcBorders>
              <w:top w:val="single" w:color="000000" w:sz="10" w:space="0"/>
              <w:right w:val="single" w:color="000000" w:sz="10" w:space="0"/>
            </w:tcBorders>
          </w:tcPr>
          <w:p w14:paraId="504CDBB3">
            <w:pPr>
              <w:rPr>
                <w:rFonts w:ascii="Times New Roman" w:hAnsi="Times New Roman" w:eastAsia="宋体" w:cs="Times New Roman"/>
                <w:lang w:eastAsia="zh-CN"/>
              </w:rPr>
            </w:pPr>
          </w:p>
          <w:p w14:paraId="2F953294">
            <w:pPr>
              <w:rPr>
                <w:rFonts w:ascii="Times New Roman" w:hAnsi="Times New Roman" w:eastAsia="宋体" w:cs="Times New Roman"/>
                <w:lang w:eastAsia="zh-CN"/>
              </w:rPr>
            </w:pPr>
          </w:p>
          <w:p w14:paraId="09C2155C">
            <w:pPr>
              <w:rPr>
                <w:rFonts w:ascii="Times New Roman" w:hAnsi="Times New Roman" w:eastAsia="宋体" w:cs="Times New Roman"/>
                <w:lang w:eastAsia="zh-CN"/>
              </w:rPr>
            </w:pPr>
          </w:p>
          <w:p w14:paraId="75BA29BC">
            <w:pPr>
              <w:rPr>
                <w:rFonts w:ascii="Times New Roman" w:hAnsi="Times New Roman" w:eastAsia="宋体" w:cs="Times New Roman"/>
                <w:lang w:eastAsia="zh-CN"/>
              </w:rPr>
            </w:pPr>
            <w:r>
              <w:rPr>
                <w:rFonts w:hint="eastAsia" w:ascii="Times New Roman" w:hAnsi="Times New Roman" w:eastAsia="宋体" w:cs="Times New Roman"/>
                <w:lang w:eastAsia="zh-CN"/>
              </w:rPr>
              <w:t>现场物资：</w:t>
            </w:r>
          </w:p>
          <w:p w14:paraId="01DFFDCC">
            <w:pPr>
              <w:rPr>
                <w:rFonts w:ascii="Times New Roman" w:hAnsi="Times New Roman" w:eastAsia="宋体" w:cs="Times New Roman"/>
                <w:lang w:eastAsia="zh-CN"/>
              </w:rPr>
            </w:pPr>
            <w:r>
              <w:rPr>
                <w:rFonts w:hint="eastAsia" w:ascii="Times New Roman" w:hAnsi="Times New Roman" w:eastAsia="宋体" w:cs="Times New Roman"/>
                <w:lang w:eastAsia="zh-CN"/>
              </w:rPr>
              <w:t>□现场物资充分，全部有效</w:t>
            </w:r>
          </w:p>
          <w:p w14:paraId="09182F30">
            <w:pPr>
              <w:rPr>
                <w:rFonts w:ascii="Times New Roman" w:hAnsi="Times New Roman" w:eastAsia="宋体" w:cs="Times New Roman"/>
                <w:lang w:eastAsia="zh-CN"/>
              </w:rPr>
            </w:pPr>
            <w:r>
              <w:rPr>
                <w:rFonts w:hint="eastAsia" w:ascii="Times New Roman" w:hAnsi="Times New Roman" w:eastAsia="宋体" w:cs="Times New Roman"/>
                <w:lang w:eastAsia="zh-CN"/>
              </w:rPr>
              <w:t>□现场准备不充分</w:t>
            </w:r>
          </w:p>
          <w:p w14:paraId="7FD70121">
            <w:pPr>
              <w:rPr>
                <w:rFonts w:ascii="Times New Roman" w:hAnsi="Times New Roman" w:eastAsia="宋体" w:cs="Times New Roman"/>
                <w:lang w:eastAsia="zh-CN"/>
              </w:rPr>
            </w:pPr>
            <w:r>
              <w:rPr>
                <w:rFonts w:hint="eastAsia" w:ascii="Times New Roman" w:hAnsi="Times New Roman" w:eastAsia="宋体" w:cs="Times New Roman"/>
                <w:lang w:eastAsia="zh-CN"/>
              </w:rPr>
              <w:t>□现场物资严重缺乏</w:t>
            </w:r>
          </w:p>
          <w:p w14:paraId="765344C3">
            <w:pPr>
              <w:rPr>
                <w:rFonts w:ascii="Times New Roman" w:hAnsi="Times New Roman" w:eastAsia="宋体" w:cs="Times New Roman"/>
                <w:lang w:eastAsia="zh-CN"/>
              </w:rPr>
            </w:pPr>
            <w:r>
              <w:rPr>
                <w:rFonts w:hint="eastAsia" w:ascii="Times New Roman" w:hAnsi="Times New Roman" w:eastAsia="宋体" w:cs="Times New Roman"/>
                <w:lang w:eastAsia="zh-CN"/>
              </w:rPr>
              <w:t>个人防护：</w:t>
            </w:r>
          </w:p>
          <w:p w14:paraId="7381F296">
            <w:pPr>
              <w:rPr>
                <w:rFonts w:ascii="Times New Roman" w:hAnsi="Times New Roman" w:eastAsia="宋体" w:cs="Times New Roman"/>
                <w:lang w:eastAsia="zh-CN"/>
              </w:rPr>
            </w:pPr>
            <w:r>
              <w:rPr>
                <w:rFonts w:hint="eastAsia" w:ascii="Times New Roman" w:hAnsi="Times New Roman" w:eastAsia="宋体" w:cs="Times New Roman"/>
                <w:lang w:eastAsia="zh-CN"/>
              </w:rPr>
              <w:t>□全部人员防护到位</w:t>
            </w:r>
          </w:p>
          <w:p w14:paraId="5B44472C">
            <w:pPr>
              <w:rPr>
                <w:rFonts w:ascii="Times New Roman" w:hAnsi="Times New Roman" w:eastAsia="宋体" w:cs="Times New Roman"/>
                <w:lang w:eastAsia="zh-CN"/>
              </w:rPr>
            </w:pPr>
            <w:r>
              <w:rPr>
                <w:rFonts w:hint="eastAsia" w:ascii="Times New Roman" w:hAnsi="Times New Roman" w:eastAsia="宋体" w:cs="Times New Roman"/>
                <w:lang w:eastAsia="zh-CN"/>
              </w:rPr>
              <w:t>□个别人员防护不到位</w:t>
            </w:r>
          </w:p>
          <w:p w14:paraId="656B455D">
            <w:pPr>
              <w:rPr>
                <w:rFonts w:ascii="Times New Roman" w:hAnsi="Times New Roman" w:eastAsia="宋体" w:cs="Times New Roman"/>
                <w:lang w:eastAsia="zh-CN"/>
              </w:rPr>
            </w:pPr>
            <w:r>
              <w:rPr>
                <w:rFonts w:hint="eastAsia" w:ascii="Times New Roman" w:hAnsi="Times New Roman" w:eastAsia="宋体" w:cs="Times New Roman"/>
                <w:lang w:eastAsia="zh-CN"/>
              </w:rPr>
              <w:t>□大部分人员防护不到位</w:t>
            </w:r>
          </w:p>
          <w:p w14:paraId="5F50ED94">
            <w:pPr>
              <w:rPr>
                <w:rFonts w:ascii="Times New Roman" w:hAnsi="Times New Roman" w:eastAsia="宋体" w:cs="Times New Roman"/>
                <w:lang w:eastAsia="zh-CN"/>
              </w:rPr>
            </w:pPr>
          </w:p>
          <w:p w14:paraId="3EB73D14">
            <w:pPr>
              <w:rPr>
                <w:rFonts w:ascii="Times New Roman" w:hAnsi="Times New Roman" w:eastAsia="宋体" w:cs="Times New Roman"/>
                <w:lang w:eastAsia="zh-CN"/>
              </w:rPr>
            </w:pPr>
          </w:p>
        </w:tc>
      </w:tr>
      <w:tr w14:paraId="3473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1" w:hRule="atLeast"/>
          <w:jc w:val="center"/>
        </w:trPr>
        <w:tc>
          <w:tcPr>
            <w:tcW w:w="618" w:type="dxa"/>
            <w:vMerge w:val="continue"/>
            <w:tcBorders>
              <w:left w:val="single" w:color="000000" w:sz="10" w:space="0"/>
            </w:tcBorders>
          </w:tcPr>
          <w:p w14:paraId="51D9C406">
            <w:pPr>
              <w:jc w:val="center"/>
              <w:rPr>
                <w:rFonts w:ascii="Times New Roman" w:hAnsi="Times New Roman" w:eastAsia="宋体" w:cs="Times New Roman"/>
                <w:lang w:eastAsia="zh-CN"/>
              </w:rPr>
            </w:pPr>
          </w:p>
        </w:tc>
        <w:tc>
          <w:tcPr>
            <w:tcW w:w="772" w:type="dxa"/>
          </w:tcPr>
          <w:p w14:paraId="2A4203AE">
            <w:pPr>
              <w:jc w:val="center"/>
              <w:rPr>
                <w:rFonts w:ascii="Times New Roman" w:hAnsi="Times New Roman" w:eastAsia="宋体" w:cs="Times New Roman"/>
                <w:lang w:eastAsia="zh-CN"/>
              </w:rPr>
            </w:pPr>
          </w:p>
          <w:p w14:paraId="4193FA76">
            <w:pPr>
              <w:jc w:val="center"/>
              <w:rPr>
                <w:rFonts w:ascii="Times New Roman" w:hAnsi="Times New Roman" w:eastAsia="宋体" w:cs="Times New Roman"/>
                <w:lang w:eastAsia="zh-CN"/>
              </w:rPr>
            </w:pPr>
          </w:p>
          <w:p w14:paraId="64FC48F2">
            <w:pPr>
              <w:jc w:val="center"/>
              <w:rPr>
                <w:rFonts w:ascii="Times New Roman" w:hAnsi="Times New Roman" w:eastAsia="宋体" w:cs="Times New Roman"/>
                <w:lang w:eastAsia="zh-CN"/>
              </w:rPr>
            </w:pPr>
          </w:p>
          <w:p w14:paraId="3D876214">
            <w:pPr>
              <w:jc w:val="center"/>
              <w:rPr>
                <w:rFonts w:ascii="Times New Roman" w:hAnsi="Times New Roman" w:eastAsia="宋体" w:cs="Times New Roman"/>
                <w:lang w:eastAsia="zh-CN"/>
              </w:rPr>
            </w:pPr>
            <w:r>
              <w:rPr>
                <w:rFonts w:hint="eastAsia" w:ascii="Times New Roman" w:hAnsi="Times New Roman" w:eastAsia="宋体" w:cs="Times New Roman"/>
                <w:lang w:eastAsia="zh-CN"/>
              </w:rPr>
              <w:t>协调组 织情况</w:t>
            </w:r>
          </w:p>
        </w:tc>
        <w:tc>
          <w:tcPr>
            <w:tcW w:w="6871" w:type="dxa"/>
            <w:gridSpan w:val="8"/>
            <w:tcBorders>
              <w:right w:val="single" w:color="000000" w:sz="10" w:space="0"/>
            </w:tcBorders>
            <w:vAlign w:val="center"/>
          </w:tcPr>
          <w:p w14:paraId="0DCA5DE7">
            <w:pPr>
              <w:rPr>
                <w:rFonts w:ascii="Times New Roman" w:hAnsi="Times New Roman" w:eastAsia="宋体" w:cs="Times New Roman"/>
                <w:lang w:eastAsia="zh-CN"/>
              </w:rPr>
            </w:pPr>
            <w:r>
              <w:rPr>
                <w:rFonts w:hint="eastAsia" w:ascii="Times New Roman" w:hAnsi="Times New Roman" w:eastAsia="宋体" w:cs="Times New Roman"/>
                <w:lang w:eastAsia="zh-CN"/>
              </w:rPr>
              <w:t>整体组织：</w:t>
            </w:r>
          </w:p>
          <w:p w14:paraId="27812915">
            <w:pPr>
              <w:rPr>
                <w:rFonts w:ascii="Times New Roman" w:hAnsi="Times New Roman" w:eastAsia="宋体" w:cs="Times New Roman"/>
                <w:lang w:eastAsia="zh-CN"/>
              </w:rPr>
            </w:pPr>
            <w:r>
              <w:rPr>
                <w:rFonts w:hint="eastAsia" w:ascii="Times New Roman" w:hAnsi="Times New Roman" w:eastAsia="宋体" w:cs="Times New Roman"/>
                <w:lang w:eastAsia="zh-CN"/>
              </w:rPr>
              <w:t>□准确、高效</w:t>
            </w:r>
          </w:p>
          <w:p w14:paraId="2111CD05">
            <w:pPr>
              <w:rPr>
                <w:rFonts w:ascii="Times New Roman" w:hAnsi="Times New Roman" w:eastAsia="宋体" w:cs="Times New Roman"/>
                <w:lang w:eastAsia="zh-CN"/>
              </w:rPr>
            </w:pPr>
            <w:r>
              <w:rPr>
                <w:rFonts w:hint="eastAsia" w:ascii="Times New Roman" w:hAnsi="Times New Roman" w:eastAsia="宋体" w:cs="Times New Roman"/>
                <w:lang w:eastAsia="zh-CN"/>
              </w:rPr>
              <w:t>□协调基本顺利，能满足要求</w:t>
            </w:r>
          </w:p>
          <w:p w14:paraId="42F2E9BF">
            <w:pPr>
              <w:rPr>
                <w:rFonts w:ascii="Times New Roman" w:hAnsi="Times New Roman" w:eastAsia="宋体" w:cs="Times New Roman"/>
                <w:lang w:eastAsia="zh-CN"/>
              </w:rPr>
            </w:pPr>
            <w:r>
              <w:rPr>
                <w:rFonts w:hint="eastAsia" w:ascii="Times New Roman" w:hAnsi="Times New Roman" w:eastAsia="宋体" w:cs="Times New Roman"/>
                <w:lang w:eastAsia="zh-CN"/>
              </w:rPr>
              <w:t xml:space="preserve">□效率低，有待改进 </w:t>
            </w:r>
          </w:p>
          <w:p w14:paraId="7BFE0F50">
            <w:pPr>
              <w:rPr>
                <w:rFonts w:ascii="Times New Roman" w:hAnsi="Times New Roman" w:eastAsia="宋体" w:cs="Times New Roman"/>
                <w:lang w:eastAsia="zh-CN"/>
              </w:rPr>
            </w:pPr>
            <w:r>
              <w:rPr>
                <w:rFonts w:hint="eastAsia" w:ascii="Times New Roman" w:hAnsi="Times New Roman" w:eastAsia="宋体" w:cs="Times New Roman"/>
                <w:lang w:eastAsia="zh-CN"/>
              </w:rPr>
              <w:t>疏散组分工：</w:t>
            </w:r>
          </w:p>
          <w:p w14:paraId="5C9E627A">
            <w:pPr>
              <w:rPr>
                <w:rFonts w:ascii="Times New Roman" w:hAnsi="Times New Roman" w:eastAsia="宋体" w:cs="Times New Roman"/>
                <w:lang w:eastAsia="zh-CN"/>
              </w:rPr>
            </w:pPr>
            <w:r>
              <w:rPr>
                <w:rFonts w:hint="eastAsia" w:ascii="Times New Roman" w:hAnsi="Times New Roman" w:eastAsia="宋体" w:cs="Times New Roman"/>
                <w:lang w:eastAsia="zh-CN"/>
              </w:rPr>
              <w:t>□安全、快速</w:t>
            </w:r>
          </w:p>
          <w:p w14:paraId="4334CA3F">
            <w:pPr>
              <w:rPr>
                <w:rFonts w:ascii="Times New Roman" w:hAnsi="Times New Roman" w:eastAsia="宋体" w:cs="Times New Roman"/>
                <w:lang w:eastAsia="zh-CN"/>
              </w:rPr>
            </w:pPr>
            <w:r>
              <w:rPr>
                <w:rFonts w:hint="eastAsia" w:ascii="Times New Roman" w:hAnsi="Times New Roman" w:eastAsia="宋体" w:cs="Times New Roman"/>
                <w:lang w:eastAsia="zh-CN"/>
              </w:rPr>
              <w:t>□基本能完成任务</w:t>
            </w:r>
          </w:p>
          <w:p w14:paraId="5B3FAA40">
            <w:pPr>
              <w:rPr>
                <w:rFonts w:ascii="Times New Roman" w:hAnsi="Times New Roman" w:eastAsia="宋体" w:cs="Times New Roman"/>
                <w:lang w:eastAsia="zh-CN"/>
              </w:rPr>
            </w:pPr>
            <w:r>
              <w:rPr>
                <w:rFonts w:hint="eastAsia" w:ascii="Times New Roman" w:hAnsi="Times New Roman" w:eastAsia="宋体" w:cs="Times New Roman"/>
                <w:lang w:eastAsia="zh-CN"/>
              </w:rPr>
              <w:t>□效率低，没有完成任务</w:t>
            </w:r>
          </w:p>
        </w:tc>
      </w:tr>
      <w:tr w14:paraId="7983B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jc w:val="center"/>
        </w:trPr>
        <w:tc>
          <w:tcPr>
            <w:tcW w:w="618" w:type="dxa"/>
            <w:vMerge w:val="continue"/>
            <w:tcBorders>
              <w:left w:val="single" w:color="000000" w:sz="10" w:space="0"/>
            </w:tcBorders>
          </w:tcPr>
          <w:p w14:paraId="470AD685">
            <w:pPr>
              <w:jc w:val="center"/>
              <w:rPr>
                <w:rFonts w:ascii="Times New Roman" w:hAnsi="Times New Roman" w:eastAsia="宋体" w:cs="Times New Roman"/>
                <w:lang w:eastAsia="zh-CN"/>
              </w:rPr>
            </w:pPr>
          </w:p>
        </w:tc>
        <w:tc>
          <w:tcPr>
            <w:tcW w:w="772" w:type="dxa"/>
            <w:tcBorders>
              <w:bottom w:val="single" w:color="000000" w:sz="10" w:space="0"/>
            </w:tcBorders>
            <w:vAlign w:val="center"/>
          </w:tcPr>
          <w:p w14:paraId="05D4948C">
            <w:pPr>
              <w:jc w:val="center"/>
              <w:rPr>
                <w:rFonts w:ascii="Times New Roman" w:hAnsi="Times New Roman" w:eastAsia="宋体" w:cs="Times New Roman"/>
                <w:lang w:eastAsia="zh-CN"/>
              </w:rPr>
            </w:pPr>
            <w:r>
              <w:rPr>
                <w:rFonts w:hint="eastAsia" w:ascii="Times New Roman" w:hAnsi="Times New Roman" w:eastAsia="宋体" w:cs="Times New Roman"/>
                <w:lang w:eastAsia="zh-CN"/>
              </w:rPr>
              <w:t>实战效 果评价</w:t>
            </w:r>
          </w:p>
        </w:tc>
        <w:tc>
          <w:tcPr>
            <w:tcW w:w="6871" w:type="dxa"/>
            <w:gridSpan w:val="8"/>
            <w:tcBorders>
              <w:bottom w:val="single" w:color="000000" w:sz="10" w:space="0"/>
              <w:right w:val="single" w:color="000000" w:sz="10" w:space="0"/>
            </w:tcBorders>
            <w:vAlign w:val="center"/>
          </w:tcPr>
          <w:p w14:paraId="4753655F">
            <w:pPr>
              <w:rPr>
                <w:rFonts w:ascii="Times New Roman" w:hAnsi="Times New Roman" w:eastAsia="宋体" w:cs="Times New Roman"/>
                <w:lang w:eastAsia="zh-CN"/>
              </w:rPr>
            </w:pPr>
          </w:p>
          <w:p w14:paraId="6564D549">
            <w:pPr>
              <w:rPr>
                <w:rFonts w:ascii="Times New Roman" w:hAnsi="Times New Roman" w:eastAsia="宋体" w:cs="Times New Roman"/>
                <w:lang w:eastAsia="zh-CN"/>
              </w:rPr>
            </w:pPr>
            <w:r>
              <w:rPr>
                <w:rFonts w:hint="eastAsia" w:ascii="Times New Roman" w:hAnsi="Times New Roman" w:eastAsia="宋体" w:cs="Times New Roman"/>
                <w:lang w:eastAsia="zh-CN"/>
              </w:rPr>
              <w:t>达到预期目标</w:t>
            </w:r>
          </w:p>
          <w:p w14:paraId="6857414F">
            <w:pPr>
              <w:rPr>
                <w:rFonts w:ascii="Times New Roman" w:hAnsi="Times New Roman" w:eastAsia="宋体" w:cs="Times New Roman"/>
                <w:lang w:eastAsia="zh-CN"/>
              </w:rPr>
            </w:pPr>
            <w:r>
              <w:rPr>
                <w:rFonts w:hint="eastAsia" w:ascii="Times New Roman" w:hAnsi="Times New Roman" w:eastAsia="宋体" w:cs="Times New Roman"/>
                <w:lang w:eastAsia="zh-CN"/>
              </w:rPr>
              <w:t>□基本达到目的，部分环节有待改进</w:t>
            </w:r>
          </w:p>
          <w:p w14:paraId="76717433">
            <w:pPr>
              <w:rPr>
                <w:rFonts w:ascii="Times New Roman" w:hAnsi="Times New Roman" w:eastAsia="宋体" w:cs="Times New Roman"/>
                <w:lang w:eastAsia="zh-CN"/>
              </w:rPr>
            </w:pPr>
            <w:r>
              <w:rPr>
                <w:rFonts w:hint="eastAsia" w:ascii="Times New Roman" w:hAnsi="Times New Roman" w:eastAsia="宋体" w:cs="Times New Roman"/>
                <w:lang w:eastAsia="zh-CN"/>
              </w:rPr>
              <w:t>□没有达到目标，须重新演练</w:t>
            </w:r>
          </w:p>
        </w:tc>
      </w:tr>
      <w:tr w14:paraId="329D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6" w:hRule="atLeast"/>
          <w:jc w:val="center"/>
        </w:trPr>
        <w:tc>
          <w:tcPr>
            <w:tcW w:w="618" w:type="dxa"/>
            <w:vMerge w:val="continue"/>
            <w:tcBorders>
              <w:left w:val="single" w:color="000000" w:sz="10" w:space="0"/>
            </w:tcBorders>
          </w:tcPr>
          <w:p w14:paraId="4CECBFF5">
            <w:pPr>
              <w:jc w:val="center"/>
              <w:rPr>
                <w:rFonts w:ascii="Times New Roman" w:hAnsi="Times New Roman" w:eastAsia="宋体" w:cs="Times New Roman"/>
                <w:lang w:eastAsia="zh-CN"/>
              </w:rPr>
            </w:pPr>
          </w:p>
        </w:tc>
        <w:tc>
          <w:tcPr>
            <w:tcW w:w="772" w:type="dxa"/>
            <w:tcBorders>
              <w:top w:val="single" w:color="000000" w:sz="10" w:space="0"/>
            </w:tcBorders>
            <w:vAlign w:val="center"/>
          </w:tcPr>
          <w:p w14:paraId="318CF7BE">
            <w:pPr>
              <w:jc w:val="center"/>
              <w:rPr>
                <w:rFonts w:ascii="Times New Roman" w:hAnsi="Times New Roman" w:eastAsia="宋体" w:cs="Times New Roman"/>
                <w:lang w:eastAsia="zh-CN"/>
              </w:rPr>
            </w:pPr>
          </w:p>
          <w:p w14:paraId="0808F06B">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支援部</w:t>
            </w:r>
          </w:p>
          <w:p w14:paraId="59FBFBC8">
            <w:pPr>
              <w:jc w:val="center"/>
              <w:rPr>
                <w:rFonts w:ascii="Times New Roman" w:hAnsi="Times New Roman" w:eastAsia="宋体" w:cs="Times New Roman"/>
                <w:lang w:eastAsia="zh-CN"/>
              </w:rPr>
            </w:pPr>
            <w:r>
              <w:rPr>
                <w:rFonts w:hint="eastAsia" w:ascii="Times New Roman" w:hAnsi="Times New Roman" w:eastAsia="宋体" w:cs="Times New Roman"/>
                <w:lang w:eastAsia="zh-CN"/>
              </w:rPr>
              <w:t>门和协</w:t>
            </w:r>
          </w:p>
          <w:p w14:paraId="32F7095D">
            <w:pPr>
              <w:jc w:val="center"/>
              <w:rPr>
                <w:rFonts w:ascii="Times New Roman" w:hAnsi="Times New Roman" w:eastAsia="宋体" w:cs="Times New Roman"/>
                <w:lang w:eastAsia="zh-CN"/>
              </w:rPr>
            </w:pPr>
            <w:r>
              <w:rPr>
                <w:rFonts w:hint="eastAsia" w:ascii="Times New Roman" w:hAnsi="Times New Roman" w:eastAsia="宋体" w:cs="Times New Roman"/>
                <w:lang w:eastAsia="zh-CN"/>
              </w:rPr>
              <w:t>作有效</w:t>
            </w:r>
          </w:p>
          <w:p w14:paraId="4A2F093B">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性</w:t>
            </w:r>
          </w:p>
        </w:tc>
        <w:tc>
          <w:tcPr>
            <w:tcW w:w="6871" w:type="dxa"/>
            <w:gridSpan w:val="8"/>
            <w:tcBorders>
              <w:top w:val="single" w:color="000000" w:sz="10" w:space="0"/>
              <w:right w:val="single" w:color="000000" w:sz="10" w:space="0"/>
            </w:tcBorders>
            <w:vAlign w:val="center"/>
          </w:tcPr>
          <w:p w14:paraId="0981EB1D">
            <w:pPr>
              <w:rPr>
                <w:rFonts w:ascii="Times New Roman" w:hAnsi="Times New Roman" w:eastAsia="宋体" w:cs="Times New Roman"/>
                <w:lang w:eastAsia="zh-CN"/>
              </w:rPr>
            </w:pPr>
            <w:r>
              <w:rPr>
                <w:rFonts w:hint="eastAsia" w:ascii="Times New Roman" w:hAnsi="Times New Roman" w:eastAsia="宋体" w:cs="Times New Roman"/>
                <w:lang w:eastAsia="zh-CN"/>
              </w:rPr>
              <w:t>报告上级：</w:t>
            </w:r>
          </w:p>
          <w:p w14:paraId="5825605F">
            <w:pPr>
              <w:rPr>
                <w:rFonts w:ascii="Times New Roman" w:hAnsi="Times New Roman" w:eastAsia="宋体" w:cs="Times New Roman"/>
                <w:lang w:eastAsia="zh-CN"/>
              </w:rPr>
            </w:pPr>
            <w:r>
              <w:rPr>
                <w:rFonts w:hint="eastAsia" w:ascii="Times New Roman" w:hAnsi="Times New Roman" w:eastAsia="宋体" w:cs="Times New Roman"/>
                <w:lang w:eastAsia="zh-CN"/>
              </w:rPr>
              <w:t>□报告及时</w:t>
            </w:r>
          </w:p>
          <w:p w14:paraId="2CEEF621">
            <w:pPr>
              <w:rPr>
                <w:rFonts w:ascii="Times New Roman" w:hAnsi="Times New Roman" w:eastAsia="宋体" w:cs="Times New Roman"/>
                <w:lang w:eastAsia="zh-CN"/>
              </w:rPr>
            </w:pPr>
            <w:r>
              <w:rPr>
                <w:rFonts w:hint="eastAsia" w:ascii="Times New Roman" w:hAnsi="Times New Roman" w:eastAsia="宋体" w:cs="Times New Roman"/>
                <w:lang w:eastAsia="zh-CN"/>
              </w:rPr>
              <w:t xml:space="preserve">□联系不上 </w:t>
            </w:r>
          </w:p>
          <w:p w14:paraId="66650CC1">
            <w:pPr>
              <w:rPr>
                <w:rFonts w:ascii="Times New Roman" w:hAnsi="Times New Roman" w:eastAsia="宋体" w:cs="Times New Roman"/>
                <w:lang w:eastAsia="zh-CN"/>
              </w:rPr>
            </w:pPr>
            <w:r>
              <w:rPr>
                <w:rFonts w:hint="eastAsia" w:ascii="Times New Roman" w:hAnsi="Times New Roman" w:eastAsia="宋体" w:cs="Times New Roman"/>
                <w:lang w:eastAsia="zh-CN"/>
              </w:rPr>
              <w:t>安全部门：</w:t>
            </w:r>
          </w:p>
          <w:p w14:paraId="4DA72DDE">
            <w:pPr>
              <w:rPr>
                <w:rFonts w:ascii="Times New Roman" w:hAnsi="Times New Roman" w:eastAsia="宋体" w:cs="Times New Roman"/>
                <w:lang w:eastAsia="zh-CN"/>
              </w:rPr>
            </w:pPr>
            <w:r>
              <w:rPr>
                <w:rFonts w:hint="eastAsia" w:ascii="Times New Roman" w:hAnsi="Times New Roman" w:eastAsia="宋体" w:cs="Times New Roman"/>
                <w:lang w:eastAsia="zh-CN"/>
              </w:rPr>
              <w:t>□按要求协作</w:t>
            </w:r>
          </w:p>
          <w:p w14:paraId="21976AC0">
            <w:pPr>
              <w:rPr>
                <w:rFonts w:ascii="Times New Roman" w:hAnsi="Times New Roman" w:eastAsia="宋体" w:cs="Times New Roman"/>
                <w:lang w:eastAsia="zh-CN"/>
              </w:rPr>
            </w:pPr>
            <w:r>
              <w:rPr>
                <w:rFonts w:hint="eastAsia" w:ascii="Times New Roman" w:hAnsi="Times New Roman" w:eastAsia="宋体" w:cs="Times New Roman"/>
                <w:lang w:eastAsia="zh-CN"/>
              </w:rPr>
              <w:t>□行动迟缓</w:t>
            </w:r>
          </w:p>
          <w:p w14:paraId="48E71E11">
            <w:pPr>
              <w:rPr>
                <w:rFonts w:ascii="Times New Roman" w:hAnsi="Times New Roman" w:eastAsia="宋体" w:cs="Times New Roman"/>
                <w:lang w:eastAsia="zh-CN"/>
              </w:rPr>
            </w:pPr>
            <w:r>
              <w:rPr>
                <w:rFonts w:hint="eastAsia" w:ascii="Times New Roman" w:hAnsi="Times New Roman" w:eastAsia="宋体" w:cs="Times New Roman"/>
                <w:lang w:eastAsia="zh-CN"/>
              </w:rPr>
              <w:t>救援、后勤部门：</w:t>
            </w:r>
          </w:p>
          <w:p w14:paraId="6579559B">
            <w:pPr>
              <w:rPr>
                <w:rFonts w:ascii="Times New Roman" w:hAnsi="Times New Roman" w:eastAsia="宋体" w:cs="Times New Roman"/>
                <w:lang w:eastAsia="zh-CN"/>
              </w:rPr>
            </w:pPr>
            <w:r>
              <w:rPr>
                <w:rFonts w:hint="eastAsia" w:ascii="Times New Roman" w:hAnsi="Times New Roman" w:eastAsia="宋体" w:cs="Times New Roman"/>
                <w:lang w:eastAsia="zh-CN"/>
              </w:rPr>
              <w:t>□按要求协作</w:t>
            </w:r>
          </w:p>
          <w:p w14:paraId="7AD5F691">
            <w:pPr>
              <w:rPr>
                <w:rFonts w:ascii="Times New Roman" w:hAnsi="Times New Roman" w:eastAsia="宋体" w:cs="Times New Roman"/>
                <w:lang w:eastAsia="zh-CN"/>
              </w:rPr>
            </w:pPr>
            <w:r>
              <w:rPr>
                <w:rFonts w:hint="eastAsia" w:ascii="Times New Roman" w:hAnsi="Times New Roman" w:eastAsia="宋体" w:cs="Times New Roman"/>
                <w:lang w:eastAsia="zh-CN"/>
              </w:rPr>
              <w:t>□行动迟缓</w:t>
            </w:r>
          </w:p>
          <w:p w14:paraId="7D612204">
            <w:pPr>
              <w:rPr>
                <w:rFonts w:ascii="Times New Roman" w:hAnsi="Times New Roman" w:eastAsia="宋体" w:cs="Times New Roman"/>
                <w:lang w:eastAsia="zh-CN"/>
              </w:rPr>
            </w:pPr>
            <w:r>
              <w:rPr>
                <w:rFonts w:hint="eastAsia" w:ascii="Times New Roman" w:hAnsi="Times New Roman" w:eastAsia="宋体" w:cs="Times New Roman"/>
                <w:lang w:eastAsia="zh-CN"/>
              </w:rPr>
              <w:t>警戒、撤离配合：</w:t>
            </w:r>
          </w:p>
          <w:p w14:paraId="1262F1B6">
            <w:pPr>
              <w:rPr>
                <w:rFonts w:ascii="Times New Roman" w:hAnsi="Times New Roman" w:eastAsia="宋体" w:cs="Times New Roman"/>
                <w:lang w:eastAsia="zh-CN"/>
              </w:rPr>
            </w:pPr>
            <w:r>
              <w:rPr>
                <w:rFonts w:hint="eastAsia" w:ascii="Times New Roman" w:hAnsi="Times New Roman" w:eastAsia="宋体" w:cs="Times New Roman"/>
                <w:lang w:eastAsia="zh-CN"/>
              </w:rPr>
              <w:t>□按要求配合</w:t>
            </w:r>
          </w:p>
          <w:p w14:paraId="78DF8923">
            <w:pPr>
              <w:rPr>
                <w:rFonts w:ascii="Times New Roman" w:hAnsi="Times New Roman" w:eastAsia="宋体" w:cs="Times New Roman"/>
                <w:lang w:eastAsia="zh-CN"/>
              </w:rPr>
            </w:pPr>
            <w:r>
              <w:rPr>
                <w:rFonts w:hint="eastAsia" w:ascii="Times New Roman" w:hAnsi="Times New Roman" w:eastAsia="宋体" w:cs="Times New Roman"/>
                <w:lang w:eastAsia="zh-CN"/>
              </w:rPr>
              <w:t>□不配合</w:t>
            </w:r>
          </w:p>
        </w:tc>
      </w:tr>
      <w:tr w14:paraId="7B5D2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9" w:hRule="atLeast"/>
          <w:jc w:val="center"/>
        </w:trPr>
        <w:tc>
          <w:tcPr>
            <w:tcW w:w="1390" w:type="dxa"/>
            <w:gridSpan w:val="2"/>
            <w:tcBorders>
              <w:left w:val="single" w:color="000000" w:sz="10" w:space="0"/>
            </w:tcBorders>
          </w:tcPr>
          <w:p w14:paraId="4C758280">
            <w:pPr>
              <w:jc w:val="center"/>
              <w:rPr>
                <w:rFonts w:ascii="Times New Roman" w:hAnsi="Times New Roman" w:eastAsia="宋体" w:cs="Times New Roman"/>
                <w:lang w:eastAsia="zh-CN"/>
              </w:rPr>
            </w:pPr>
          </w:p>
          <w:p w14:paraId="531C4376">
            <w:pPr>
              <w:jc w:val="center"/>
              <w:rPr>
                <w:rFonts w:ascii="Times New Roman" w:hAnsi="Times New Roman" w:eastAsia="宋体" w:cs="Times New Roman"/>
                <w:lang w:eastAsia="zh-CN"/>
              </w:rPr>
            </w:pPr>
          </w:p>
          <w:p w14:paraId="7E54F355">
            <w:pPr>
              <w:jc w:val="center"/>
              <w:rPr>
                <w:rFonts w:ascii="Times New Roman" w:hAnsi="Times New Roman" w:eastAsia="宋体" w:cs="Times New Roman"/>
                <w:lang w:eastAsia="zh-CN"/>
              </w:rPr>
            </w:pPr>
          </w:p>
          <w:p w14:paraId="1C08128B">
            <w:pPr>
              <w:jc w:val="center"/>
              <w:rPr>
                <w:rFonts w:ascii="Times New Roman" w:hAnsi="Times New Roman" w:eastAsia="宋体" w:cs="Times New Roman"/>
                <w:lang w:eastAsia="zh-CN"/>
              </w:rPr>
            </w:pPr>
          </w:p>
          <w:p w14:paraId="7CBC3256">
            <w:pPr>
              <w:jc w:val="center"/>
              <w:rPr>
                <w:rFonts w:ascii="Times New Roman" w:hAnsi="Times New Roman" w:eastAsia="宋体" w:cs="Times New Roman"/>
                <w:lang w:eastAsia="zh-CN"/>
              </w:rPr>
            </w:pPr>
            <w:r>
              <w:rPr>
                <w:rFonts w:hint="eastAsia" w:ascii="Times New Roman" w:hAnsi="Times New Roman" w:eastAsia="宋体" w:cs="Times New Roman"/>
                <w:lang w:eastAsia="zh-CN"/>
              </w:rPr>
              <w:t>存在问题</w:t>
            </w:r>
          </w:p>
        </w:tc>
        <w:tc>
          <w:tcPr>
            <w:tcW w:w="6871" w:type="dxa"/>
            <w:gridSpan w:val="8"/>
            <w:tcBorders>
              <w:right w:val="single" w:color="000000" w:sz="10" w:space="0"/>
            </w:tcBorders>
          </w:tcPr>
          <w:p w14:paraId="5AE41742">
            <w:pPr>
              <w:jc w:val="center"/>
              <w:rPr>
                <w:rFonts w:ascii="Times New Roman" w:hAnsi="Times New Roman" w:eastAsia="宋体" w:cs="Times New Roman"/>
                <w:lang w:eastAsia="zh-CN"/>
              </w:rPr>
            </w:pPr>
          </w:p>
        </w:tc>
      </w:tr>
      <w:tr w14:paraId="1BE6E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8" w:hRule="atLeast"/>
          <w:jc w:val="center"/>
        </w:trPr>
        <w:tc>
          <w:tcPr>
            <w:tcW w:w="1390" w:type="dxa"/>
            <w:gridSpan w:val="2"/>
            <w:tcBorders>
              <w:left w:val="single" w:color="000000" w:sz="10" w:space="0"/>
              <w:bottom w:val="single" w:color="000000" w:sz="10" w:space="0"/>
            </w:tcBorders>
          </w:tcPr>
          <w:p w14:paraId="40EC34CD">
            <w:pPr>
              <w:jc w:val="center"/>
              <w:rPr>
                <w:rFonts w:ascii="Times New Roman" w:hAnsi="Times New Roman" w:eastAsia="宋体" w:cs="Times New Roman"/>
                <w:lang w:eastAsia="zh-CN"/>
              </w:rPr>
            </w:pPr>
          </w:p>
          <w:p w14:paraId="40B26D52">
            <w:pPr>
              <w:jc w:val="center"/>
              <w:rPr>
                <w:rFonts w:ascii="Times New Roman" w:hAnsi="Times New Roman" w:eastAsia="宋体" w:cs="Times New Roman"/>
                <w:lang w:eastAsia="zh-CN"/>
              </w:rPr>
            </w:pPr>
          </w:p>
          <w:p w14:paraId="1818BC42">
            <w:pPr>
              <w:jc w:val="center"/>
              <w:rPr>
                <w:rFonts w:ascii="Times New Roman" w:hAnsi="Times New Roman" w:eastAsia="宋体" w:cs="Times New Roman"/>
                <w:lang w:eastAsia="zh-CN"/>
              </w:rPr>
            </w:pPr>
          </w:p>
          <w:p w14:paraId="07FADECF">
            <w:pPr>
              <w:jc w:val="center"/>
              <w:rPr>
                <w:rFonts w:ascii="Times New Roman" w:hAnsi="Times New Roman" w:eastAsia="宋体" w:cs="Times New Roman"/>
                <w:lang w:eastAsia="zh-CN"/>
              </w:rPr>
            </w:pPr>
          </w:p>
          <w:p w14:paraId="3E4272D5">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改进措施</w:t>
            </w:r>
          </w:p>
        </w:tc>
        <w:tc>
          <w:tcPr>
            <w:tcW w:w="6871" w:type="dxa"/>
            <w:gridSpan w:val="8"/>
            <w:tcBorders>
              <w:bottom w:val="single" w:color="000000" w:sz="10" w:space="0"/>
              <w:right w:val="single" w:color="000000" w:sz="10" w:space="0"/>
            </w:tcBorders>
          </w:tcPr>
          <w:p w14:paraId="163C21BC">
            <w:pPr>
              <w:jc w:val="center"/>
              <w:rPr>
                <w:rFonts w:ascii="Times New Roman" w:hAnsi="Times New Roman" w:eastAsia="宋体" w:cs="Times New Roman"/>
                <w:lang w:eastAsia="zh-CN"/>
              </w:rPr>
            </w:pPr>
          </w:p>
        </w:tc>
      </w:tr>
    </w:tbl>
    <w:p w14:paraId="03378387">
      <w:pPr>
        <w:pStyle w:val="6"/>
        <w:rPr>
          <w:lang w:eastAsia="zh-CN"/>
        </w:rPr>
      </w:pPr>
    </w:p>
    <w:p w14:paraId="03BD8333">
      <w:pPr>
        <w:rPr>
          <w:lang w:eastAsia="zh-CN"/>
        </w:rPr>
      </w:pPr>
    </w:p>
    <w:p w14:paraId="185EF501">
      <w:pPr>
        <w:pStyle w:val="9"/>
        <w:rPr>
          <w:lang w:eastAsia="zh-CN"/>
        </w:rPr>
      </w:pPr>
    </w:p>
    <w:p w14:paraId="0DE9D7B0">
      <w:pPr>
        <w:pStyle w:val="6"/>
        <w:rPr>
          <w:lang w:eastAsia="zh-CN"/>
        </w:rPr>
      </w:pPr>
    </w:p>
    <w:p w14:paraId="5F04253C">
      <w:pPr>
        <w:widowControl w:val="0"/>
        <w:kinsoku/>
        <w:autoSpaceDE/>
        <w:autoSpaceDN/>
        <w:adjustRightInd/>
        <w:snapToGrid/>
        <w:jc w:val="both"/>
        <w:textAlignment w:val="auto"/>
        <w:outlineLvl w:val="1"/>
        <w:rPr>
          <w:rFonts w:ascii="黑体" w:hAnsi="黑体" w:eastAsia="黑体" w:cs="黑体"/>
          <w:snapToGrid/>
          <w:kern w:val="2"/>
          <w:sz w:val="32"/>
          <w:szCs w:val="32"/>
          <w:lang w:eastAsia="zh-CN"/>
        </w:rPr>
      </w:pPr>
      <w:bookmarkStart w:id="358" w:name="_Toc26642"/>
      <w:bookmarkStart w:id="359" w:name="_Toc31669"/>
      <w:bookmarkStart w:id="360" w:name="_Toc23685"/>
      <w:bookmarkStart w:id="361" w:name="_Toc179409602"/>
      <w:r>
        <w:rPr>
          <w:rFonts w:hint="eastAsia" w:ascii="黑体" w:hAnsi="黑体" w:eastAsia="黑体" w:cs="黑体"/>
          <w:snapToGrid/>
          <w:kern w:val="2"/>
          <w:sz w:val="32"/>
          <w:szCs w:val="32"/>
          <w:lang w:eastAsia="zh-CN"/>
        </w:rPr>
        <w:t>附</w:t>
      </w:r>
      <w:bookmarkEnd w:id="358"/>
      <w:bookmarkEnd w:id="359"/>
      <w:bookmarkEnd w:id="360"/>
      <w:r>
        <w:rPr>
          <w:rFonts w:hint="eastAsia" w:ascii="黑体" w:hAnsi="黑体" w:eastAsia="黑体" w:cs="黑体"/>
          <w:snapToGrid/>
          <w:kern w:val="2"/>
          <w:sz w:val="32"/>
          <w:szCs w:val="32"/>
          <w:lang w:eastAsia="zh-CN"/>
        </w:rPr>
        <w:t xml:space="preserve">件8 </w:t>
      </w:r>
      <w:bookmarkStart w:id="362" w:name="_Toc13992"/>
      <w:bookmarkStart w:id="363" w:name="_Toc23936"/>
      <w:bookmarkStart w:id="364" w:name="_Toc11896"/>
    </w:p>
    <w:p w14:paraId="3D154A06">
      <w:pPr>
        <w:widowControl w:val="0"/>
        <w:kinsoku/>
        <w:autoSpaceDE/>
        <w:autoSpaceDN/>
        <w:adjustRightInd/>
        <w:snapToGrid/>
        <w:spacing w:line="440" w:lineRule="exact"/>
        <w:jc w:val="center"/>
        <w:textAlignment w:val="auto"/>
        <w:outlineLvl w:val="1"/>
        <w:rPr>
          <w:rFonts w:ascii="方正小标宋简体" w:hAnsi="方正小标宋简体" w:eastAsia="方正小标宋简体" w:cs="方正小标宋简体"/>
          <w:snapToGrid/>
          <w:kern w:val="2"/>
          <w:sz w:val="32"/>
          <w:szCs w:val="32"/>
          <w:lang w:eastAsia="zh-CN"/>
        </w:rPr>
      </w:pPr>
      <w:r>
        <w:rPr>
          <w:rFonts w:hint="eastAsia" w:ascii="方正小标宋简体" w:hAnsi="方正小标宋简体" w:eastAsia="方正小标宋简体" w:cs="方正小标宋简体"/>
          <w:snapToGrid/>
          <w:kern w:val="2"/>
          <w:sz w:val="32"/>
          <w:szCs w:val="32"/>
          <w:lang w:eastAsia="zh-CN"/>
        </w:rPr>
        <w:t>重污染天气应急预案演习考核记录</w:t>
      </w:r>
      <w:bookmarkEnd w:id="361"/>
      <w:bookmarkEnd w:id="362"/>
      <w:bookmarkEnd w:id="363"/>
      <w:bookmarkEnd w:id="364"/>
    </w:p>
    <w:p w14:paraId="74C59474">
      <w:pPr>
        <w:jc w:val="center"/>
        <w:rPr>
          <w:rFonts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重污染天气应急预案演习考核记录表</w:t>
      </w:r>
    </w:p>
    <w:tbl>
      <w:tblPr>
        <w:tblStyle w:val="15"/>
        <w:tblW w:w="846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353"/>
        <w:gridCol w:w="953"/>
        <w:gridCol w:w="248"/>
        <w:gridCol w:w="729"/>
        <w:gridCol w:w="1120"/>
        <w:gridCol w:w="1549"/>
        <w:gridCol w:w="2682"/>
      </w:tblGrid>
      <w:tr w14:paraId="52B3A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180" w:type="dxa"/>
            <w:gridSpan w:val="2"/>
            <w:tcBorders>
              <w:top w:val="single" w:color="000000" w:sz="10" w:space="0"/>
              <w:left w:val="single" w:color="000000" w:sz="10" w:space="0"/>
            </w:tcBorders>
            <w:vAlign w:val="center"/>
          </w:tcPr>
          <w:p w14:paraId="5ADD22E5">
            <w:pPr>
              <w:jc w:val="center"/>
              <w:rPr>
                <w:rFonts w:ascii="Times New Roman" w:hAnsi="Times New Roman" w:eastAsia="宋体" w:cs="Times New Roman"/>
                <w:lang w:eastAsia="zh-CN"/>
              </w:rPr>
            </w:pPr>
            <w:r>
              <w:rPr>
                <w:rFonts w:hint="eastAsia" w:ascii="Times New Roman" w:hAnsi="Times New Roman" w:eastAsia="宋体" w:cs="Times New Roman"/>
                <w:lang w:eastAsia="zh-CN"/>
              </w:rPr>
              <w:t>预案名称</w:t>
            </w:r>
          </w:p>
        </w:tc>
        <w:tc>
          <w:tcPr>
            <w:tcW w:w="3050" w:type="dxa"/>
            <w:gridSpan w:val="4"/>
            <w:tcBorders>
              <w:top w:val="single" w:color="000000" w:sz="10" w:space="0"/>
            </w:tcBorders>
            <w:vAlign w:val="center"/>
          </w:tcPr>
          <w:p w14:paraId="709095A9">
            <w:pPr>
              <w:jc w:val="center"/>
              <w:rPr>
                <w:rFonts w:ascii="Times New Roman" w:hAnsi="Times New Roman" w:eastAsia="宋体" w:cs="Times New Roman"/>
                <w:lang w:eastAsia="zh-CN"/>
              </w:rPr>
            </w:pPr>
          </w:p>
        </w:tc>
        <w:tc>
          <w:tcPr>
            <w:tcW w:w="1549" w:type="dxa"/>
            <w:tcBorders>
              <w:top w:val="single" w:color="000000" w:sz="10" w:space="0"/>
            </w:tcBorders>
            <w:vAlign w:val="center"/>
          </w:tcPr>
          <w:p w14:paraId="75CA78DD">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演习地点</w:t>
            </w:r>
          </w:p>
        </w:tc>
        <w:tc>
          <w:tcPr>
            <w:tcW w:w="2682" w:type="dxa"/>
            <w:tcBorders>
              <w:top w:val="single" w:color="000000" w:sz="10" w:space="0"/>
              <w:right w:val="single" w:color="000000" w:sz="10" w:space="0"/>
            </w:tcBorders>
            <w:vAlign w:val="center"/>
          </w:tcPr>
          <w:p w14:paraId="738BBBE1">
            <w:pPr>
              <w:jc w:val="center"/>
              <w:rPr>
                <w:rFonts w:ascii="Times New Roman" w:hAnsi="Times New Roman" w:eastAsia="宋体" w:cs="Times New Roman"/>
                <w:lang w:eastAsia="zh-CN"/>
              </w:rPr>
            </w:pPr>
          </w:p>
        </w:tc>
      </w:tr>
      <w:tr w14:paraId="7019A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1180" w:type="dxa"/>
            <w:gridSpan w:val="2"/>
            <w:tcBorders>
              <w:left w:val="single" w:color="000000" w:sz="10" w:space="0"/>
            </w:tcBorders>
            <w:vAlign w:val="center"/>
          </w:tcPr>
          <w:p w14:paraId="5054C617">
            <w:pPr>
              <w:jc w:val="center"/>
              <w:rPr>
                <w:rFonts w:ascii="Times New Roman" w:hAnsi="Times New Roman" w:eastAsia="宋体" w:cs="Times New Roman"/>
                <w:lang w:eastAsia="zh-CN"/>
              </w:rPr>
            </w:pPr>
          </w:p>
          <w:p w14:paraId="5F404C67">
            <w:pPr>
              <w:jc w:val="center"/>
              <w:rPr>
                <w:rFonts w:ascii="Times New Roman" w:hAnsi="Times New Roman" w:eastAsia="宋体" w:cs="Times New Roman"/>
                <w:lang w:eastAsia="zh-CN"/>
              </w:rPr>
            </w:pPr>
            <w:r>
              <w:rPr>
                <w:rFonts w:hint="eastAsia" w:ascii="Times New Roman" w:hAnsi="Times New Roman" w:eastAsia="宋体" w:cs="Times New Roman"/>
                <w:lang w:eastAsia="zh-CN"/>
              </w:rPr>
              <w:t>组织部门</w:t>
            </w:r>
          </w:p>
        </w:tc>
        <w:tc>
          <w:tcPr>
            <w:tcW w:w="953" w:type="dxa"/>
            <w:vAlign w:val="center"/>
          </w:tcPr>
          <w:p w14:paraId="40BFE269">
            <w:pPr>
              <w:jc w:val="center"/>
              <w:rPr>
                <w:rFonts w:ascii="Times New Roman" w:hAnsi="Times New Roman" w:eastAsia="宋体" w:cs="Times New Roman"/>
                <w:lang w:eastAsia="zh-CN"/>
              </w:rPr>
            </w:pPr>
          </w:p>
        </w:tc>
        <w:tc>
          <w:tcPr>
            <w:tcW w:w="977" w:type="dxa"/>
            <w:gridSpan w:val="2"/>
            <w:vAlign w:val="center"/>
          </w:tcPr>
          <w:p w14:paraId="1C5DAB91">
            <w:pPr>
              <w:jc w:val="center"/>
              <w:rPr>
                <w:rFonts w:ascii="Times New Roman" w:hAnsi="Times New Roman" w:eastAsia="宋体" w:cs="Times New Roman"/>
                <w:lang w:eastAsia="zh-CN"/>
              </w:rPr>
            </w:pPr>
          </w:p>
          <w:p w14:paraId="508B8FD9">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总指挥</w:t>
            </w:r>
          </w:p>
        </w:tc>
        <w:tc>
          <w:tcPr>
            <w:tcW w:w="1120" w:type="dxa"/>
            <w:vAlign w:val="center"/>
          </w:tcPr>
          <w:p w14:paraId="151A5E30">
            <w:pPr>
              <w:jc w:val="center"/>
              <w:rPr>
                <w:rFonts w:ascii="Times New Roman" w:hAnsi="Times New Roman" w:eastAsia="宋体" w:cs="Times New Roman"/>
                <w:lang w:eastAsia="zh-CN"/>
              </w:rPr>
            </w:pPr>
          </w:p>
        </w:tc>
        <w:tc>
          <w:tcPr>
            <w:tcW w:w="1549" w:type="dxa"/>
            <w:vAlign w:val="center"/>
          </w:tcPr>
          <w:p w14:paraId="2F9C0F8F">
            <w:pPr>
              <w:jc w:val="center"/>
              <w:rPr>
                <w:rFonts w:ascii="Times New Roman" w:hAnsi="Times New Roman" w:eastAsia="宋体" w:cs="Times New Roman"/>
                <w:lang w:eastAsia="zh-CN"/>
              </w:rPr>
            </w:pPr>
          </w:p>
          <w:p w14:paraId="110DBCAA">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演习时间</w:t>
            </w:r>
          </w:p>
        </w:tc>
        <w:tc>
          <w:tcPr>
            <w:tcW w:w="2682" w:type="dxa"/>
            <w:tcBorders>
              <w:right w:val="single" w:color="000000" w:sz="10" w:space="0"/>
            </w:tcBorders>
            <w:vAlign w:val="center"/>
          </w:tcPr>
          <w:p w14:paraId="570B85D2">
            <w:pPr>
              <w:jc w:val="center"/>
              <w:rPr>
                <w:rFonts w:ascii="Times New Roman" w:hAnsi="Times New Roman" w:eastAsia="宋体" w:cs="Times New Roman"/>
                <w:lang w:eastAsia="zh-CN"/>
              </w:rPr>
            </w:pPr>
          </w:p>
        </w:tc>
      </w:tr>
      <w:tr w14:paraId="0B34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180" w:type="dxa"/>
            <w:gridSpan w:val="2"/>
            <w:vMerge w:val="restart"/>
            <w:tcBorders>
              <w:left w:val="single" w:color="000000" w:sz="10" w:space="0"/>
              <w:bottom w:val="nil"/>
            </w:tcBorders>
            <w:vAlign w:val="center"/>
          </w:tcPr>
          <w:p w14:paraId="2451869E">
            <w:pPr>
              <w:jc w:val="center"/>
              <w:rPr>
                <w:rFonts w:ascii="Times New Roman" w:hAnsi="Times New Roman" w:eastAsia="宋体" w:cs="Times New Roman"/>
                <w:lang w:eastAsia="zh-CN"/>
              </w:rPr>
            </w:pPr>
          </w:p>
          <w:p w14:paraId="66A61BE9">
            <w:pPr>
              <w:jc w:val="center"/>
              <w:rPr>
                <w:rFonts w:ascii="Times New Roman" w:hAnsi="Times New Roman" w:eastAsia="宋体" w:cs="Times New Roman"/>
                <w:lang w:eastAsia="zh-CN"/>
              </w:rPr>
            </w:pPr>
            <w:r>
              <w:rPr>
                <w:rFonts w:hint="eastAsia" w:ascii="Times New Roman" w:hAnsi="Times New Roman" w:eastAsia="宋体" w:cs="Times New Roman"/>
                <w:lang w:eastAsia="zh-CN"/>
              </w:rPr>
              <w:t>参加部门和单位</w:t>
            </w:r>
          </w:p>
        </w:tc>
        <w:tc>
          <w:tcPr>
            <w:tcW w:w="3050" w:type="dxa"/>
            <w:gridSpan w:val="4"/>
            <w:vMerge w:val="restart"/>
            <w:tcBorders>
              <w:bottom w:val="nil"/>
            </w:tcBorders>
            <w:vAlign w:val="center"/>
          </w:tcPr>
          <w:p w14:paraId="0D89A28C">
            <w:pPr>
              <w:jc w:val="center"/>
              <w:rPr>
                <w:rFonts w:ascii="Times New Roman" w:hAnsi="Times New Roman" w:eastAsia="宋体" w:cs="Times New Roman"/>
                <w:lang w:eastAsia="zh-CN"/>
              </w:rPr>
            </w:pPr>
          </w:p>
        </w:tc>
        <w:tc>
          <w:tcPr>
            <w:tcW w:w="1549" w:type="dxa"/>
            <w:vAlign w:val="center"/>
          </w:tcPr>
          <w:p w14:paraId="742D93B9">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演习类别</w:t>
            </w:r>
          </w:p>
        </w:tc>
        <w:tc>
          <w:tcPr>
            <w:tcW w:w="2682" w:type="dxa"/>
            <w:tcBorders>
              <w:right w:val="single" w:color="000000" w:sz="10" w:space="0"/>
            </w:tcBorders>
            <w:vAlign w:val="center"/>
          </w:tcPr>
          <w:p w14:paraId="13890942">
            <w:pPr>
              <w:jc w:val="center"/>
              <w:rPr>
                <w:rFonts w:ascii="Times New Roman" w:hAnsi="Times New Roman" w:eastAsia="宋体" w:cs="Times New Roman"/>
                <w:lang w:eastAsia="zh-CN"/>
              </w:rPr>
            </w:pPr>
          </w:p>
        </w:tc>
      </w:tr>
      <w:tr w14:paraId="01DA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80" w:type="dxa"/>
            <w:gridSpan w:val="2"/>
            <w:vMerge w:val="continue"/>
            <w:tcBorders>
              <w:top w:val="nil"/>
              <w:left w:val="single" w:color="000000" w:sz="10" w:space="0"/>
            </w:tcBorders>
            <w:vAlign w:val="center"/>
          </w:tcPr>
          <w:p w14:paraId="09CB73D8">
            <w:pPr>
              <w:jc w:val="center"/>
              <w:rPr>
                <w:rFonts w:ascii="Times New Roman" w:hAnsi="Times New Roman" w:eastAsia="宋体" w:cs="Times New Roman"/>
                <w:lang w:eastAsia="zh-CN"/>
              </w:rPr>
            </w:pPr>
          </w:p>
        </w:tc>
        <w:tc>
          <w:tcPr>
            <w:tcW w:w="3050" w:type="dxa"/>
            <w:gridSpan w:val="4"/>
            <w:vMerge w:val="continue"/>
            <w:tcBorders>
              <w:top w:val="nil"/>
            </w:tcBorders>
            <w:vAlign w:val="center"/>
          </w:tcPr>
          <w:p w14:paraId="5D27EAC7">
            <w:pPr>
              <w:jc w:val="center"/>
              <w:rPr>
                <w:rFonts w:ascii="Times New Roman" w:hAnsi="Times New Roman" w:eastAsia="宋体" w:cs="Times New Roman"/>
                <w:lang w:eastAsia="zh-CN"/>
              </w:rPr>
            </w:pPr>
          </w:p>
        </w:tc>
        <w:tc>
          <w:tcPr>
            <w:tcW w:w="1549" w:type="dxa"/>
            <w:vAlign w:val="center"/>
          </w:tcPr>
          <w:p w14:paraId="5F66AECE">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演习方式</w:t>
            </w:r>
          </w:p>
        </w:tc>
        <w:tc>
          <w:tcPr>
            <w:tcW w:w="2682" w:type="dxa"/>
            <w:tcBorders>
              <w:right w:val="single" w:color="000000" w:sz="10" w:space="0"/>
            </w:tcBorders>
            <w:vAlign w:val="center"/>
          </w:tcPr>
          <w:p w14:paraId="014CFEDD">
            <w:pPr>
              <w:jc w:val="center"/>
              <w:rPr>
                <w:rFonts w:ascii="Times New Roman" w:hAnsi="Times New Roman" w:eastAsia="宋体" w:cs="Times New Roman"/>
                <w:lang w:eastAsia="zh-CN"/>
              </w:rPr>
            </w:pPr>
          </w:p>
        </w:tc>
      </w:tr>
      <w:tr w14:paraId="141FC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461" w:type="dxa"/>
            <w:gridSpan w:val="8"/>
            <w:tcBorders>
              <w:left w:val="single" w:color="000000" w:sz="10" w:space="0"/>
              <w:right w:val="single" w:color="000000" w:sz="10" w:space="0"/>
            </w:tcBorders>
            <w:vAlign w:val="center"/>
          </w:tcPr>
          <w:p w14:paraId="26EE0418">
            <w:pPr>
              <w:rPr>
                <w:rFonts w:ascii="Times New Roman" w:hAnsi="Times New Roman" w:eastAsia="宋体" w:cs="Times New Roman"/>
                <w:lang w:eastAsia="zh-CN"/>
              </w:rPr>
            </w:pPr>
            <w:r>
              <w:rPr>
                <w:rFonts w:hint="eastAsia" w:ascii="Times New Roman" w:hAnsi="Times New Roman" w:eastAsia="宋体" w:cs="Times New Roman"/>
                <w:lang w:eastAsia="zh-CN"/>
              </w:rPr>
              <w:t>演习程序：</w:t>
            </w:r>
          </w:p>
        </w:tc>
      </w:tr>
      <w:tr w14:paraId="7F772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80" w:type="dxa"/>
            <w:gridSpan w:val="2"/>
            <w:tcBorders>
              <w:left w:val="single" w:color="000000" w:sz="10" w:space="0"/>
            </w:tcBorders>
            <w:vAlign w:val="center"/>
          </w:tcPr>
          <w:p w14:paraId="21B9A1C9">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演习描述</w:t>
            </w:r>
          </w:p>
        </w:tc>
        <w:tc>
          <w:tcPr>
            <w:tcW w:w="7281" w:type="dxa"/>
            <w:gridSpan w:val="6"/>
            <w:tcBorders>
              <w:right w:val="single" w:color="000000" w:sz="10" w:space="0"/>
            </w:tcBorders>
            <w:vAlign w:val="center"/>
          </w:tcPr>
          <w:p w14:paraId="698070E0">
            <w:pPr>
              <w:jc w:val="center"/>
              <w:rPr>
                <w:rFonts w:ascii="Times New Roman" w:hAnsi="Times New Roman" w:eastAsia="宋体" w:cs="Times New Roman"/>
                <w:lang w:eastAsia="zh-CN"/>
              </w:rPr>
            </w:pPr>
          </w:p>
        </w:tc>
      </w:tr>
      <w:tr w14:paraId="6ED1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27" w:type="dxa"/>
            <w:vMerge w:val="restart"/>
            <w:tcBorders>
              <w:left w:val="single" w:color="000000" w:sz="10" w:space="0"/>
              <w:bottom w:val="nil"/>
            </w:tcBorders>
            <w:vAlign w:val="center"/>
          </w:tcPr>
          <w:p w14:paraId="188E00D8">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演习效果评估</w:t>
            </w:r>
          </w:p>
        </w:tc>
        <w:tc>
          <w:tcPr>
            <w:tcW w:w="1554" w:type="dxa"/>
            <w:gridSpan w:val="3"/>
            <w:vAlign w:val="center"/>
          </w:tcPr>
          <w:p w14:paraId="1AC323A1">
            <w:pPr>
              <w:jc w:val="center"/>
              <w:rPr>
                <w:rFonts w:ascii="Times New Roman" w:hAnsi="Times New Roman" w:eastAsia="宋体" w:cs="Times New Roman"/>
                <w:lang w:eastAsia="zh-CN"/>
              </w:rPr>
            </w:pPr>
            <w:r>
              <w:rPr>
                <w:rFonts w:hint="eastAsia" w:ascii="Times New Roman" w:hAnsi="Times New Roman" w:eastAsia="宋体" w:cs="Times New Roman"/>
                <w:lang w:eastAsia="zh-CN"/>
              </w:rPr>
              <w:t>人员到位情况</w:t>
            </w:r>
          </w:p>
        </w:tc>
        <w:tc>
          <w:tcPr>
            <w:tcW w:w="1849" w:type="dxa"/>
            <w:gridSpan w:val="2"/>
            <w:vAlign w:val="center"/>
          </w:tcPr>
          <w:p w14:paraId="4B3AA411">
            <w:pPr>
              <w:jc w:val="center"/>
              <w:rPr>
                <w:rFonts w:ascii="Times New Roman" w:hAnsi="Times New Roman" w:eastAsia="宋体" w:cs="Times New Roman"/>
                <w:lang w:eastAsia="zh-CN"/>
              </w:rPr>
            </w:pPr>
          </w:p>
        </w:tc>
        <w:tc>
          <w:tcPr>
            <w:tcW w:w="4231" w:type="dxa"/>
            <w:gridSpan w:val="2"/>
            <w:tcBorders>
              <w:right w:val="single" w:color="000000" w:sz="10" w:space="0"/>
            </w:tcBorders>
            <w:vAlign w:val="center"/>
          </w:tcPr>
          <w:p w14:paraId="23B4EC15">
            <w:pPr>
              <w:jc w:val="center"/>
              <w:rPr>
                <w:rFonts w:ascii="Times New Roman" w:hAnsi="Times New Roman" w:eastAsia="宋体" w:cs="Times New Roman"/>
                <w:lang w:eastAsia="zh-CN"/>
              </w:rPr>
            </w:pPr>
          </w:p>
        </w:tc>
      </w:tr>
      <w:tr w14:paraId="4C35D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27" w:type="dxa"/>
            <w:vMerge w:val="continue"/>
            <w:tcBorders>
              <w:top w:val="nil"/>
              <w:left w:val="single" w:color="000000" w:sz="10" w:space="0"/>
              <w:bottom w:val="nil"/>
            </w:tcBorders>
            <w:textDirection w:val="tbRlV"/>
            <w:vAlign w:val="center"/>
          </w:tcPr>
          <w:p w14:paraId="7954DE59">
            <w:pPr>
              <w:jc w:val="center"/>
              <w:rPr>
                <w:rFonts w:ascii="Times New Roman" w:hAnsi="Times New Roman" w:eastAsia="宋体" w:cs="Times New Roman"/>
                <w:lang w:eastAsia="zh-CN"/>
              </w:rPr>
            </w:pPr>
          </w:p>
        </w:tc>
        <w:tc>
          <w:tcPr>
            <w:tcW w:w="1554" w:type="dxa"/>
            <w:gridSpan w:val="3"/>
            <w:vAlign w:val="center"/>
          </w:tcPr>
          <w:p w14:paraId="47E2F80A">
            <w:pPr>
              <w:jc w:val="center"/>
              <w:rPr>
                <w:rFonts w:ascii="Times New Roman" w:hAnsi="Times New Roman" w:eastAsia="宋体" w:cs="Times New Roman"/>
                <w:lang w:eastAsia="zh-CN"/>
              </w:rPr>
            </w:pPr>
            <w:r>
              <w:rPr>
                <w:rFonts w:hint="eastAsia" w:ascii="Times New Roman" w:hAnsi="Times New Roman" w:eastAsia="宋体" w:cs="Times New Roman"/>
                <w:lang w:eastAsia="zh-CN"/>
              </w:rPr>
              <w:t>物资到位情况</w:t>
            </w:r>
          </w:p>
        </w:tc>
        <w:tc>
          <w:tcPr>
            <w:tcW w:w="1849" w:type="dxa"/>
            <w:gridSpan w:val="2"/>
            <w:vAlign w:val="center"/>
          </w:tcPr>
          <w:p w14:paraId="69526D46">
            <w:pPr>
              <w:jc w:val="center"/>
              <w:rPr>
                <w:rFonts w:ascii="Times New Roman" w:hAnsi="Times New Roman" w:eastAsia="宋体" w:cs="Times New Roman"/>
                <w:lang w:eastAsia="zh-CN"/>
              </w:rPr>
            </w:pPr>
          </w:p>
        </w:tc>
        <w:tc>
          <w:tcPr>
            <w:tcW w:w="4231" w:type="dxa"/>
            <w:gridSpan w:val="2"/>
            <w:tcBorders>
              <w:right w:val="single" w:color="000000" w:sz="10" w:space="0"/>
            </w:tcBorders>
            <w:vAlign w:val="center"/>
          </w:tcPr>
          <w:p w14:paraId="1A3707E0">
            <w:pPr>
              <w:jc w:val="center"/>
              <w:rPr>
                <w:rFonts w:ascii="Times New Roman" w:hAnsi="Times New Roman" w:eastAsia="宋体" w:cs="Times New Roman"/>
                <w:lang w:eastAsia="zh-CN"/>
              </w:rPr>
            </w:pPr>
          </w:p>
        </w:tc>
      </w:tr>
      <w:tr w14:paraId="20C9F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27" w:type="dxa"/>
            <w:vMerge w:val="continue"/>
            <w:tcBorders>
              <w:top w:val="nil"/>
              <w:left w:val="single" w:color="000000" w:sz="10" w:space="0"/>
              <w:bottom w:val="nil"/>
            </w:tcBorders>
            <w:textDirection w:val="tbRlV"/>
            <w:vAlign w:val="center"/>
          </w:tcPr>
          <w:p w14:paraId="47796F9C">
            <w:pPr>
              <w:jc w:val="center"/>
              <w:rPr>
                <w:rFonts w:ascii="Times New Roman" w:hAnsi="Times New Roman" w:eastAsia="宋体" w:cs="Times New Roman"/>
                <w:lang w:eastAsia="zh-CN"/>
              </w:rPr>
            </w:pPr>
          </w:p>
        </w:tc>
        <w:tc>
          <w:tcPr>
            <w:tcW w:w="1554" w:type="dxa"/>
            <w:gridSpan w:val="3"/>
            <w:vAlign w:val="center"/>
          </w:tcPr>
          <w:p w14:paraId="18BB84D2">
            <w:pPr>
              <w:jc w:val="center"/>
              <w:rPr>
                <w:rFonts w:ascii="Times New Roman" w:hAnsi="Times New Roman" w:eastAsia="宋体" w:cs="Times New Roman"/>
                <w:lang w:eastAsia="zh-CN"/>
              </w:rPr>
            </w:pPr>
            <w:r>
              <w:rPr>
                <w:rFonts w:hint="eastAsia" w:ascii="Times New Roman" w:hAnsi="Times New Roman" w:eastAsia="宋体" w:cs="Times New Roman"/>
                <w:lang w:eastAsia="zh-CN"/>
              </w:rPr>
              <w:t>协调组织情况</w:t>
            </w:r>
          </w:p>
        </w:tc>
        <w:tc>
          <w:tcPr>
            <w:tcW w:w="1849" w:type="dxa"/>
            <w:gridSpan w:val="2"/>
            <w:vAlign w:val="center"/>
          </w:tcPr>
          <w:p w14:paraId="6CE33B43">
            <w:pPr>
              <w:jc w:val="center"/>
              <w:rPr>
                <w:rFonts w:ascii="Times New Roman" w:hAnsi="Times New Roman" w:eastAsia="宋体" w:cs="Times New Roman"/>
                <w:lang w:eastAsia="zh-CN"/>
              </w:rPr>
            </w:pPr>
          </w:p>
        </w:tc>
        <w:tc>
          <w:tcPr>
            <w:tcW w:w="4231" w:type="dxa"/>
            <w:gridSpan w:val="2"/>
            <w:tcBorders>
              <w:right w:val="single" w:color="000000" w:sz="10" w:space="0"/>
            </w:tcBorders>
            <w:vAlign w:val="center"/>
          </w:tcPr>
          <w:p w14:paraId="64656469">
            <w:pPr>
              <w:jc w:val="center"/>
              <w:rPr>
                <w:rFonts w:ascii="Times New Roman" w:hAnsi="Times New Roman" w:eastAsia="宋体" w:cs="Times New Roman"/>
                <w:lang w:eastAsia="zh-CN"/>
              </w:rPr>
            </w:pPr>
          </w:p>
        </w:tc>
      </w:tr>
      <w:tr w14:paraId="0B659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827" w:type="dxa"/>
            <w:vMerge w:val="continue"/>
            <w:tcBorders>
              <w:top w:val="nil"/>
              <w:left w:val="single" w:color="000000" w:sz="10" w:space="0"/>
              <w:bottom w:val="nil"/>
            </w:tcBorders>
            <w:textDirection w:val="tbRlV"/>
            <w:vAlign w:val="center"/>
          </w:tcPr>
          <w:p w14:paraId="0063D4B8">
            <w:pPr>
              <w:jc w:val="center"/>
              <w:rPr>
                <w:rFonts w:ascii="Times New Roman" w:hAnsi="Times New Roman" w:eastAsia="宋体" w:cs="Times New Roman"/>
                <w:lang w:eastAsia="zh-CN"/>
              </w:rPr>
            </w:pPr>
          </w:p>
        </w:tc>
        <w:tc>
          <w:tcPr>
            <w:tcW w:w="1554" w:type="dxa"/>
            <w:gridSpan w:val="3"/>
            <w:vAlign w:val="center"/>
          </w:tcPr>
          <w:p w14:paraId="10E44407">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支援部门协作有效性</w:t>
            </w:r>
          </w:p>
        </w:tc>
        <w:tc>
          <w:tcPr>
            <w:tcW w:w="1849" w:type="dxa"/>
            <w:gridSpan w:val="2"/>
            <w:vAlign w:val="center"/>
          </w:tcPr>
          <w:p w14:paraId="20128854">
            <w:pPr>
              <w:jc w:val="center"/>
              <w:rPr>
                <w:rFonts w:ascii="Times New Roman" w:hAnsi="Times New Roman" w:eastAsia="宋体" w:cs="Times New Roman"/>
                <w:lang w:eastAsia="zh-CN"/>
              </w:rPr>
            </w:pPr>
          </w:p>
        </w:tc>
        <w:tc>
          <w:tcPr>
            <w:tcW w:w="4231" w:type="dxa"/>
            <w:gridSpan w:val="2"/>
            <w:tcBorders>
              <w:right w:val="single" w:color="000000" w:sz="10" w:space="0"/>
            </w:tcBorders>
            <w:vAlign w:val="center"/>
          </w:tcPr>
          <w:p w14:paraId="0204C0D0">
            <w:pPr>
              <w:jc w:val="center"/>
              <w:rPr>
                <w:rFonts w:ascii="Times New Roman" w:hAnsi="Times New Roman" w:eastAsia="宋体" w:cs="Times New Roman"/>
                <w:lang w:eastAsia="zh-CN"/>
              </w:rPr>
            </w:pPr>
          </w:p>
        </w:tc>
      </w:tr>
      <w:tr w14:paraId="6FFE0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27" w:type="dxa"/>
            <w:vMerge w:val="continue"/>
            <w:tcBorders>
              <w:top w:val="nil"/>
              <w:left w:val="single" w:color="000000" w:sz="10" w:space="0"/>
            </w:tcBorders>
            <w:textDirection w:val="tbRlV"/>
            <w:vAlign w:val="center"/>
          </w:tcPr>
          <w:p w14:paraId="5453D727">
            <w:pPr>
              <w:jc w:val="center"/>
              <w:rPr>
                <w:rFonts w:ascii="Times New Roman" w:hAnsi="Times New Roman" w:eastAsia="宋体" w:cs="Times New Roman"/>
                <w:lang w:eastAsia="zh-CN"/>
              </w:rPr>
            </w:pPr>
          </w:p>
        </w:tc>
        <w:tc>
          <w:tcPr>
            <w:tcW w:w="1554" w:type="dxa"/>
            <w:gridSpan w:val="3"/>
            <w:vAlign w:val="center"/>
          </w:tcPr>
          <w:p w14:paraId="2F71CB20">
            <w:pPr>
              <w:jc w:val="center"/>
              <w:rPr>
                <w:rFonts w:ascii="Times New Roman" w:hAnsi="Times New Roman" w:eastAsia="宋体" w:cs="Times New Roman"/>
                <w:lang w:eastAsia="zh-CN"/>
              </w:rPr>
            </w:pPr>
            <w:r>
              <w:rPr>
                <w:rFonts w:hint="eastAsia" w:ascii="Times New Roman" w:hAnsi="Times New Roman" w:eastAsia="宋体" w:cs="Times New Roman"/>
                <w:lang w:eastAsia="zh-CN"/>
              </w:rPr>
              <w:t>演习效果评价</w:t>
            </w:r>
          </w:p>
        </w:tc>
        <w:tc>
          <w:tcPr>
            <w:tcW w:w="1849" w:type="dxa"/>
            <w:gridSpan w:val="2"/>
            <w:vAlign w:val="center"/>
          </w:tcPr>
          <w:p w14:paraId="3B8A5E9F">
            <w:pPr>
              <w:jc w:val="center"/>
              <w:rPr>
                <w:rFonts w:ascii="Times New Roman" w:hAnsi="Times New Roman" w:eastAsia="宋体" w:cs="Times New Roman"/>
                <w:lang w:eastAsia="zh-CN"/>
              </w:rPr>
            </w:pPr>
          </w:p>
        </w:tc>
        <w:tc>
          <w:tcPr>
            <w:tcW w:w="4231" w:type="dxa"/>
            <w:gridSpan w:val="2"/>
            <w:tcBorders>
              <w:right w:val="single" w:color="000000" w:sz="10" w:space="0"/>
            </w:tcBorders>
            <w:vAlign w:val="center"/>
          </w:tcPr>
          <w:p w14:paraId="465CC4FD">
            <w:pPr>
              <w:jc w:val="center"/>
              <w:rPr>
                <w:rFonts w:ascii="Times New Roman" w:hAnsi="Times New Roman" w:eastAsia="宋体" w:cs="Times New Roman"/>
                <w:lang w:eastAsia="zh-CN"/>
              </w:rPr>
            </w:pPr>
          </w:p>
        </w:tc>
      </w:tr>
      <w:tr w14:paraId="0F01B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827" w:type="dxa"/>
            <w:tcBorders>
              <w:left w:val="single" w:color="000000" w:sz="10" w:space="0"/>
            </w:tcBorders>
            <w:vAlign w:val="center"/>
          </w:tcPr>
          <w:p w14:paraId="7F32BA1B">
            <w:pPr>
              <w:jc w:val="center"/>
              <w:rPr>
                <w:rFonts w:ascii="Times New Roman" w:hAnsi="Times New Roman" w:eastAsia="宋体" w:cs="Times New Roman"/>
                <w:lang w:eastAsia="zh-CN"/>
              </w:rPr>
            </w:pPr>
            <w:r>
              <w:rPr>
                <w:rFonts w:hint="eastAsia" w:ascii="Times New Roman" w:hAnsi="Times New Roman" w:eastAsia="宋体" w:cs="Times New Roman"/>
                <w:lang w:eastAsia="zh-CN"/>
              </w:rPr>
              <w:t>参演人员签名</w:t>
            </w:r>
          </w:p>
        </w:tc>
        <w:tc>
          <w:tcPr>
            <w:tcW w:w="7634" w:type="dxa"/>
            <w:gridSpan w:val="7"/>
            <w:tcBorders>
              <w:right w:val="single" w:color="000000" w:sz="10" w:space="0"/>
            </w:tcBorders>
            <w:vAlign w:val="center"/>
          </w:tcPr>
          <w:p w14:paraId="581A9638">
            <w:pPr>
              <w:jc w:val="center"/>
              <w:rPr>
                <w:rFonts w:ascii="Times New Roman" w:hAnsi="Times New Roman" w:eastAsia="宋体" w:cs="Times New Roman"/>
                <w:lang w:eastAsia="zh-CN"/>
              </w:rPr>
            </w:pPr>
          </w:p>
        </w:tc>
      </w:tr>
      <w:tr w14:paraId="402A1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827" w:type="dxa"/>
            <w:tcBorders>
              <w:left w:val="single" w:color="000000" w:sz="10" w:space="0"/>
            </w:tcBorders>
            <w:vAlign w:val="center"/>
          </w:tcPr>
          <w:p w14:paraId="5007AF78">
            <w:pPr>
              <w:jc w:val="center"/>
              <w:rPr>
                <w:rFonts w:ascii="Times New Roman" w:hAnsi="Times New Roman" w:eastAsia="宋体" w:cs="Times New Roman"/>
                <w:lang w:eastAsia="zh-CN"/>
              </w:rPr>
            </w:pPr>
          </w:p>
          <w:p w14:paraId="51E37E76">
            <w:pPr>
              <w:jc w:val="center"/>
              <w:rPr>
                <w:rFonts w:ascii="Times New Roman" w:hAnsi="Times New Roman" w:eastAsia="宋体" w:cs="Times New Roman"/>
                <w:lang w:eastAsia="zh-CN"/>
              </w:rPr>
            </w:pPr>
            <w:r>
              <w:rPr>
                <w:rFonts w:hint="eastAsia" w:ascii="Times New Roman" w:hAnsi="Times New Roman" w:eastAsia="宋体" w:cs="Times New Roman"/>
                <w:lang w:eastAsia="zh-CN"/>
              </w:rPr>
              <w:t>存在问题</w:t>
            </w:r>
          </w:p>
        </w:tc>
        <w:tc>
          <w:tcPr>
            <w:tcW w:w="7634" w:type="dxa"/>
            <w:gridSpan w:val="7"/>
            <w:tcBorders>
              <w:right w:val="single" w:color="000000" w:sz="10" w:space="0"/>
            </w:tcBorders>
            <w:vAlign w:val="center"/>
          </w:tcPr>
          <w:p w14:paraId="1F7755FA">
            <w:pPr>
              <w:jc w:val="center"/>
              <w:rPr>
                <w:rFonts w:ascii="Times New Roman" w:hAnsi="Times New Roman" w:eastAsia="宋体" w:cs="Times New Roman"/>
                <w:lang w:eastAsia="zh-CN"/>
              </w:rPr>
            </w:pPr>
          </w:p>
        </w:tc>
      </w:tr>
      <w:tr w14:paraId="7D77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827" w:type="dxa"/>
            <w:tcBorders>
              <w:left w:val="single" w:color="000000" w:sz="10" w:space="0"/>
              <w:bottom w:val="single" w:color="000000" w:sz="10" w:space="0"/>
            </w:tcBorders>
            <w:vAlign w:val="center"/>
          </w:tcPr>
          <w:p w14:paraId="2A561962">
            <w:pPr>
              <w:jc w:val="center"/>
              <w:rPr>
                <w:rFonts w:ascii="宋体" w:hAnsi="宋体" w:eastAsia="宋体" w:cs="宋体"/>
                <w:sz w:val="20"/>
                <w:szCs w:val="20"/>
              </w:rPr>
            </w:pPr>
            <w:r>
              <w:rPr>
                <w:rFonts w:ascii="Times New Roman" w:hAnsi="Times New Roman" w:eastAsia="宋体" w:cs="Times New Roman"/>
                <w:lang w:eastAsia="zh-CN"/>
              </w:rPr>
              <w:t>改进措施</w:t>
            </w:r>
          </w:p>
        </w:tc>
        <w:tc>
          <w:tcPr>
            <w:tcW w:w="7634" w:type="dxa"/>
            <w:gridSpan w:val="7"/>
            <w:tcBorders>
              <w:bottom w:val="single" w:color="000000" w:sz="10" w:space="0"/>
              <w:right w:val="single" w:color="000000" w:sz="10" w:space="0"/>
            </w:tcBorders>
            <w:vAlign w:val="center"/>
          </w:tcPr>
          <w:p w14:paraId="441890CE">
            <w:pPr>
              <w:jc w:val="center"/>
            </w:pPr>
          </w:p>
        </w:tc>
      </w:tr>
    </w:tbl>
    <w:p w14:paraId="7F62187E">
      <w:pPr>
        <w:pStyle w:val="9"/>
        <w:rPr>
          <w:lang w:eastAsia="zh-CN"/>
        </w:rPr>
      </w:pPr>
    </w:p>
    <w:p w14:paraId="715296FA">
      <w:pPr>
        <w:pStyle w:val="6"/>
        <w:rPr>
          <w:lang w:eastAsia="zh-CN"/>
        </w:rPr>
      </w:pPr>
    </w:p>
    <w:p w14:paraId="0876E2BE">
      <w:pPr>
        <w:rPr>
          <w:lang w:eastAsia="zh-CN"/>
        </w:rPr>
      </w:pPr>
    </w:p>
    <w:p w14:paraId="53E5587B">
      <w:pPr>
        <w:widowControl w:val="0"/>
        <w:kinsoku/>
        <w:autoSpaceDE/>
        <w:autoSpaceDN/>
        <w:adjustRightInd/>
        <w:snapToGrid/>
        <w:jc w:val="both"/>
        <w:textAlignment w:val="auto"/>
        <w:outlineLvl w:val="1"/>
        <w:rPr>
          <w:rFonts w:ascii="黑体" w:hAnsi="黑体" w:eastAsia="黑体" w:cs="黑体"/>
          <w:snapToGrid/>
          <w:kern w:val="2"/>
          <w:sz w:val="32"/>
          <w:szCs w:val="32"/>
          <w:lang w:eastAsia="zh-CN"/>
        </w:rPr>
      </w:pPr>
      <w:bookmarkStart w:id="365" w:name="_Toc179409603"/>
      <w:r>
        <w:rPr>
          <w:rFonts w:hint="eastAsia" w:ascii="黑体" w:hAnsi="黑体" w:eastAsia="黑体" w:cs="黑体"/>
          <w:snapToGrid/>
          <w:kern w:val="2"/>
          <w:sz w:val="32"/>
          <w:szCs w:val="32"/>
          <w:lang w:eastAsia="zh-CN"/>
        </w:rPr>
        <w:t xml:space="preserve">附件9 </w:t>
      </w:r>
    </w:p>
    <w:p w14:paraId="20804F23">
      <w:pPr>
        <w:pStyle w:val="9"/>
        <w:jc w:val="center"/>
        <w:rPr>
          <w:rFonts w:ascii="方正小标宋简体" w:hAnsi="方正小标宋简体" w:eastAsia="方正小标宋简体" w:cs="方正小标宋简体"/>
          <w:snapToGrid/>
          <w:kern w:val="2"/>
          <w:sz w:val="36"/>
          <w:szCs w:val="36"/>
          <w:lang w:eastAsia="zh-CN"/>
        </w:rPr>
      </w:pPr>
      <w:r>
        <w:rPr>
          <w:rFonts w:hint="eastAsia" w:ascii="方正小标宋简体" w:hAnsi="方正小标宋简体" w:eastAsia="方正小标宋简体" w:cs="方正小标宋简体"/>
          <w:snapToGrid/>
          <w:kern w:val="2"/>
          <w:sz w:val="36"/>
          <w:szCs w:val="36"/>
          <w:lang w:eastAsia="zh-CN"/>
        </w:rPr>
        <w:t>芦淞区重点道路管控区域</w:t>
      </w:r>
      <w:bookmarkEnd w:id="365"/>
    </w:p>
    <w:p w14:paraId="7568AD21">
      <w:pPr>
        <w:pStyle w:val="6"/>
        <w:rPr>
          <w:lang w:eastAsia="zh-CN"/>
        </w:rPr>
      </w:pPr>
      <w:r>
        <w:rPr>
          <w:lang w:eastAsia="zh-CN"/>
        </w:rPr>
        <w:drawing>
          <wp:anchor distT="0" distB="0" distL="114300" distR="114300" simplePos="0" relativeHeight="251662336" behindDoc="1" locked="0" layoutInCell="1" allowOverlap="1">
            <wp:simplePos x="0" y="0"/>
            <wp:positionH relativeFrom="column">
              <wp:posOffset>-276860</wp:posOffset>
            </wp:positionH>
            <wp:positionV relativeFrom="paragraph">
              <wp:posOffset>121285</wp:posOffset>
            </wp:positionV>
            <wp:extent cx="5537200" cy="7536180"/>
            <wp:effectExtent l="0" t="0" r="44450" b="45720"/>
            <wp:wrapThrough wrapText="bothSides">
              <wp:wrapPolygon>
                <wp:start x="0" y="0"/>
                <wp:lineTo x="0" y="21567"/>
                <wp:lineTo x="21550" y="21567"/>
                <wp:lineTo x="21550" y="0"/>
                <wp:lineTo x="0" y="0"/>
              </wp:wrapPolygon>
            </wp:wrapThrough>
            <wp:docPr id="4" name="图片 4"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无标题"/>
                    <pic:cNvPicPr>
                      <a:picLocks noChangeAspect="1"/>
                    </pic:cNvPicPr>
                  </pic:nvPicPr>
                  <pic:blipFill>
                    <a:blip r:embed="rId7"/>
                    <a:stretch>
                      <a:fillRect/>
                    </a:stretch>
                  </pic:blipFill>
                  <pic:spPr>
                    <a:xfrm>
                      <a:off x="0" y="0"/>
                      <a:ext cx="5537200" cy="7536180"/>
                    </a:xfrm>
                    <a:prstGeom prst="rect">
                      <a:avLst/>
                    </a:prstGeom>
                  </pic:spPr>
                </pic:pic>
              </a:graphicData>
            </a:graphic>
          </wp:anchor>
        </w:drawing>
      </w:r>
      <w:r>
        <w:rPr>
          <w:rFonts w:hint="eastAsia"/>
          <w:lang w:eastAsia="zh-CN"/>
        </w:rPr>
        <w:t xml:space="preserve"> </w:t>
      </w:r>
    </w:p>
    <w:p w14:paraId="4BC6CCC4">
      <w:pPr>
        <w:rPr>
          <w:lang w:eastAsia="zh-CN"/>
        </w:rPr>
      </w:pPr>
    </w:p>
    <w:p w14:paraId="24AA45C2">
      <w:pPr>
        <w:pStyle w:val="9"/>
        <w:rPr>
          <w:lang w:eastAsia="zh-CN"/>
        </w:rPr>
      </w:pPr>
    </w:p>
    <w:p w14:paraId="3342F30D">
      <w:pPr>
        <w:pStyle w:val="6"/>
        <w:rPr>
          <w:lang w:eastAsia="zh-CN"/>
        </w:rPr>
      </w:pPr>
    </w:p>
    <w:p w14:paraId="2A730FD1">
      <w:pPr>
        <w:rPr>
          <w:lang w:eastAsia="zh-CN"/>
        </w:rPr>
      </w:pPr>
    </w:p>
    <w:p w14:paraId="1B329374">
      <w:pPr>
        <w:pStyle w:val="2"/>
        <w:rPr>
          <w:lang w:eastAsia="zh-CN"/>
        </w:rPr>
      </w:pPr>
    </w:p>
    <w:p w14:paraId="7E4F8A66">
      <w:pPr>
        <w:pStyle w:val="2"/>
        <w:rPr>
          <w:lang w:eastAsia="zh-CN"/>
        </w:rPr>
      </w:pPr>
    </w:p>
    <w:p w14:paraId="4C7D7346">
      <w:pPr>
        <w:pStyle w:val="2"/>
        <w:rPr>
          <w:lang w:eastAsia="zh-CN"/>
        </w:rPr>
      </w:pPr>
    </w:p>
    <w:p w14:paraId="03BC26F7">
      <w:pPr>
        <w:pStyle w:val="2"/>
        <w:rPr>
          <w:lang w:eastAsia="zh-CN"/>
        </w:rPr>
      </w:pPr>
    </w:p>
    <w:p w14:paraId="642F7FBC">
      <w:pPr>
        <w:pStyle w:val="2"/>
        <w:rPr>
          <w:lang w:eastAsia="zh-CN"/>
        </w:rPr>
      </w:pPr>
    </w:p>
    <w:p w14:paraId="0D443D5F">
      <w:pPr>
        <w:pStyle w:val="2"/>
        <w:rPr>
          <w:lang w:eastAsia="zh-CN"/>
        </w:rPr>
      </w:pPr>
    </w:p>
    <w:p w14:paraId="0DF31279">
      <w:pPr>
        <w:pStyle w:val="2"/>
        <w:rPr>
          <w:lang w:eastAsia="zh-CN"/>
        </w:rPr>
      </w:pPr>
    </w:p>
    <w:p w14:paraId="41185ED5">
      <w:pPr>
        <w:pStyle w:val="2"/>
        <w:rPr>
          <w:lang w:eastAsia="zh-CN"/>
        </w:rPr>
      </w:pPr>
    </w:p>
    <w:p w14:paraId="5EFAF807">
      <w:pPr>
        <w:pStyle w:val="2"/>
        <w:rPr>
          <w:lang w:eastAsia="zh-CN"/>
        </w:rPr>
      </w:pPr>
    </w:p>
    <w:p w14:paraId="5D0A1EE6">
      <w:pPr>
        <w:pStyle w:val="2"/>
        <w:rPr>
          <w:lang w:eastAsia="zh-CN"/>
        </w:rPr>
      </w:pPr>
    </w:p>
    <w:p w14:paraId="68504F25">
      <w:pPr>
        <w:pStyle w:val="2"/>
        <w:rPr>
          <w:lang w:eastAsia="zh-CN"/>
        </w:rPr>
      </w:pPr>
    </w:p>
    <w:p w14:paraId="6BF9265D">
      <w:pPr>
        <w:pStyle w:val="2"/>
        <w:rPr>
          <w:lang w:eastAsia="zh-CN"/>
        </w:rPr>
      </w:pPr>
    </w:p>
    <w:p w14:paraId="5041BB84">
      <w:pPr>
        <w:pStyle w:val="2"/>
        <w:rPr>
          <w:lang w:eastAsia="zh-CN"/>
        </w:rPr>
      </w:pPr>
    </w:p>
    <w:p w14:paraId="04C38901">
      <w:pPr>
        <w:pStyle w:val="2"/>
        <w:rPr>
          <w:lang w:eastAsia="zh-CN"/>
        </w:rPr>
      </w:pPr>
    </w:p>
    <w:p w14:paraId="5C6B9ADE">
      <w:pPr>
        <w:pStyle w:val="2"/>
        <w:rPr>
          <w:lang w:eastAsia="zh-CN"/>
        </w:rPr>
      </w:pPr>
    </w:p>
    <w:p w14:paraId="272116A2">
      <w:pPr>
        <w:pStyle w:val="2"/>
        <w:rPr>
          <w:lang w:eastAsia="zh-CN"/>
        </w:rPr>
      </w:pPr>
    </w:p>
    <w:p w14:paraId="3B6E127A">
      <w:pPr>
        <w:pStyle w:val="2"/>
        <w:rPr>
          <w:lang w:eastAsia="zh-CN"/>
        </w:rPr>
      </w:pPr>
    </w:p>
    <w:p w14:paraId="08C7B30E">
      <w:pPr>
        <w:pStyle w:val="2"/>
        <w:rPr>
          <w:lang w:eastAsia="zh-CN"/>
        </w:rPr>
      </w:pPr>
    </w:p>
    <w:p w14:paraId="702CE6AA">
      <w:pPr>
        <w:pStyle w:val="2"/>
        <w:rPr>
          <w:lang w:eastAsia="zh-CN"/>
        </w:rPr>
      </w:pPr>
    </w:p>
    <w:p w14:paraId="059A0C03">
      <w:pPr>
        <w:pStyle w:val="2"/>
        <w:rPr>
          <w:lang w:eastAsia="zh-CN"/>
        </w:rPr>
      </w:pPr>
    </w:p>
    <w:p w14:paraId="01CB7322">
      <w:pPr>
        <w:pStyle w:val="2"/>
        <w:rPr>
          <w:lang w:eastAsia="zh-CN"/>
        </w:rPr>
      </w:pPr>
    </w:p>
    <w:p w14:paraId="750CA0FC">
      <w:pPr>
        <w:pStyle w:val="2"/>
        <w:rPr>
          <w:lang w:eastAsia="zh-CN"/>
        </w:rPr>
      </w:pPr>
    </w:p>
    <w:p w14:paraId="0088E840">
      <w:pPr>
        <w:pStyle w:val="2"/>
        <w:rPr>
          <w:lang w:eastAsia="zh-CN"/>
        </w:rPr>
      </w:pPr>
    </w:p>
    <w:p w14:paraId="1F429DAB">
      <w:pPr>
        <w:pStyle w:val="2"/>
        <w:rPr>
          <w:lang w:eastAsia="zh-CN"/>
        </w:rPr>
      </w:pPr>
    </w:p>
    <w:p w14:paraId="59A7685C">
      <w:pPr>
        <w:pStyle w:val="2"/>
        <w:rPr>
          <w:lang w:eastAsia="zh-CN"/>
        </w:rPr>
      </w:pPr>
    </w:p>
    <w:p w14:paraId="065B8274">
      <w:pPr>
        <w:pStyle w:val="2"/>
        <w:rPr>
          <w:lang w:eastAsia="zh-CN"/>
        </w:rPr>
      </w:pPr>
    </w:p>
    <w:p w14:paraId="7FA86305">
      <w:pPr>
        <w:pStyle w:val="2"/>
        <w:rPr>
          <w:lang w:eastAsia="zh-CN"/>
        </w:rPr>
      </w:pPr>
    </w:p>
    <w:p w14:paraId="79EBB092">
      <w:pPr>
        <w:pStyle w:val="2"/>
        <w:rPr>
          <w:lang w:eastAsia="zh-CN"/>
        </w:rPr>
      </w:pPr>
    </w:p>
    <w:p w14:paraId="61E1D7AF">
      <w:pPr>
        <w:pStyle w:val="2"/>
        <w:rPr>
          <w:lang w:eastAsia="zh-CN"/>
        </w:rPr>
      </w:pPr>
    </w:p>
    <w:p w14:paraId="301C3E26">
      <w:pPr>
        <w:pStyle w:val="2"/>
        <w:rPr>
          <w:lang w:eastAsia="zh-CN"/>
        </w:rPr>
      </w:pPr>
    </w:p>
    <w:p w14:paraId="46890F05">
      <w:pPr>
        <w:pStyle w:val="2"/>
        <w:rPr>
          <w:lang w:eastAsia="zh-CN"/>
        </w:rPr>
      </w:pPr>
    </w:p>
    <w:p w14:paraId="13121D25">
      <w:pPr>
        <w:pStyle w:val="2"/>
        <w:rPr>
          <w:lang w:eastAsia="zh-CN"/>
        </w:rPr>
      </w:pPr>
    </w:p>
    <w:tbl>
      <w:tblPr>
        <w:tblStyle w:val="11"/>
        <w:tblpPr w:leftFromText="180" w:rightFromText="180" w:vertAnchor="text" w:horzAnchor="page" w:tblpX="1585" w:tblpY="874"/>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2033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940" w:type="dxa"/>
            <w:tcBorders>
              <w:top w:val="single" w:color="auto" w:sz="4" w:space="0"/>
              <w:left w:val="nil"/>
              <w:bottom w:val="single" w:color="auto" w:sz="4" w:space="0"/>
              <w:right w:val="nil"/>
            </w:tcBorders>
          </w:tcPr>
          <w:p w14:paraId="38F4BE41">
            <w:pPr>
              <w:spacing w:line="440" w:lineRule="exact"/>
              <w:rPr>
                <w:rFonts w:ascii="Times New Roman" w:hAnsi="Times New Roman" w:eastAsia="仿宋_GB2312" w:cs="Times New Roman"/>
                <w:sz w:val="28"/>
                <w:szCs w:val="28"/>
                <w:lang w:eastAsia="zh-CN"/>
              </w:rPr>
            </w:pPr>
            <w:r>
              <w:rPr>
                <w:rFonts w:ascii="Times New Roman" w:hAnsi="Times New Roman" w:eastAsia="仿宋_GB2312" w:cs="Times New Roman"/>
                <w:sz w:val="28"/>
                <w:szCs w:val="28"/>
                <w:lang w:eastAsia="zh-CN"/>
              </w:rPr>
              <w:t>株洲市</w:t>
            </w:r>
            <w:r>
              <w:rPr>
                <w:rFonts w:hint="eastAsia" w:eastAsia="仿宋_GB2312" w:cs="Times New Roman"/>
                <w:sz w:val="28"/>
                <w:szCs w:val="28"/>
                <w:lang w:eastAsia="zh-CN"/>
              </w:rPr>
              <w:t xml:space="preserve">芦淞区人民政府办公室      </w:t>
            </w:r>
            <w:r>
              <w:rPr>
                <w:rFonts w:ascii="Times New Roman" w:hAnsi="Times New Roman" w:eastAsia="仿宋_GB2312" w:cs="Times New Roman"/>
                <w:sz w:val="28"/>
                <w:szCs w:val="28"/>
                <w:lang w:eastAsia="zh-CN"/>
              </w:rPr>
              <w:t xml:space="preserve">         </w:t>
            </w:r>
            <w:r>
              <w:rPr>
                <w:rFonts w:hint="eastAsia"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lang w:eastAsia="zh-CN"/>
              </w:rPr>
              <w:t>202</w:t>
            </w:r>
            <w:r>
              <w:rPr>
                <w:rFonts w:hint="eastAsia" w:eastAsia="仿宋_GB2312" w:cs="Times New Roman"/>
                <w:sz w:val="28"/>
                <w:szCs w:val="28"/>
                <w:lang w:eastAsia="zh-CN"/>
              </w:rPr>
              <w:t>4</w:t>
            </w:r>
            <w:r>
              <w:rPr>
                <w:rFonts w:ascii="Times New Roman" w:hAnsi="Times New Roman" w:eastAsia="仿宋_GB2312" w:cs="Times New Roman"/>
                <w:sz w:val="28"/>
                <w:szCs w:val="28"/>
                <w:lang w:eastAsia="zh-CN"/>
              </w:rPr>
              <w:t>年</w:t>
            </w:r>
            <w:r>
              <w:rPr>
                <w:rFonts w:hint="eastAsia"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lang w:eastAsia="zh-CN"/>
              </w:rPr>
              <w:t>月</w:t>
            </w:r>
            <w:r>
              <w:rPr>
                <w:rFonts w:hint="eastAsia" w:eastAsia="仿宋_GB2312" w:cs="Times New Roman"/>
                <w:sz w:val="28"/>
                <w:szCs w:val="28"/>
                <w:lang w:eastAsia="zh-CN"/>
              </w:rPr>
              <w:t xml:space="preserve"> </w:t>
            </w:r>
            <w:r>
              <w:rPr>
                <w:rFonts w:ascii="Times New Roman" w:hAnsi="Times New Roman" w:eastAsia="仿宋_GB2312" w:cs="Times New Roman"/>
                <w:sz w:val="28"/>
                <w:szCs w:val="28"/>
                <w:lang w:eastAsia="zh-CN"/>
              </w:rPr>
              <w:t>日印发</w:t>
            </w:r>
          </w:p>
        </w:tc>
      </w:tr>
    </w:tbl>
    <w:p w14:paraId="7377A77D">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CB07AC-7797-42B0-BC84-063F8B343E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40DA4BB5-884C-4743-A3F2-54C24455F5B6}"/>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70495BF2-52E0-43F1-A9DB-EEFF7AFA930E}"/>
  </w:font>
  <w:font w:name="楷体_GB2312">
    <w:altName w:val="楷体"/>
    <w:panose1 w:val="02010609030101010101"/>
    <w:charset w:val="86"/>
    <w:family w:val="modern"/>
    <w:pitch w:val="default"/>
    <w:sig w:usb0="00000000" w:usb1="00000000" w:usb2="00000010" w:usb3="00000000" w:csb0="00040000" w:csb1="00000000"/>
    <w:embedRegular r:id="rId4" w:fontKey="{35266EFC-59F0-4067-B1C0-11B9F13DE65B}"/>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5" w:fontKey="{3DCE7C77-28B3-4915-9F1B-FC0CFB2CCE7B}"/>
  </w:font>
  <w:font w:name="方正仿宋_GB2312">
    <w:panose1 w:val="02000000000000000000"/>
    <w:charset w:val="86"/>
    <w:family w:val="auto"/>
    <w:pitch w:val="default"/>
    <w:sig w:usb0="A00002BF" w:usb1="184F6CFA" w:usb2="00000012" w:usb3="00000000" w:csb0="00040001" w:csb1="00000000"/>
    <w:embedRegular r:id="rId6" w:fontKey="{CB36617D-CB27-4BBF-A88B-FEBCCFA33B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1C95">
    <w:pPr>
      <w:spacing w:before="1" w:line="176" w:lineRule="auto"/>
      <w:jc w:val="cente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05A0C">
                          <w:pPr>
                            <w:pStyle w:val="7"/>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F05A0C">
                    <w:pPr>
                      <w:pStyle w:val="7"/>
                      <w:rPr>
                        <w:rFonts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Y2M1ZmFkZmI4ODRlMGQ0N2FjMThmNDVkZmE2NjQifQ=="/>
  </w:docVars>
  <w:rsids>
    <w:rsidRoot w:val="59336075"/>
    <w:rsid w:val="00076599"/>
    <w:rsid w:val="00184659"/>
    <w:rsid w:val="00430B62"/>
    <w:rsid w:val="00521114"/>
    <w:rsid w:val="007C55A9"/>
    <w:rsid w:val="00B20232"/>
    <w:rsid w:val="00C90A87"/>
    <w:rsid w:val="00D96A8C"/>
    <w:rsid w:val="00DA78B9"/>
    <w:rsid w:val="00F36847"/>
    <w:rsid w:val="01DB4FB0"/>
    <w:rsid w:val="02F820D0"/>
    <w:rsid w:val="030D5FEB"/>
    <w:rsid w:val="074170CE"/>
    <w:rsid w:val="0CED3BF4"/>
    <w:rsid w:val="0EDF190E"/>
    <w:rsid w:val="105E0133"/>
    <w:rsid w:val="115A1E96"/>
    <w:rsid w:val="11EB66C2"/>
    <w:rsid w:val="14F4287C"/>
    <w:rsid w:val="19200A19"/>
    <w:rsid w:val="1BD13388"/>
    <w:rsid w:val="21B16882"/>
    <w:rsid w:val="2247103A"/>
    <w:rsid w:val="25254F1B"/>
    <w:rsid w:val="278D0BFF"/>
    <w:rsid w:val="2EFD1E2F"/>
    <w:rsid w:val="2FAA3073"/>
    <w:rsid w:val="32836AB1"/>
    <w:rsid w:val="38437FD1"/>
    <w:rsid w:val="38462559"/>
    <w:rsid w:val="44986F84"/>
    <w:rsid w:val="49193C62"/>
    <w:rsid w:val="4DD470E1"/>
    <w:rsid w:val="4EAB68D9"/>
    <w:rsid w:val="4FF646D8"/>
    <w:rsid w:val="50A37458"/>
    <w:rsid w:val="519C29DE"/>
    <w:rsid w:val="523321B9"/>
    <w:rsid w:val="57291C9F"/>
    <w:rsid w:val="58642636"/>
    <w:rsid w:val="59336075"/>
    <w:rsid w:val="59E057AD"/>
    <w:rsid w:val="5ACF7D98"/>
    <w:rsid w:val="5BE16B87"/>
    <w:rsid w:val="5CD93D19"/>
    <w:rsid w:val="60F80820"/>
    <w:rsid w:val="63C161A2"/>
    <w:rsid w:val="679D4446"/>
    <w:rsid w:val="67FA04D6"/>
    <w:rsid w:val="6A4B7A10"/>
    <w:rsid w:val="6D9C0460"/>
    <w:rsid w:val="707D6D2F"/>
    <w:rsid w:val="741C15B3"/>
    <w:rsid w:val="75B55EE4"/>
    <w:rsid w:val="77B6485A"/>
    <w:rsid w:val="7E134994"/>
    <w:rsid w:val="7E8A27CC"/>
    <w:rsid w:val="7F066D88"/>
    <w:rsid w:val="7F614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4">
    <w:name w:val="heading 4"/>
    <w:basedOn w:val="1"/>
    <w:next w:val="1"/>
    <w:unhideWhenUsed/>
    <w:qFormat/>
    <w:uiPriority w:val="0"/>
    <w:pPr>
      <w:keepNext/>
      <w:keepLines/>
      <w:spacing w:before="280" w:after="290" w:line="372" w:lineRule="auto"/>
      <w:outlineLvl w:val="3"/>
    </w:pPr>
    <w:rPr>
      <w:rFonts w:eastAsia="黑体"/>
      <w:b/>
      <w:sz w:val="28"/>
    </w:rPr>
  </w:style>
  <w:style w:type="paragraph" w:styleId="5">
    <w:name w:val="heading 5"/>
    <w:basedOn w:val="1"/>
    <w:next w:val="1"/>
    <w:unhideWhenUsed/>
    <w:qFormat/>
    <w:uiPriority w:val="0"/>
    <w:pPr>
      <w:keepNext/>
      <w:keepLines/>
      <w:spacing w:before="280" w:after="290" w:line="372" w:lineRule="auto"/>
      <w:outlineLvl w:val="4"/>
    </w:pPr>
    <w:rPr>
      <w:b/>
      <w:sz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Body Text"/>
    <w:basedOn w:val="1"/>
    <w:next w:val="1"/>
    <w:qFormat/>
    <w:uiPriority w:val="0"/>
    <w:rPr>
      <w:rFonts w:eastAsia="Arial"/>
    </w:rPr>
  </w:style>
  <w:style w:type="paragraph" w:styleId="7">
    <w:name w:val="footer"/>
    <w:basedOn w:val="1"/>
    <w:unhideWhenUsed/>
    <w:qFormat/>
    <w:uiPriority w:val="99"/>
    <w:pPr>
      <w:tabs>
        <w:tab w:val="center" w:pos="4153"/>
        <w:tab w:val="right" w:pos="8306"/>
      </w:tabs>
    </w:pPr>
    <w:rPr>
      <w:sz w:val="18"/>
      <w:szCs w:val="18"/>
    </w:rPr>
  </w:style>
  <w:style w:type="paragraph" w:styleId="8">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9">
    <w:name w:val="footnote text"/>
    <w:basedOn w:val="1"/>
    <w:next w:val="6"/>
    <w:qFormat/>
    <w:uiPriority w:val="0"/>
    <w:rPr>
      <w:sz w:val="18"/>
      <w:szCs w:val="18"/>
    </w:rPr>
  </w:style>
  <w:style w:type="paragraph" w:styleId="10">
    <w:name w:val="Normal (Web)"/>
    <w:basedOn w:val="1"/>
    <w:semiHidden/>
    <w:unhideWhenUsed/>
    <w:qFormat/>
    <w:uiPriority w:val="99"/>
    <w:rPr>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正文"/>
    <w:basedOn w:val="10"/>
    <w:qFormat/>
    <w:uiPriority w:val="0"/>
    <w:pPr>
      <w:spacing w:line="440" w:lineRule="exact"/>
      <w:ind w:firstLine="1807" w:firstLineChars="200"/>
      <w:jc w:val="both"/>
    </w:pPr>
    <w:rPr>
      <w:rFonts w:ascii="Times New Roman" w:hAnsi="Times New Roman"/>
    </w:rPr>
  </w:style>
  <w:style w:type="table" w:customStyle="1" w:styleId="15">
    <w:name w:val="Table Normal"/>
    <w:basedOn w:val="11"/>
    <w:semiHidden/>
    <w:qFormat/>
    <w:uiPriority w:val="0"/>
    <w:pPr>
      <w:snapToGrid w:val="0"/>
    </w:pPr>
    <w:rPr>
      <w:color w:val="000000"/>
      <w:sz w:val="21"/>
      <w:szCs w:val="21"/>
      <w:lang w:eastAsia="en-US"/>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12403</Words>
  <Characters>13021</Characters>
  <Lines>99</Lines>
  <Paragraphs>27</Paragraphs>
  <TotalTime>0</TotalTime>
  <ScaleCrop>false</ScaleCrop>
  <LinksUpToDate>false</LinksUpToDate>
  <CharactersWithSpaces>13126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2024-10-14T02:57:00Z</dcterms:created>
  <dc:creator>释芝榕</dc:creator>
  <cp:lastModifiedBy>Ming</cp:lastModifiedBy>
  <cp:lastPrinted>2024-10-21T06:23:00Z</cp:lastPrinted>
  <dcterms:modified xsi:type="dcterms:W3CDTF">2025-07-16T02:26:03Z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C8CEFF4B838841DEBD6F15FD1950BFC5_13</vt:lpwstr>
  </property>
  <property fmtid="{D5CDD505-2E9C-101B-9397-08002B2CF9AE}" pid="4" name="KSOTemplateDocerSaveRecord">
    <vt:lpwstr>eyJoZGlkIjoiYzkwMjQ5ZGFlYjg2OGJhNWM4NTMxZmM2ODJmMjQwYTIiLCJ1c2VySWQiOiIyMTczMjM0OTEifQ==</vt:lpwstr>
  </property>
</Properties>
</file>