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bookmarkStart w:id="4" w:name="_GoBack"/>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年度攸县菜花坪镇人民政府预算公开说明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1、执行上级国家行政机关的决定、命令和国家制定的法令、法规，接受同级党委的领导，执行本级人民代表大会的各项决议，并报告执行决议、决定和命令的情况。</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2、制定并落实本行政区域的经济计划和措施，促进产业结构调整及其他经济保持平衡协调发展，全面提高人民群众的生活水平和生活质量。</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3、承担国有资产、集体资产管理、监督及增值保值责任;保护公民私人所有合法财产，保障集体经济组织应有的自主权;监督企业和各种经济联合体、个体户认真执行国家的法律、法令和政策，履行经济合同。</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4、开展社会主义民主和法制的宣传教育，保障公民的权利;制定社会治安综合治理工作规划并组织实施;加强社区管理工作，依法管理外来流动人口，处理人民来信来访，调解民间纠纷，打击违法犯罪，维护社会稳定。</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6、加强镇级财政的监督和管理，按计划组织、管理镇财政收入和支出，执行国家有关财经纪律和政策，保证国家财政收入的完成；做好统计工作。</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7、指导、支持、帮助村(居)民委员会的组织制度建设和业务建设，促进村(居)民委员会民主自治。</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8、制定和组织实施镇村建设规划；加强公用、市政设施、水利建设和管理以及房屋土地管理和环境综合整治工作，保护和改善生活环境和生态环境。</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9、协助和支持设置在本行政区域内不隶属于镇的国家机关和企事业单位工作，监督其遵守和执行国家的法律、法规和政策。</w:t>
      </w:r>
      <w:r>
        <w:rPr>
          <w:rFonts w:hint="default" w:ascii="Times New Roman" w:hAnsi="Times New Roman" w:cs="Times New Roman"/>
          <w:color w:val="000000"/>
          <w:sz w:val="32"/>
          <w:szCs w:val="32"/>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10、完成县委和县人民政府交办的其它工作事项。</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1"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攸县菜花坪镇人民政府内设机构包括：党政办、内务办、党建办、财经办、城建办、农业农村办、生态环保办、乡村振兴办、人居环境办、产业发展办、社会治安办、应急管理办、文化教育办、民政办、卫生健康办共15个</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lang w:val="en-US" w:eastAsia="zh-CN"/>
        </w:rPr>
        <w:t>按有关规定或章程设置的机构</w:t>
      </w:r>
      <w:r>
        <w:rPr>
          <w:rFonts w:hint="default" w:ascii="Times New Roman" w:hAnsi="Times New Roman" w:eastAsia="宋体" w:cs="Times New Roman"/>
          <w:color w:val="000000"/>
          <w:sz w:val="32"/>
          <w:szCs w:val="32"/>
          <w:lang w:val="en-US" w:eastAsia="zh-CN"/>
        </w:rPr>
        <w:t>包括：</w:t>
      </w:r>
      <w:r>
        <w:rPr>
          <w:rFonts w:hint="default" w:ascii="Times New Roman" w:hAnsi="Times New Roman" w:eastAsia="宋体" w:cs="Times New Roman"/>
          <w:color w:val="000000"/>
          <w:sz w:val="32"/>
          <w:szCs w:val="32"/>
          <w:lang w:val="en-US" w:eastAsia="zh-CN"/>
        </w:rPr>
        <w:t>镇人大</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镇政协联络工作室</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镇纪委</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武装部</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工会</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团委</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lang w:val="en-US" w:eastAsia="zh-CN"/>
        </w:rPr>
        <w:t>妇联</w:t>
      </w:r>
      <w:r>
        <w:rPr>
          <w:rFonts w:hint="default" w:ascii="Times New Roman" w:hAnsi="Times New Roman" w:eastAsia="宋体" w:cs="Times New Roman"/>
          <w:color w:val="000000"/>
          <w:sz w:val="32"/>
          <w:szCs w:val="32"/>
          <w:lang w:val="en-US" w:eastAsia="zh-CN"/>
        </w:rPr>
        <w:t>共7个</w:t>
      </w:r>
      <w:r>
        <w:rPr>
          <w:rFonts w:hint="default" w:ascii="Times New Roman" w:hAnsi="Times New Roman" w:eastAsia="宋体" w:cs="Times New Roman"/>
          <w:color w:val="000000"/>
          <w:sz w:val="32"/>
          <w:szCs w:val="32"/>
        </w:rPr>
        <w:t>。本单位共有编制人数</w:t>
      </w: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7人，劳务派遣人员</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人，实有在职人员</w:t>
      </w:r>
      <w:r>
        <w:rPr>
          <w:rFonts w:hint="default" w:ascii="Times New Roman" w:hAnsi="Times New Roman" w:eastAsia="宋体" w:cs="Times New Roman"/>
          <w:color w:val="000000"/>
          <w:sz w:val="32"/>
          <w:szCs w:val="32"/>
          <w:lang w:val="en-US" w:eastAsia="zh-CN"/>
        </w:rPr>
        <w:t>100</w:t>
      </w:r>
      <w:r>
        <w:rPr>
          <w:rFonts w:hint="default" w:ascii="Times New Roman" w:hAnsi="Times New Roman" w:eastAsia="宋体" w:cs="Times New Roman"/>
          <w:color w:val="000000"/>
          <w:sz w:val="32"/>
          <w:szCs w:val="32"/>
        </w:rPr>
        <w:t>人</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无离休人员，退休人员14人，遗嘱补助人员1</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人。</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攸县菜花坪镇人民政府预算公开只有本级，没有其他预算单位，纳入编制范围的预算单位仅含攸县菜花坪镇人民政府本级。</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bookmarkStart w:id="0" w:name="OLE_LINK2"/>
      <w:r>
        <w:rPr>
          <w:rFonts w:hint="default" w:ascii="Times New Roman" w:hAnsi="Times New Roman" w:eastAsia="宋体" w:cs="Times New Roman"/>
          <w:color w:val="000000"/>
          <w:sz w:val="32"/>
          <w:szCs w:val="32"/>
          <w:lang w:val="en-US" w:eastAsia="zh-CN"/>
        </w:rPr>
        <w:t>2226.71</w:t>
      </w:r>
      <w:bookmarkEnd w:id="0"/>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1015</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1211.71</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2226.71</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1363.44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科学技术支出</w:t>
      </w:r>
      <w:r>
        <w:rPr>
          <w:rFonts w:hint="default" w:ascii="Times New Roman" w:hAnsi="Times New Roman" w:eastAsia="宋体" w:cs="Times New Roman"/>
          <w:color w:val="000000"/>
          <w:sz w:val="32"/>
          <w:szCs w:val="32"/>
          <w:lang w:val="en-US" w:eastAsia="zh-CN"/>
        </w:rPr>
        <w:t>40万元，文化旅游体育与传媒支出30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，社会保障和就业支出</w:t>
      </w:r>
      <w:bookmarkStart w:id="1" w:name="OLE_LINK1"/>
      <w:r>
        <w:rPr>
          <w:rFonts w:hint="default" w:ascii="Times New Roman" w:hAnsi="Times New Roman" w:eastAsia="宋体" w:cs="Times New Roman"/>
          <w:color w:val="000000"/>
          <w:sz w:val="32"/>
          <w:szCs w:val="32"/>
          <w:lang w:val="en-US" w:eastAsia="zh-CN"/>
        </w:rPr>
        <w:t>174.89</w:t>
      </w:r>
      <w:r>
        <w:rPr>
          <w:rFonts w:hint="default" w:ascii="Times New Roman" w:hAnsi="Times New Roman" w:eastAsia="宋体" w:cs="Times New Roman"/>
          <w:color w:val="000000"/>
          <w:sz w:val="32"/>
          <w:szCs w:val="32"/>
        </w:rPr>
        <w:t>万元</w:t>
      </w:r>
      <w:bookmarkEnd w:id="1"/>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rPr>
        <w:t>卫生健康支出</w:t>
      </w:r>
      <w:r>
        <w:rPr>
          <w:rFonts w:hint="default" w:ascii="Times New Roman" w:hAnsi="Times New Roman" w:eastAsia="宋体" w:cs="Times New Roman"/>
          <w:color w:val="000000"/>
          <w:sz w:val="32"/>
          <w:szCs w:val="32"/>
          <w:lang w:val="en-US" w:eastAsia="zh-CN"/>
        </w:rPr>
        <w:t>111.18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，城乡社区支出</w:t>
      </w:r>
      <w:r>
        <w:rPr>
          <w:rFonts w:hint="default" w:ascii="Times New Roman" w:hAnsi="Times New Roman" w:eastAsia="宋体" w:cs="Times New Roman"/>
          <w:color w:val="000000"/>
          <w:sz w:val="32"/>
          <w:szCs w:val="32"/>
          <w:lang w:val="en-US" w:eastAsia="zh-CN"/>
        </w:rPr>
        <w:t>60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，农林水支出</w:t>
      </w:r>
      <w:r>
        <w:rPr>
          <w:rFonts w:hint="default" w:ascii="Times New Roman" w:hAnsi="Times New Roman" w:eastAsia="宋体" w:cs="Times New Roman"/>
          <w:color w:val="000000"/>
          <w:sz w:val="32"/>
          <w:szCs w:val="32"/>
          <w:lang w:val="en-US" w:eastAsia="zh-CN"/>
        </w:rPr>
        <w:t>247</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，交通运输支出</w:t>
      </w:r>
      <w:r>
        <w:rPr>
          <w:rFonts w:hint="default" w:ascii="Times New Roman" w:hAnsi="Times New Roman" w:eastAsia="宋体" w:cs="Times New Roman"/>
          <w:color w:val="000000"/>
          <w:sz w:val="32"/>
          <w:szCs w:val="32"/>
          <w:lang w:val="en-US" w:eastAsia="zh-CN"/>
        </w:rPr>
        <w:t>40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，商业服务业等支出</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100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，其他支出</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2226.71</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sz w:val="32"/>
          <w:szCs w:val="32"/>
          <w:lang w:eastAsia="zh-CN"/>
        </w:rPr>
        <w:t>减少</w:t>
      </w:r>
      <w:r>
        <w:rPr>
          <w:rFonts w:hint="default" w:ascii="Times New Roman" w:hAnsi="Times New Roman" w:eastAsia="宋体" w:cs="Times New Roman"/>
          <w:color w:val="000000"/>
          <w:sz w:val="32"/>
          <w:szCs w:val="32"/>
          <w:lang w:val="en-US" w:eastAsia="zh-CN"/>
        </w:rPr>
        <w:t>180.29</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执行零基预算，控制了经费开支。</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1015</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833.63</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213.24</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rPr>
        <w:t>180.09</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160.77</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71.37</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32.18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3.93万元、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64.05</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108</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134.37</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水</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电</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14</w:t>
      </w:r>
      <w:r>
        <w:rPr>
          <w:rFonts w:hint="default" w:ascii="Times New Roman" w:hAnsi="Times New Roman" w:eastAsia="宋体" w:cs="Times New Roman"/>
          <w:color w:val="000000"/>
          <w:sz w:val="32"/>
          <w:szCs w:val="32"/>
        </w:rPr>
        <w:t>万元、</w:t>
      </w:r>
      <w:bookmarkStart w:id="2" w:name="OLE_LINK3"/>
      <w:r>
        <w:rPr>
          <w:rFonts w:hint="default" w:ascii="Times New Roman" w:hAnsi="Times New Roman" w:eastAsia="宋体" w:cs="Times New Roman"/>
          <w:color w:val="000000"/>
          <w:sz w:val="32"/>
          <w:szCs w:val="32"/>
          <w:lang w:eastAsia="zh-CN"/>
        </w:rPr>
        <w:t>邮电</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bookmarkEnd w:id="2"/>
      <w:r>
        <w:rPr>
          <w:rFonts w:hint="default" w:ascii="Times New Roman" w:hAnsi="Times New Roman" w:eastAsia="宋体" w:cs="Times New Roman"/>
          <w:color w:val="000000"/>
          <w:sz w:val="32"/>
          <w:szCs w:val="32"/>
          <w:lang w:eastAsia="zh-CN"/>
        </w:rPr>
        <w:t>、差旅</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、维修</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、会议</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、培训</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、公务接待费</w:t>
      </w:r>
      <w:r>
        <w:rPr>
          <w:rFonts w:hint="default" w:ascii="Times New Roman" w:hAnsi="Times New Roman" w:eastAsia="宋体" w:cs="Times New Roman"/>
          <w:color w:val="000000"/>
          <w:sz w:val="32"/>
          <w:szCs w:val="32"/>
          <w:lang w:val="en-US" w:eastAsia="zh-CN"/>
        </w:rPr>
        <w:t>2</w:t>
      </w:r>
      <w:bookmarkStart w:id="3" w:name="OLE_LINK4"/>
      <w:r>
        <w:rPr>
          <w:rFonts w:hint="default" w:ascii="Times New Roman" w:hAnsi="Times New Roman" w:eastAsia="宋体" w:cs="Times New Roman"/>
          <w:color w:val="000000"/>
          <w:sz w:val="32"/>
          <w:szCs w:val="32"/>
        </w:rPr>
        <w:t>万元</w:t>
      </w:r>
      <w:bookmarkEnd w:id="3"/>
      <w:r>
        <w:rPr>
          <w:rFonts w:hint="default" w:ascii="Times New Roman" w:hAnsi="Times New Roman" w:eastAsia="宋体" w:cs="Times New Roman"/>
          <w:color w:val="000000"/>
          <w:sz w:val="32"/>
          <w:szCs w:val="32"/>
          <w:lang w:eastAsia="zh-CN"/>
        </w:rPr>
        <w:t>、劳务费</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、工会经费</w:t>
      </w:r>
      <w:r>
        <w:rPr>
          <w:rFonts w:hint="default" w:ascii="Times New Roman" w:hAnsi="Times New Roman" w:eastAsia="宋体" w:cs="Times New Roman"/>
          <w:color w:val="000000"/>
          <w:sz w:val="32"/>
          <w:szCs w:val="32"/>
          <w:lang w:val="en-US" w:eastAsia="zh-CN"/>
        </w:rPr>
        <w:t>7.02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、福利费</w:t>
      </w:r>
      <w:r>
        <w:rPr>
          <w:rFonts w:hint="default" w:ascii="Times New Roman" w:hAnsi="Times New Roman" w:eastAsia="宋体" w:cs="Times New Roman"/>
          <w:color w:val="000000"/>
          <w:sz w:val="32"/>
          <w:szCs w:val="32"/>
          <w:lang w:val="en-US" w:eastAsia="zh-CN"/>
        </w:rPr>
        <w:t>10.53</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、其他交通费用</w:t>
      </w:r>
      <w:r>
        <w:rPr>
          <w:rFonts w:hint="default" w:ascii="Times New Roman" w:hAnsi="Times New Roman" w:eastAsia="宋体" w:cs="Times New Roman"/>
          <w:color w:val="000000"/>
          <w:sz w:val="32"/>
          <w:szCs w:val="32"/>
          <w:lang w:val="en-US" w:eastAsia="zh-CN"/>
        </w:rPr>
        <w:t>39.82</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47</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村级转移支付办公经费</w:t>
      </w:r>
      <w:r>
        <w:rPr>
          <w:rFonts w:hint="default" w:ascii="Times New Roman" w:hAnsi="Times New Roman" w:eastAsia="宋体" w:cs="Times New Roman"/>
          <w:color w:val="000000"/>
          <w:sz w:val="32"/>
          <w:szCs w:val="32"/>
          <w:lang w:val="en-US" w:eastAsia="zh-CN"/>
        </w:rPr>
        <w:t>47</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134.37</w:t>
      </w:r>
      <w:r>
        <w:rPr>
          <w:rFonts w:hint="default" w:ascii="Times New Roman" w:hAnsi="Times New Roman" w:eastAsia="宋体" w:cs="Times New Roman"/>
          <w:color w:val="000000"/>
          <w:sz w:val="32"/>
          <w:szCs w:val="32"/>
        </w:rPr>
        <w:t>万元，预算与上一年度</w:t>
      </w:r>
      <w:r>
        <w:rPr>
          <w:rFonts w:hint="default" w:ascii="Times New Roman" w:hAnsi="Times New Roman" w:eastAsia="宋体" w:cs="Times New Roman"/>
          <w:color w:val="000000"/>
          <w:sz w:val="32"/>
          <w:szCs w:val="32"/>
          <w:lang w:val="en-US" w:eastAsia="zh-CN"/>
        </w:rPr>
        <w:t>比上年预算减少65.63万元，主要原因是执行零基预算，控制了经费开支</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100</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2226.71</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1649.71</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577</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eastAsia="zh-CN"/>
        </w:rPr>
        <w:t>持平，</w:t>
      </w:r>
      <w:r>
        <w:rPr>
          <w:rFonts w:hint="default" w:ascii="Times New Roman" w:hAnsi="Times New Roman" w:eastAsia="宋体" w:cs="Times New Roman"/>
          <w:color w:val="000000"/>
          <w:sz w:val="32"/>
          <w:szCs w:val="32"/>
        </w:rPr>
        <w:t>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kern w:val="2"/>
          <w:sz w:val="32"/>
          <w:szCs w:val="32"/>
        </w:rPr>
        <w:t>严格贯彻落实中央八项规定，缩减了“三公”经费开支</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kern w:val="2"/>
          <w:sz w:val="32"/>
          <w:szCs w:val="32"/>
        </w:rPr>
        <w:t>拟召开镇党政、党建、经济、农业、应急等各项业务工作会议，人数1000人，内容为协调商定本镇年度分工、经济发展、农业发展、处理应急事务等</w:t>
      </w:r>
      <w:r>
        <w:rPr>
          <w:rFonts w:hint="default" w:ascii="Times New Roman" w:hAnsi="Times New Roman" w:eastAsia="宋体" w:cs="Times New Roman"/>
          <w:color w:val="000000"/>
          <w:kern w:val="2"/>
          <w:sz w:val="32"/>
          <w:szCs w:val="32"/>
          <w:lang w:eastAsia="zh-CN"/>
        </w:rPr>
        <w:t>。</w:t>
      </w:r>
    </w:p>
    <w:p>
      <w:pPr>
        <w:spacing w:before="0" w:beforeAutospacing="0" w:after="1" w:afterAutospacing="0"/>
        <w:ind w:left="0" w:firstLine="660"/>
        <w:rPr>
          <w:rFonts w:hint="default" w:ascii="Times New Roman" w:hAnsi="Times New Roman" w:eastAsia="宋体" w:cs="Times New Roman"/>
          <w:color w:val="000000"/>
          <w:kern w:val="2"/>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kern w:val="2"/>
          <w:sz w:val="32"/>
          <w:szCs w:val="32"/>
        </w:rPr>
        <w:t>拟召开镇村干部</w:t>
      </w:r>
      <w:r>
        <w:rPr>
          <w:rFonts w:hint="default" w:ascii="Times New Roman" w:hAnsi="Times New Roman" w:eastAsia="宋体" w:cs="Times New Roman"/>
          <w:color w:val="000000"/>
          <w:kern w:val="2"/>
          <w:sz w:val="32"/>
          <w:szCs w:val="32"/>
          <w:lang w:eastAsia="zh-CN"/>
        </w:rPr>
        <w:t>思想建设、内部控制建设</w:t>
      </w:r>
      <w:r>
        <w:rPr>
          <w:rFonts w:hint="default" w:ascii="Times New Roman" w:hAnsi="Times New Roman" w:eastAsia="宋体" w:cs="Times New Roman"/>
          <w:color w:val="000000"/>
          <w:kern w:val="2"/>
          <w:sz w:val="32"/>
          <w:szCs w:val="32"/>
        </w:rPr>
        <w:t>培训，人数</w:t>
      </w:r>
      <w:r>
        <w:rPr>
          <w:rFonts w:hint="default" w:ascii="Times New Roman" w:hAnsi="Times New Roman" w:eastAsia="宋体" w:cs="Times New Roman"/>
          <w:color w:val="000000"/>
          <w:kern w:val="2"/>
          <w:sz w:val="32"/>
          <w:szCs w:val="32"/>
          <w:lang w:val="en-US" w:eastAsia="zh-CN"/>
        </w:rPr>
        <w:t>8</w:t>
      </w:r>
      <w:r>
        <w:rPr>
          <w:rFonts w:hint="default" w:ascii="Times New Roman" w:hAnsi="Times New Roman" w:eastAsia="宋体" w:cs="Times New Roman"/>
          <w:color w:val="000000"/>
          <w:kern w:val="2"/>
          <w:sz w:val="32"/>
          <w:szCs w:val="32"/>
        </w:rPr>
        <w:t>00人，内容为提升镇村干部思想建设，培养干部工作素能，巩固为民服务的宗旨；</w:t>
      </w:r>
    </w:p>
    <w:p>
      <w:pPr>
        <w:spacing w:before="0" w:beforeAutospacing="0" w:after="1" w:afterAutospacing="0"/>
        <w:ind w:left="0" w:firstLine="660"/>
        <w:rPr>
          <w:rFonts w:hint="default" w:ascii="Times New Roman" w:hAnsi="Times New Roman" w:cs="Times New Roman"/>
        </w:rPr>
      </w:pPr>
      <w:r>
        <w:rPr>
          <w:rFonts w:hint="default" w:ascii="Times New Roman" w:hAnsi="Times New Roman" w:eastAsia="等线" w:cs="Times New Roman"/>
          <w:color w:val="000000"/>
          <w:kern w:val="2"/>
          <w:sz w:val="21"/>
          <w:szCs w:val="21"/>
        </w:rPr>
        <w:t xml:space="preserve"> </w:t>
      </w:r>
      <w:r>
        <w:rPr>
          <w:rFonts w:hint="default" w:ascii="Times New Roman" w:hAnsi="Times New Roman" w:eastAsia="宋体" w:cs="Times New Roman"/>
          <w:color w:val="000000"/>
          <w:kern w:val="2"/>
          <w:sz w:val="32"/>
          <w:szCs w:val="32"/>
          <w:lang w:eastAsia="zh-CN"/>
        </w:rPr>
        <w:t>未</w:t>
      </w:r>
      <w:r>
        <w:rPr>
          <w:rFonts w:hint="default" w:ascii="Times New Roman" w:hAnsi="Times New Roman" w:eastAsia="宋体" w:cs="Times New Roman"/>
          <w:color w:val="000000"/>
          <w:kern w:val="2"/>
          <w:sz w:val="32"/>
          <w:szCs w:val="32"/>
        </w:rPr>
        <w:t>举办节庆、晚会、论坛、赛事活动，开支0万元，无相关活动计划</w:t>
      </w:r>
      <w:r>
        <w:rPr>
          <w:rFonts w:hint="default" w:ascii="Times New Roman" w:hAnsi="Times New Roman" w:eastAsia="宋体" w:cs="Times New Roman"/>
          <w:color w:val="000000"/>
          <w:kern w:val="2"/>
          <w:sz w:val="32"/>
          <w:szCs w:val="32"/>
          <w:lang w:eastAsia="zh-CN"/>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bookmarkEnd w:id="4"/>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6875211"/>
    <w:rsid w:val="068A4B73"/>
    <w:rsid w:val="077B68BF"/>
    <w:rsid w:val="0AB55AC9"/>
    <w:rsid w:val="0D3C4F80"/>
    <w:rsid w:val="0EE130CF"/>
    <w:rsid w:val="0F6956C4"/>
    <w:rsid w:val="104D0514"/>
    <w:rsid w:val="11486C47"/>
    <w:rsid w:val="115E60CE"/>
    <w:rsid w:val="141146D3"/>
    <w:rsid w:val="14784A5D"/>
    <w:rsid w:val="164C5692"/>
    <w:rsid w:val="17A67AC2"/>
    <w:rsid w:val="1823790B"/>
    <w:rsid w:val="18355884"/>
    <w:rsid w:val="1B8119D6"/>
    <w:rsid w:val="1D550E29"/>
    <w:rsid w:val="1D734096"/>
    <w:rsid w:val="1EAF1A31"/>
    <w:rsid w:val="1FED1EC6"/>
    <w:rsid w:val="2063467B"/>
    <w:rsid w:val="20B5083F"/>
    <w:rsid w:val="21B85CFD"/>
    <w:rsid w:val="22E04F40"/>
    <w:rsid w:val="23C23970"/>
    <w:rsid w:val="24FC1DF2"/>
    <w:rsid w:val="25645916"/>
    <w:rsid w:val="25A21694"/>
    <w:rsid w:val="26DA02D7"/>
    <w:rsid w:val="26E55F15"/>
    <w:rsid w:val="27E623AC"/>
    <w:rsid w:val="282052BC"/>
    <w:rsid w:val="28EB1D54"/>
    <w:rsid w:val="2B795054"/>
    <w:rsid w:val="30195425"/>
    <w:rsid w:val="30380FAE"/>
    <w:rsid w:val="31D93E11"/>
    <w:rsid w:val="32357615"/>
    <w:rsid w:val="33295289"/>
    <w:rsid w:val="342D7D62"/>
    <w:rsid w:val="3B91694A"/>
    <w:rsid w:val="3E3451B3"/>
    <w:rsid w:val="3E7A1A0D"/>
    <w:rsid w:val="410D2834"/>
    <w:rsid w:val="450B5C90"/>
    <w:rsid w:val="452655C6"/>
    <w:rsid w:val="462E69C4"/>
    <w:rsid w:val="4A7F176D"/>
    <w:rsid w:val="4BD94BB6"/>
    <w:rsid w:val="4C0A58AA"/>
    <w:rsid w:val="4C5C3A28"/>
    <w:rsid w:val="4D801F4B"/>
    <w:rsid w:val="50F04351"/>
    <w:rsid w:val="51202704"/>
    <w:rsid w:val="536461B4"/>
    <w:rsid w:val="55870ECF"/>
    <w:rsid w:val="564F73D8"/>
    <w:rsid w:val="56BC015E"/>
    <w:rsid w:val="5A0510BB"/>
    <w:rsid w:val="5B791423"/>
    <w:rsid w:val="5EBD76F3"/>
    <w:rsid w:val="611B7B79"/>
    <w:rsid w:val="61EB714F"/>
    <w:rsid w:val="663056D0"/>
    <w:rsid w:val="6803196D"/>
    <w:rsid w:val="6DE86669"/>
    <w:rsid w:val="71C64208"/>
    <w:rsid w:val="73C44DE3"/>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3735</Words>
  <Characters>4045</Characters>
  <TotalTime>4</TotalTime>
  <ScaleCrop>false</ScaleCrop>
  <LinksUpToDate>false</LinksUpToDate>
  <CharactersWithSpaces>4138</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2025-06-23T06:48:38Z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