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8"/>
          <w:szCs w:val="48"/>
          <w:shd w:val="clear" w:fill="FFFFFF"/>
          <w:lang w:val="en-US" w:eastAsia="zh-CN" w:bidi="ar"/>
        </w:rPr>
        <w:t>202</w:t>
      </w: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8"/>
          <w:szCs w:val="48"/>
          <w:shd w:val="clear" w:fill="FFFFFF"/>
          <w:lang w:val="en-US" w:eastAsia="zh-CN" w:bidi="ar"/>
        </w:rPr>
        <w:t>5</w:t>
      </w: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8"/>
          <w:szCs w:val="48"/>
          <w:shd w:val="clear" w:fill="FFFFFF"/>
          <w:lang w:val="en-US" w:eastAsia="zh-CN" w:bidi="ar"/>
        </w:rPr>
        <w:t>年度攸县桃水镇人民政府部门预算公开说明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6"/>
          <w:szCs w:val="36"/>
          <w:shd w:val="clear" w:fill="FFFFFF"/>
          <w:lang w:val="en-US" w:eastAsia="zh-CN" w:bidi="ar"/>
        </w:rPr>
        <w:t>目 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第一部分 202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年部门预算说明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二、机构设置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三、部门预算单位构成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四、部门收支总体情况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（一）收入预算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（二）支出预算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（三）预算收支增减变化情况说明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五、一般公共预算拨款支出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（一）人员类支出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（二）运转类支出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（三）特定目标类支出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六、政府性基金预算支出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七、其他重要事项的情况说明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（一）机关运行经费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（二）政府采购预算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（三）国有资产占有情况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（四）预算绩效目标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（五）“三公”经费预算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（六）会议费、培训费等预算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八、名词解释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第二部分</w:t>
      </w:r>
      <w:r>
        <w:rPr>
          <w:rFonts w:hint="default" w:ascii="Times New Roman" w:hAnsi="Times New Roman" w:eastAsia="font-size:16pt;" w:cs="Times New Roman"/>
          <w:b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年部门预算表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1、收支总表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2、收入总表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3、支出总表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4、支出预算分类汇总表（按政府预算经济分类）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5、支出预算分类汇总表（按部门预算经济分类）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6、财政拨款收支总表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7、一般公共预算支出表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8、一般公共预算基本支出表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9、一般公共预算基本支出表--人员经费(工资福利支出)(按政府预算经济分类)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10、一般公共预算基本支出表--人员经费(工资福利支出)(按部门预算经济分类)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11、一般公共预算基本支出表--人员经费(对个人和家庭的补助)(按政府预算经济分类)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12、一般公共预算基本支出表--人员经费(对个人和家庭的补助)（按部门预算经济分类）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13、一般公共预算基本支出表--公用经费(商品和服务支出)（按政府预算经济分类）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14、一般公共预算基本支出表--公用经费(商品和服务支出)(按部门预算经济分类)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15、一般公共预算“三公”经费支出表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16、政府性基金预算支出表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17、政府性基金预算支出分类汇总表（按政府预算经济分类）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18、政府性基金预算支出分类汇总表（按部门预算经济分类）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19、国有资本经营预算支出表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20、财政专户管理资金预算支出表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21、专项资金预算汇总表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22、项目支出绩效目标表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23、整体支出绩效目标表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0"/>
          <w:szCs w:val="40"/>
          <w:shd w:val="clear" w:fill="FFFFFF"/>
          <w:lang w:val="en-US" w:eastAsia="zh-CN" w:bidi="ar"/>
        </w:rPr>
        <w:t>第一部分 202</w:t>
      </w: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0"/>
          <w:szCs w:val="40"/>
          <w:shd w:val="clear" w:fill="FFFFFF"/>
          <w:lang w:val="en-US" w:eastAsia="zh-CN" w:bidi="ar"/>
        </w:rPr>
        <w:t>5</w:t>
      </w: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0"/>
          <w:szCs w:val="40"/>
          <w:shd w:val="clear" w:fill="FFFFFF"/>
          <w:lang w:val="en-US" w:eastAsia="zh-CN" w:bidi="ar"/>
        </w:rPr>
        <w:t>年部门预算说明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7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本部门主要职责是：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1、执行本级人民代表大会的决议和上级国家行政机关的决定和命令，发布决定和命令。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2、执行本行政区域内的经济和社会发展计划、预算，管理本行政区域内的经济、教育、科学、文化、卫生、体育事业和财政、民政、公安、司法行政、计划生育等行政工作。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3、保护社会主义的全民所有的财产和劳动群众集体所有的财产，保护公民私人所有的合法财产，维护社会秩序，保障公民的人身权利、民主权利和其他权利。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4、保护各种经济组织的合法权益。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5、办理上级人民政府交办的其他事项。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二、机构设置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攸县桃水镇人民政府内设机构包括：内设站所14个，分别为党政办、党建办、农业农村办、生态环境办、乡村振兴办、卫健办、民政办、社会治安办、应急办、经济发展办、财政所、纪检监察室、重点项目办、绩效督查室。本部门共有编制人数59人，实有人数74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7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三、部门预算单位构成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7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攸县桃水镇人民政府预算公开只有本级，没有其他预算单位，纳入编制范围的预算单位仅含攸县桃水镇人民政府本级。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7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四、部门收支总体情况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（一）收入预算：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年年初预算数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2049.9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万元，其中，一般公共预算拨款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989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万元，其他收入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1060.9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万元；因上年结转数暂未最终确定，本年度收支预算中均不含上年结转数字。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（二）支出预算：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年年初预算数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2049.9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，其中：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一般公共服务支出988.95万元，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教育支出20万元，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文化旅游体育与传媒支出3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万元，社会保障和就业支出241.43万元，卫生健康支出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94.52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万元，城乡社区支出197万元，农林水支出285万元，住房保障支出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16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5万元，灾害防治及应急管理支出20万元。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（三）预算收支增减变化情况说明：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年度本单位年初预算数为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2049.9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与上年相比增加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229.59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，主要原因是上级财政增安人员经费，民生项目资金投入加大。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五、一般公共预算拨款支出预算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年一般公共预算拨款收入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989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万元，具体安排情况如下：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人员类支出：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年年初人员类预算数为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806.1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216.96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万元、津贴补贴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190.49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万元、奖金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171.48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74.06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万元、职工基本医疗保险缴费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34.52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万元、住房公积金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66.54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其他社会保障缴费4.05万元，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其他工资福利支出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48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（二）运转类支出：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年年初运转类预算数为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140.9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万元，其中包括：办公费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5万元、印刷费5万元、水费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万元、电费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万元、邮电费5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.6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万元、差旅费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万元、维修(护)费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万元、会议费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1.5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万元、培训费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万元、公务接待费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1.5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专用材料费0.5万、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劳务费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、委托业务0.5万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、工会经费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7.22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福利费10.82万元、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其他交通费用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40.26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万元、其他商品和服务支出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"/>
        <w:jc w:val="both"/>
        <w:textAlignment w:val="auto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（三）特定目标类支出：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年年初特定目标类预算数为42万元，其中包括：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村级转移支付办公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经费42万元。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六、政府性基金预算支出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本部门无政府性基金安排的支出。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七、其他重要事项的情况说明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（一）机关运行经费：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年本部门机关运行经费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140.9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比上年预算增加40.8万元，主要原因是：人员增资调资，人员经费增加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（二）政府采购情况：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年本部门政府采购预算总额36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万元，其中，货物类采购预算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35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万元；服务类采购预算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58"/>
        <w:jc w:val="both"/>
        <w:textAlignment w:val="auto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截至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年12月底，本部门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共有公务用车0辆，其中，机要通信用车0辆，应急保障用车0辆，执法执勤用车0辆，特种专业技术用车0辆，其他按照规定配备的公务用车0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辆；单位价值50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万元以上通用设备0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台，单位价值100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万元以上专用设备0台。202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年拟新增配置公务用车0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辆，其中，机要通信用车0辆，应急保障用车0辆，执法执勤用车0辆，特种专业技术用车0辆，其他按照规定配备的公务用车0辆；新增配备单位价值50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万元以上通用设备0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台，单位价值100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万元以上专用设备0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（四）预算绩效目标说明：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年部门整体支出绩效目标的金额为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2049.9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万元，基本支出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1339.9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万元，项目支出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710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万元。具体绩效目标详见附表。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（五）“三公”经费预算：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1.5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万元，其中，公务接待费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1.5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万元，公务用车购置及运行费0万元（其中，公务用车购置费0万元，公务用车运行费0万元），因公出国（境）费0万元。202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年“三公”经费预算较202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年减少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0.5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万元，主要是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贯彻中央八项规定，压减“三公”经费，树牢“过紧日子”思想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（六）一般性支出情况：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年预算安排会议费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1.5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，拟召开镇经济工作会议、镇人大会议，人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数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95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人，内容为部署202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年工作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、审议政府工作报告、人大报告、财政预算报告、选举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桃水镇人民政府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副镇长；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年预算安排培训费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万元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，拟召开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村（社区）秘书业务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培训、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综治业务</w:t>
      </w:r>
      <w:r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培训，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人数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85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人，内容为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公文格式、会议记录规范、常见公文撰写、保密知识、网格基础数据更新完善、“1+2+N”力量队伍建设、网格事件处置办理结录入、矛盾纠纷排查化解等业务培训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未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举办0场节庆、晚会、论坛、赛事活动，开支0万元，无相关活动计划。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</w:t>
      </w:r>
      <w:r>
        <w:rPr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其他事项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本单位无单独网站，部门预算统一在攸县政府门户网站公开。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八、名词解释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（一）一般公共预算：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（二）政府性基金预算：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（三）国有资本经营预算：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是对国有资本收益作出支出安排的收支预算。应当按照收支平衡的原则编制，不列赤字，并安排资金调入一般公共预算。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（四）社会保险基金预算：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（五）“三公”经费：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是指商品和服务支出中的因公出国（境）费用、公务用车购置及运行维护费和公务接待费。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（六）机关运行经费：</w:t>
      </w: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caps w:val="0"/>
          <w:color w:val="212529"/>
          <w:spacing w:val="0"/>
          <w:sz w:val="21"/>
          <w:szCs w:val="21"/>
        </w:rPr>
      </w:pP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0"/>
          <w:szCs w:val="40"/>
          <w:shd w:val="clear" w:fill="FFFFFF"/>
          <w:lang w:val="en-US" w:eastAsia="zh-CN" w:bidi="ar"/>
        </w:rPr>
        <w:t>第二部分 202</w:t>
      </w: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0"/>
          <w:szCs w:val="40"/>
          <w:shd w:val="clear" w:fill="FFFFFF"/>
          <w:lang w:val="en-US" w:eastAsia="zh-CN" w:bidi="ar"/>
        </w:rPr>
        <w:t>5</w:t>
      </w: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212529"/>
          <w:spacing w:val="0"/>
          <w:kern w:val="0"/>
          <w:sz w:val="40"/>
          <w:szCs w:val="40"/>
          <w:shd w:val="clear" w:fill="FFFFFF"/>
          <w:lang w:val="en-US" w:eastAsia="zh-CN" w:bidi="ar"/>
        </w:rPr>
        <w:t>年部门预算表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（具体见附件）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font-size:16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314B25"/>
    <w:multiLevelType w:val="singleLevel"/>
    <w:tmpl w:val="A3314B2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79BA"/>
    <w:rsid w:val="0B0348A6"/>
    <w:rsid w:val="0C1A73BD"/>
    <w:rsid w:val="107119AA"/>
    <w:rsid w:val="15570296"/>
    <w:rsid w:val="15D44166"/>
    <w:rsid w:val="18C808AD"/>
    <w:rsid w:val="1C812798"/>
    <w:rsid w:val="26743325"/>
    <w:rsid w:val="27DD67B0"/>
    <w:rsid w:val="2AFB19AA"/>
    <w:rsid w:val="30806CBD"/>
    <w:rsid w:val="334130F5"/>
    <w:rsid w:val="3D9036C8"/>
    <w:rsid w:val="3E7F3674"/>
    <w:rsid w:val="475B646C"/>
    <w:rsid w:val="4EF96821"/>
    <w:rsid w:val="503C25C2"/>
    <w:rsid w:val="527D286B"/>
    <w:rsid w:val="54A24D11"/>
    <w:rsid w:val="569D0356"/>
    <w:rsid w:val="611F0040"/>
    <w:rsid w:val="61276301"/>
    <w:rsid w:val="63493562"/>
    <w:rsid w:val="79121BC9"/>
    <w:rsid w:val="7A7057FE"/>
    <w:rsid w:val="7B794454"/>
    <w:rsid w:val="7FC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2025-05-26T03:12:00Z</dcterms:created>
  <dc:creator>Administrator</dc:creator>
  <cp:lastModifiedBy>昶辉</cp:lastModifiedBy>
  <dcterms:modified xsi:type="dcterms:W3CDTF">2025-06-23T03:47:10Z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