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ascii="Times New Roman" w:hAnsi="Times New Roman" w:cs="Times New Roman"/>
        </w:rPr>
      </w:pPr>
      <w:bookmarkStart w:id="0" w:name="_GoBack"/>
      <w:r>
        <w:rPr>
          <w:rStyle w:val="15"/>
          <w:rFonts w:hint="default" w:ascii="Times New Roman" w:hAnsi="Times New Roman" w:eastAsia="宋体" w:cs="Times New Roman"/>
          <w:color w:val="000000"/>
          <w:sz w:val="48"/>
          <w:szCs w:val="48"/>
        </w:rPr>
        <w:t>2025年度攸县莲塘坳镇人民政府预算公开说明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5"/>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一、部门基本概况</w:t>
      </w:r>
      <w:r>
        <w:rPr>
          <w:rStyle w:val="15"/>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（一）</w:t>
      </w:r>
      <w:r>
        <w:rPr>
          <w:rFonts w:hint="default" w:ascii="Times New Roman" w:hAnsi="Times New Roman" w:eastAsia="宋体" w:cs="Times New Roman"/>
          <w:sz w:val="32"/>
          <w:szCs w:val="32"/>
        </w:rPr>
        <w:t>执行上级国家行政机关的决定、命令和国家制定的法令、法规，接受同级党委的领导，执行本级人民代表大会的各项决议，并报告执行决议、决定和命令的情况。</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（二）制定并落实本行政区域的经济计划和措施，促进产业结构调整及其他经济保持平衡协调发展，全面提高人民群众的生活水平和生活质量。</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（三）承担国有资产、集体资产管理、监督及增值保值责任;保护公民私人所有合法财产，保障集体经济组织应有的自主权;监督企业和各种经济联合体、个体户认真执行国家的法律、法令和政策，履行经济合同。</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四）开展社会主义民主和法制的宣传教育，保障公民的权利;制定社会治安综合治理工作规划并组织实施;加强社区管理工作，依法管理外来流动人口，处理人民来信来访，调解民间纠纷，打击违法犯罪，维护社会稳定。</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五）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（六）加强镇级财政的监督和管理，按计划组织、管理镇财政收入和支出，执行国家有关财经纪律和政策，保证国家财政收入的完成;做好统计工作。</w:t>
      </w:r>
    </w:p>
    <w:p>
      <w:pPr>
        <w:pStyle w:val="8"/>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color w:val="000000"/>
          <w:sz w:val="32"/>
          <w:szCs w:val="32"/>
          <w:lang w:bidi="ar"/>
        </w:rPr>
        <w:t>（</w:t>
      </w:r>
      <w:r>
        <w:rPr>
          <w:rFonts w:hint="default" w:ascii="Times New Roman" w:hAnsi="Times New Roman" w:eastAsia="宋体" w:cs="Times New Roman"/>
          <w:sz w:val="32"/>
          <w:szCs w:val="32"/>
        </w:rPr>
        <w:t>七）指导、支持、帮助村(居)民委员会的组织制度建设和业务建设，促进村(居)民委员会民主自治。</w:t>
      </w:r>
    </w:p>
    <w:p>
      <w:pPr>
        <w:pStyle w:val="8"/>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（八）制定和组织实施镇村建设规划;加强公用、市政设施、水利建设和管理以及房屋土地管理和环境综合整治工作，保护和改善生活环境和生态环境。</w:t>
      </w:r>
    </w:p>
    <w:p>
      <w:pPr>
        <w:pStyle w:val="8"/>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（九）协助和支持设置在本行政区域内不隶属于镇的国家机关和企事业单位工作，监督其遵守和执行国家的法律、法规和政策。</w:t>
      </w:r>
    </w:p>
    <w:p>
      <w:pPr>
        <w:pStyle w:val="8"/>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（十）承办县人民政府交办的其它事项。</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color w:val="FF0000"/>
        </w:rPr>
      </w:pPr>
      <w:r>
        <w:rPr>
          <w:rFonts w:hint="default" w:ascii="Times New Roman" w:hAnsi="Times New Roman" w:eastAsia="宋体" w:cs="Times New Roman"/>
          <w:sz w:val="32"/>
          <w:szCs w:val="32"/>
        </w:rPr>
        <w:t>攸县莲塘坳镇人民政府内设机构包括：攸县莲塘坳镇人民政府属正科级单位，其中内设机构14个,分别为：党政办、财政所、党建办、城建国土办、综治办、农业办、卫健办、安监环保应急办、经管站、人居环境整治办、社会事务办、乡村振兴办、产业招商办、重点项目办。本部门现有编制人数66名,在编人员60人，退休人员52人。</w:t>
      </w:r>
      <w:r>
        <w:rPr>
          <w:rFonts w:hint="default" w:ascii="Times New Roman" w:hAnsi="Times New Roman" w:cs="Times New Roman"/>
          <w:color w:val="FF0000"/>
        </w:rPr>
        <w:t xml:space="preserve"> </w:t>
      </w:r>
    </w:p>
    <w:p>
      <w:pPr>
        <w:spacing w:after="2"/>
        <w:ind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Fonts w:hint="default" w:ascii="Times New Roman" w:hAnsi="Times New Roman" w:eastAsia="宋体" w:cs="Times New Roman"/>
          <w:sz w:val="32"/>
          <w:szCs w:val="32"/>
        </w:rPr>
        <w:t>我单位只有本级，没有其他预算单位，因此纳入2025年度部门预算编制范围的为攸县莲塘坳镇人民政府。</w:t>
      </w:r>
    </w:p>
    <w:p>
      <w:pPr>
        <w:spacing w:after="2"/>
        <w:ind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2025年年初预算数2987.29万元，其中，一般公共预算拨款1124万元，其他收入1863.29万元；因上年结转数暂未最终确定，本年度收支预算中均不含上年结转数字。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eastAsia="宋体" w:cs="Times New Roman"/>
          <w:color w:val="000000"/>
          <w:sz w:val="32"/>
          <w:szCs w:val="32"/>
        </w:rPr>
      </w:pPr>
      <w:r>
        <w:rPr>
          <w:rStyle w:val="15"/>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2987.29万元，其中：一般公共服务支出1427.87万元，公共安全支出55万元，教育支出55万元，文化旅游体育与传媒支出30万元，社会保障和就业支出226.18万元，卫生健康支出163.1万元，城乡社区支出140万元，农林水支出675万元，资源勘探工业信息等支出10万元，住房保障支出140.14万元，其他支出65万元。</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2025年度本单位年初预算数为2987.29万元，与上年相比</w:t>
      </w:r>
      <w:r>
        <w:rPr>
          <w:rFonts w:hint="default" w:ascii="Times New Roman" w:hAnsi="Times New Roman" w:eastAsia="宋体" w:cs="Times New Roman"/>
          <w:sz w:val="32"/>
          <w:szCs w:val="32"/>
        </w:rPr>
        <w:t>增加109.29</w:t>
      </w:r>
      <w:r>
        <w:rPr>
          <w:rFonts w:hint="default" w:ascii="Times New Roman" w:hAnsi="Times New Roman" w:eastAsia="宋体" w:cs="Times New Roman"/>
          <w:color w:val="000000"/>
          <w:sz w:val="32"/>
          <w:szCs w:val="32"/>
        </w:rPr>
        <w:t>万元，主要原因是工资调标，人员经费增加。</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2025年一般公共预算拨款支出预算1124万元，具体安排情况如下：</w:t>
      </w:r>
      <w:r>
        <w:rPr>
          <w:rFonts w:hint="default" w:ascii="Times New Roman" w:hAnsi="Times New Roman" w:cs="Times New Roman"/>
          <w:color w:val="000000"/>
        </w:rPr>
        <w:t xml:space="preserve"> </w:t>
      </w:r>
    </w:p>
    <w:p>
      <w:pPr>
        <w:numPr>
          <w:ilvl w:val="0"/>
          <w:numId w:val="1"/>
        </w:num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2025年年初人员类预算数为890.08万元，其中，工资福利支出：基本工资235.67万元、津贴补贴195万元、奖金175.68万元、机关事业单位基本养老保险缴费78.18万元、职工基本医疗保险缴费35.1万元、其他社会保障缴费4.31万元、住房公积金70.14万元、其他工资福利支出96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146.92万元，其中包括：办公费26万元、印刷费5万元、水费10万元、电费8万元、邮电费6万元、差旅费6万元、维修(护)费5万元、会议费5万元、培训费5万元、公务接待费3万元、劳务费5万元、工会经费7.7万元、福利费11.55万元、其他交通费用43.67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2025年年初特定目标类预算数为87万元，其中包括：村级转移支付（办公经费）87万元。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2"/>
        </w:numPr>
        <w:spacing w:after="2"/>
        <w:ind w:firstLine="660"/>
        <w:rPr>
          <w:rStyle w:val="15"/>
          <w:rFonts w:hint="default" w:ascii="Times New Roman" w:hAnsi="Times New Roman" w:eastAsia="宋体" w:cs="Times New Roman"/>
          <w:color w:val="000000"/>
          <w:sz w:val="32"/>
          <w:szCs w:val="32"/>
        </w:rPr>
      </w:pPr>
      <w:r>
        <w:rPr>
          <w:rStyle w:val="15"/>
          <w:rFonts w:hint="default" w:ascii="Times New Roman" w:hAnsi="Times New Roman" w:eastAsia="宋体" w:cs="Times New Roman"/>
          <w:color w:val="000000"/>
          <w:sz w:val="32"/>
          <w:szCs w:val="32"/>
        </w:rPr>
        <w:t>国有资本经营预算支出</w:t>
      </w:r>
    </w:p>
    <w:p>
      <w:pPr>
        <w:spacing w:after="2"/>
        <w:ind w:firstLine="660"/>
        <w:rPr>
          <w:rStyle w:val="15"/>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2025年本部门机关运行经费146.92万元，比上年预算减少143.08万元，主要原因是严控一般性支出，打造“过紧日子”政府。</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2025年本部门政府采购预算总额50万元，其中，货物类采购预算30万元；工程类采购预算10万元；服务类采购预算10万元。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本部门所有支出实行绩效目标管理，其中：纳入2025年部门整体支出绩效目标的金额为2987.29万元，基本支出1717.29万元，项目支出1270万元。具体绩效目标详见附表。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3万元，其中，公务接待费3万元，公务用车购置及运行费0万元（其中，公务用车购置费0万元，公务用车运行费0万元），因公出国（境）费0万元。2025年“三公”经费预算较2024年减少8万元，主要原因是严格执行中央“八项规定”、“六项禁令”的有关规定，厉行节约，减少“三公”经费。</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2025年预算安排会议费5万元，拟召开党代会、经济工作会议、人大会、业务培训会议等会议；</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2025年预算安排培训费5万元，拟召开村级财务业务培训、乡村振兴业务培训等培训；</w:t>
      </w:r>
    </w:p>
    <w:p>
      <w:pPr>
        <w:spacing w:after="2"/>
        <w:ind w:firstLine="660"/>
        <w:rPr>
          <w:rFonts w:hint="default" w:ascii="Times New Roman" w:hAnsi="Times New Roman" w:cs="Times New Roman"/>
        </w:rPr>
      </w:pPr>
      <w:r>
        <w:rPr>
          <w:rFonts w:hint="default" w:ascii="Times New Roman" w:hAnsi="Times New Roman" w:eastAsia="宋体" w:cs="Times New Roman"/>
          <w:sz w:val="32"/>
          <w:szCs w:val="32"/>
        </w:rPr>
        <w:t>未举办节庆、晚会、论坛、赛事活动，经费预算0万元。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FFDEBCC0"/>
    <w:multiLevelType w:val="singleLevel"/>
    <w:tmpl w:val="FFDEBC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622ACB"/>
    <w:rsid w:val="003E02A4"/>
    <w:rsid w:val="00622ACB"/>
    <w:rsid w:val="0098669C"/>
    <w:rsid w:val="00E168ED"/>
    <w:rsid w:val="019C1745"/>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CB7840A"/>
    <w:rsid w:val="3E3451B3"/>
    <w:rsid w:val="3E7A1A0D"/>
    <w:rsid w:val="410D2834"/>
    <w:rsid w:val="42A6082E"/>
    <w:rsid w:val="450B5C90"/>
    <w:rsid w:val="452655C6"/>
    <w:rsid w:val="4A7F176D"/>
    <w:rsid w:val="4BD94BB6"/>
    <w:rsid w:val="4C0A58AA"/>
    <w:rsid w:val="4C5C3A28"/>
    <w:rsid w:val="4D801F4B"/>
    <w:rsid w:val="4FEC8863"/>
    <w:rsid w:val="50F04351"/>
    <w:rsid w:val="51202704"/>
    <w:rsid w:val="536461B4"/>
    <w:rsid w:val="55870ECF"/>
    <w:rsid w:val="564F73D8"/>
    <w:rsid w:val="56BC015E"/>
    <w:rsid w:val="5A0510BB"/>
    <w:rsid w:val="5B791423"/>
    <w:rsid w:val="5EBD76F3"/>
    <w:rsid w:val="61EB714F"/>
    <w:rsid w:val="6DE86669"/>
    <w:rsid w:val="71C64208"/>
    <w:rsid w:val="74B742EE"/>
    <w:rsid w:val="76CF33C0"/>
    <w:rsid w:val="77EE03ED"/>
    <w:rsid w:val="7959640F"/>
    <w:rsid w:val="79F7C88B"/>
    <w:rsid w:val="7A394809"/>
    <w:rsid w:val="7A806876"/>
    <w:rsid w:val="7F7EA815"/>
    <w:rsid w:val="7FD79E06"/>
    <w:rsid w:val="BA3C4E30"/>
    <w:rsid w:val="BF7B7739"/>
    <w:rsid w:val="FBEE87D2"/>
    <w:rsid w:val="FBFFB20F"/>
    <w:rsid w:val="FD5710FA"/>
    <w:rsid w:val="FE6E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2">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5">
    <w:name w:val="Strong"/>
    <w:basedOn w:val="14"/>
    <w:qFormat/>
    <w:uiPriority w:val="0"/>
    <w:rPr>
      <w:b/>
    </w:rPr>
  </w:style>
  <w:style w:type="paragraph" w:customStyle="1" w:styleId="16">
    <w:name w:val="18"/>
    <w:basedOn w:val="1"/>
    <w:qFormat/>
    <w:uiPriority w:val="0"/>
  </w:style>
  <w:style w:type="character" w:customStyle="1" w:styleId="17">
    <w:name w:val="页眉 字符"/>
    <w:basedOn w:val="14"/>
    <w:link w:val="10"/>
    <w:uiPriority w:val="0"/>
    <w:rPr>
      <w:rFonts w:ascii="等线" w:hAnsi="等线" w:eastAsia="等线"/>
      <w:kern w:val="2"/>
      <w:sz w:val="18"/>
      <w:szCs w:val="18"/>
    </w:rPr>
  </w:style>
  <w:style w:type="character" w:customStyle="1" w:styleId="18">
    <w:name w:val="页脚 字符"/>
    <w:basedOn w:val="14"/>
    <w:link w:val="9"/>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2069</Words>
  <Characters>2194</Characters>
  <Lines>121</Lines>
  <Paragraphs>103</Paragraphs>
  <TotalTime>57</TotalTime>
  <ScaleCrop>false</ScaleCrop>
  <LinksUpToDate>false</LinksUpToDate>
  <CharactersWithSpaces>4160</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2025-05-13T15:08:00Z</dcterms:created>
  <dc:creator>Administrator.USER-20190110RB</dc:creator>
  <cp:lastModifiedBy>昶辉</cp:lastModifiedBy>
  <dcterms:modified xsi:type="dcterms:W3CDTF">2025-06-23T03:42:18Z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