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</w:rPr>
      </w:pPr>
      <w:bookmarkStart w:id="1" w:name="_GoBack"/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2025年度攸县新市镇人民政府部门预算公开说明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4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1、执行本级人民代表大会的各项决议，并报告执行决议、决定和命令的情况。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2、制定并落实本行政区域的经济计划和措施，全面提高 人民群众的生活水平和生活质量。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3、承担国有资产、集体资产管理、监督及增值保值责任。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4、开展社会主义民主和法制的宣传教育，保障公民的权 利，打击违法犯罪，维护社会稳定。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5、制定社会各项事业发展计划，发展教育、卫生、科技、 民政、广播电视、文化、体育事业；加强计划生育工作；推进社 会保障、社会福利事业和养老保险等工作。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6、加强镇级财政的监督和管理。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7、指导村（居）民委员会的组织制度建设和业务建设， 促进村（居）民委员会民主自治。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8、制定和组织实施镇村建设规划，保护和改善生活环境 和生态环境。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9、协助和支持设置在本行政区域内不隶属于镇的国家机 关和企事业单位工作，监督其遵守和执行国家的法律、法规和政策。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10、承办本级党委、人大和上级交办的其他事项。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新市镇人民政府内设机构包括：下设机构13个,分别为：党政办、党建办、纪委、退役军人服务站、经济发展办、财政所、民生事务办、平安法治和应急管理办、生态事务中心、司法所、农业综合服务中心、社会事务综合服务中心、综合行政执法大队。</w:t>
      </w:r>
      <w:bookmarkStart w:id="0" w:name="OLE_LINK1"/>
      <w:r>
        <w:rPr>
          <w:rFonts w:hint="default" w:ascii="Times New Roman" w:hAnsi="Times New Roman" w:eastAsia="宋体" w:cs="Times New Roman"/>
          <w:sz w:val="32"/>
          <w:szCs w:val="32"/>
        </w:rPr>
        <w:t>本部门现有编制人数93名,在编人员79人；离退休人数84人，其中退休人员84人。</w:t>
      </w:r>
      <w:bookmarkEnd w:id="0"/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我单位只有本级，没有其他预算单位，因此纳入2025年度部门预算编制范围的为攸县新市镇人民政府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2025年年初预算数3558.11万元，其中，一般公共预算拨款1308万元，其他收入2250.11万元；因上年结转数暂未最终确定，本年度收支预算中均不含上年结转数字。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eastAsia="宋体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3558.11万元，其中：一般公共服务支出1480.11万元，教育支出30万元，文化旅游体育与传媒支出65万元，社会保障和就业支出345万元，节能环保支出90万元，城乡社区支出500万元，卫生健康支出140万元，农林水支出608万元，住房保障支出240万元，交通运输支出60万元。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2025年度本单位年初预算数为3558.11万元，与上年相</w:t>
      </w:r>
      <w:r>
        <w:rPr>
          <w:rFonts w:hint="default" w:ascii="Times New Roman" w:hAnsi="Times New Roman" w:eastAsia="宋体" w:cs="Times New Roman"/>
          <w:sz w:val="32"/>
          <w:szCs w:val="32"/>
        </w:rPr>
        <w:t>比增加142.07万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元，主要原因是人员结构变化人员刚性支出增加、历史债务偿还支出增加。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2025年一般公共预算拨款支出预算1308万元，具体安排情况如下：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1028.16万元，其中，工资福利支出：基本工资255.53万元、津贴补贴225.2万元、奖金203.27万元、机关事业单位基本养老保险缴费87.33万元、职工基本医疗保险缴费40.95万元、其他社会保障缴费4.76万元、住房公积金79.12万元、其他工资福利支出132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2025年年初运转类预算数为171.84万元，其中包括：办公费20万元、印刷费7万元、水费10万、电费12万、邮电费6万、差旅费20万、维修（护）3万、会议费5万、培训费5万、公务接待费5万、委托业务费5万、工会经费8.49、福利费12.74万、其他交通费52.61万。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2025年年初特定目标类预算数为108万元，其中包括：村级转移支付办公经费108万元。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2025年本部门机关运行经费171.84万元，预算比上年预算减少227.94万元，主要原因是落实“过紧日子”要求，严控各项支出。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2025年本部门政府采购预算总额65万元，其中，货物类采购预算35万元；服务类采购预算30万元。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本部门所有支出实行绩效目标管理，其中：纳入2025年部门整体支出绩效目标的金额为3558.11万元，基本支出1875.11万元，项目支出1683万元。具体绩效目标详见附表。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5万元，其中，公务接待费5万元，公务用车购置及运行费0万元（其中，公务用车购置费0万元，公务用车运行费0万元），因公出国（境）费0万元。2025年“三公”经费预算较2024年减少5万元，主要原因是贯彻落实中央八项规定，严控三公经费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2025年预算安排会议费5万元，拟召开10次会议，人数1080人，内容为政府经济工作会议，人大会议，各部门机关工作调度、总结会议，业务培训会议等；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2025年预算安排培训费5元，拟召开9次培训，人数1210人，内容为村干部能力培训、干部外出考察培训、各部门相关业务等培训；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未举办节庆、晚会、论坛、赛事活动，经费预算0万元。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bookmarkEnd w:id="1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3913AA"/>
    <w:multiLevelType w:val="singleLevel"/>
    <w:tmpl w:val="423913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MTRmYzFkZGQzMjFiZTFiYzE2NGQxZGRmNDk3YmIifQ=="/>
    <w:docVar w:name="KSO_WPS_MARK_KEY" w:val="088ed08e-40d3-4249-9486-bef68dc6f042"/>
  </w:docVars>
  <w:rsids>
    <w:rsidRoot w:val="00E40366"/>
    <w:rsid w:val="001D0615"/>
    <w:rsid w:val="00347FB9"/>
    <w:rsid w:val="00DC4B48"/>
    <w:rsid w:val="00E40366"/>
    <w:rsid w:val="019C1745"/>
    <w:rsid w:val="059E0C1C"/>
    <w:rsid w:val="077B68BF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9B412DF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AD52E64"/>
    <w:rsid w:val="2B795054"/>
    <w:rsid w:val="30195425"/>
    <w:rsid w:val="30380FAE"/>
    <w:rsid w:val="31D93E11"/>
    <w:rsid w:val="32357615"/>
    <w:rsid w:val="33295289"/>
    <w:rsid w:val="342D7D62"/>
    <w:rsid w:val="3B91694A"/>
    <w:rsid w:val="3C685FEB"/>
    <w:rsid w:val="3E3451B3"/>
    <w:rsid w:val="3E7A1A0D"/>
    <w:rsid w:val="410D2834"/>
    <w:rsid w:val="450B5C90"/>
    <w:rsid w:val="452655C6"/>
    <w:rsid w:val="478D395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474816"/>
    <w:rsid w:val="5EBD76F3"/>
    <w:rsid w:val="61EB714F"/>
    <w:rsid w:val="67183BDE"/>
    <w:rsid w:val="693371D4"/>
    <w:rsid w:val="6DE86669"/>
    <w:rsid w:val="70843B68"/>
    <w:rsid w:val="71C64208"/>
    <w:rsid w:val="722075C3"/>
    <w:rsid w:val="736B75C6"/>
    <w:rsid w:val="740F42BD"/>
    <w:rsid w:val="74B742EE"/>
    <w:rsid w:val="76CF33C0"/>
    <w:rsid w:val="77EE03ED"/>
    <w:rsid w:val="7959640F"/>
    <w:rsid w:val="7A394809"/>
    <w:rsid w:val="7A6335B5"/>
    <w:rsid w:val="7A8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1920</Words>
  <Characters>2056</Characters>
  <Lines>114</Lines>
  <Paragraphs>104</Paragraphs>
  <TotalTime>1091</TotalTime>
  <ScaleCrop>false</ScaleCrop>
  <LinksUpToDate>false</LinksUpToDate>
  <CharactersWithSpaces>3872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2025-06-23T03:41:30Z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92252E9A10D94A728AB8E886F4BB7F7A_13</vt:lpwstr>
  </property>
</Properties>
</file>