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Times New Roman" w:hAnsi="Times New Roman" w:eastAsia="宋体" w:cs="Times New Roman"/>
          <w:lang w:eastAsia="zh-CN"/>
        </w:rPr>
      </w:pPr>
      <w:bookmarkStart w:id="0" w:name="_GoBack"/>
      <w:r>
        <w:rPr>
          <w:rStyle w:val="12"/>
          <w:rFonts w:hint="default" w:ascii="Times New Roman" w:hAnsi="Times New Roman" w:eastAsia="宋体" w:cs="Times New Roman"/>
          <w:color w:val="000000"/>
          <w:sz w:val="48"/>
          <w:szCs w:val="48"/>
        </w:rPr>
        <w:t>202</w:t>
      </w:r>
      <w:r>
        <w:rPr>
          <w:rStyle w:val="12"/>
          <w:rFonts w:hint="default" w:ascii="Times New Roman" w:hAnsi="Times New Roman" w:eastAsia="宋体" w:cs="Times New Roman"/>
          <w:color w:val="000000"/>
          <w:sz w:val="48"/>
          <w:szCs w:val="48"/>
          <w:lang w:val="en-US" w:eastAsia="zh-CN"/>
        </w:rPr>
        <w:t>5</w:t>
      </w:r>
      <w:r>
        <w:rPr>
          <w:rStyle w:val="12"/>
          <w:rFonts w:hint="default" w:ascii="Times New Roman" w:hAnsi="Times New Roman" w:eastAsia="宋体" w:cs="Times New Roman"/>
          <w:color w:val="000000"/>
          <w:sz w:val="48"/>
          <w:szCs w:val="48"/>
        </w:rPr>
        <w:t>年度攸</w:t>
      </w:r>
      <w:r>
        <w:rPr>
          <w:rStyle w:val="12"/>
          <w:rFonts w:hint="default" w:ascii="Times New Roman" w:hAnsi="Times New Roman" w:eastAsia="宋体" w:cs="Times New Roman"/>
          <w:color w:val="000000"/>
          <w:sz w:val="48"/>
          <w:szCs w:val="48"/>
          <w:lang w:eastAsia="zh-CN"/>
        </w:rPr>
        <w:t>县酒埠江镇人民政府</w:t>
      </w:r>
      <w:r>
        <w:rPr>
          <w:rStyle w:val="12"/>
          <w:rFonts w:hint="default" w:ascii="Times New Roman" w:hAnsi="Times New Roman" w:eastAsia="宋体" w:cs="Times New Roman"/>
          <w:color w:val="000000"/>
          <w:sz w:val="48"/>
          <w:szCs w:val="48"/>
        </w:rPr>
        <w:t>部门预算公开说明</w:t>
      </w:r>
    </w:p>
    <w:p>
      <w:pPr>
        <w:spacing w:before="0" w:beforeAutospacing="0" w:after="2" w:afterAutospacing="0"/>
        <w:jc w:val="center"/>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 </w:t>
      </w:r>
    </w:p>
    <w:p>
      <w:pPr>
        <w:spacing w:before="0" w:beforeAutospacing="0" w:after="2" w:afterAutospacing="0"/>
        <w:jc w:val="center"/>
        <w:rPr>
          <w:rFonts w:hint="default" w:ascii="Times New Roman" w:hAnsi="Times New Roman" w:eastAsia="宋体" w:cs="Times New Roman"/>
          <w:lang w:eastAsia="zh-CN"/>
        </w:rPr>
      </w:pPr>
      <w:r>
        <w:rPr>
          <w:rStyle w:val="12"/>
          <w:rFonts w:hint="default" w:ascii="Times New Roman" w:hAnsi="Times New Roman" w:eastAsia="宋体" w:cs="Times New Roman"/>
          <w:color w:val="000000"/>
          <w:sz w:val="36"/>
          <w:szCs w:val="36"/>
        </w:rPr>
        <w:t>目录</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b/>
          <w:color w:val="000000"/>
          <w:sz w:val="32"/>
          <w:szCs w:val="32"/>
        </w:rPr>
        <w:t>第一部分202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年部门预算说明</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一、部门基本概况</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三、部门预算单位构成</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四、部门收支总体情况</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（一）收入预算</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（二）支出预算</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五、一般公共预算拨款支出</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（一）人员类支出</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（二）运转类支出</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before="0" w:beforeAutospacing="0" w:after="2" w:afterAutospacing="0"/>
        <w:ind w:left="0"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八</w:t>
      </w:r>
      <w:r>
        <w:rPr>
          <w:rFonts w:hint="default" w:ascii="Times New Roman" w:hAnsi="Times New Roman" w:eastAsia="宋体" w:cs="Times New Roman"/>
          <w:color w:val="000000"/>
          <w:sz w:val="32"/>
          <w:szCs w:val="32"/>
        </w:rPr>
        <w:t>、其他重要事项的情况说明</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（一）机关运行经费</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（二）政府采购预算</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（三）国有资产占有情况</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（四）预算绩效目标</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（五）“三公”经费预算</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（六）会议费、培训费等预算</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九</w:t>
      </w:r>
      <w:r>
        <w:rPr>
          <w:rFonts w:hint="default" w:ascii="Times New Roman" w:hAnsi="Times New Roman" w:eastAsia="宋体" w:cs="Times New Roman"/>
          <w:color w:val="000000"/>
          <w:sz w:val="32"/>
          <w:szCs w:val="32"/>
        </w:rPr>
        <w:t>、名词解释</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b/>
          <w:color w:val="000000"/>
          <w:sz w:val="32"/>
          <w:szCs w:val="32"/>
        </w:rPr>
        <w:t>第二部分202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年部门预算表</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1、收支总表</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2、收入总表</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3、支出总表</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4、支出预算分类汇总表（按政府预算经济分类）</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5、支出预算分类汇总表（按部门预算经济分类）</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6、财政拨款收支总表</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7、一般公共预算支出表</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8、一般公共预算基本支出表</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9、一般公共预算基本支出表--人员经费(工资福利支出)(按政府预算经济分类)</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10、一般公共预算基本支出表--人员经费(工资福利支出)(按部门预算经济分类)</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11、一般公共预算基本支出表--人员经费(对个人和家庭的补助)(按政府预算经济分类)</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12、一般公共预算基本支出表--人员经费(对个人和家庭的补助)（按部门预算经济分类）</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13、一般公共预算基本支出表--公用经费(商品和服务支出)（按政府预算经济分类）</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14、一般公共预算基本支出表--公用经费(商品和服务支出)(按部门预算经济分类)</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15、一般公共预算“三公”经费支出表</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16、政府性基金预算支出表</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17、政府性基金预算支出分类汇总表（按政府预算经济分类）</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18、政府性基金预算支出分类汇总表（按部门预算经济分类）</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19、国有资本经营预算支出表</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20、财政专户管理资金预算支出表</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21、专项资金预算汇总表</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22、项目支出绩效目标表</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23、整体支出绩效目标表</w:t>
      </w:r>
    </w:p>
    <w:p>
      <w:pPr>
        <w:spacing w:before="0" w:beforeAutospacing="0" w:after="2" w:afterAutospacing="0"/>
        <w:ind w:left="0" w:firstLine="643"/>
        <w:rPr>
          <w:rFonts w:hint="default" w:ascii="Times New Roman" w:hAnsi="Times New Roman" w:eastAsia="宋体" w:cs="Times New Roman"/>
          <w:lang w:eastAsia="zh-CN"/>
        </w:rPr>
      </w:pPr>
      <w:r>
        <w:rPr>
          <w:rStyle w:val="12"/>
          <w:rFonts w:hint="default" w:ascii="Times New Roman" w:hAnsi="Times New Roman" w:eastAsia="宋体" w:cs="Times New Roman"/>
          <w:color w:val="000000"/>
          <w:sz w:val="28"/>
          <w:szCs w:val="28"/>
        </w:rPr>
        <w:t>注：以上部门预算报表中，空表表示本部门无相关收支情况。</w:t>
      </w:r>
    </w:p>
    <w:p>
      <w:pPr>
        <w:spacing w:before="0" w:beforeAutospacing="0" w:after="2" w:afterAutospacing="0"/>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 </w:t>
      </w:r>
    </w:p>
    <w:p>
      <w:pPr>
        <w:spacing w:before="0" w:beforeAutospacing="0" w:after="2" w:afterAutospacing="0"/>
        <w:rPr>
          <w:rFonts w:hint="default" w:ascii="Times New Roman" w:hAnsi="Times New Roman" w:cs="Times New Roman"/>
        </w:rPr>
      </w:pPr>
    </w:p>
    <w:p>
      <w:pPr>
        <w:spacing w:before="0" w:beforeAutospacing="0" w:after="2" w:afterAutospacing="0"/>
        <w:jc w:val="center"/>
        <w:rPr>
          <w:rFonts w:hint="default" w:ascii="Times New Roman" w:hAnsi="Times New Roman" w:eastAsia="宋体" w:cs="Times New Roman"/>
          <w:lang w:eastAsia="zh-CN"/>
        </w:rPr>
      </w:pPr>
      <w:r>
        <w:rPr>
          <w:rStyle w:val="12"/>
          <w:rFonts w:hint="default" w:ascii="Times New Roman" w:hAnsi="Times New Roman" w:eastAsia="宋体" w:cs="Times New Roman"/>
          <w:color w:val="000000"/>
          <w:sz w:val="40"/>
          <w:szCs w:val="40"/>
        </w:rPr>
        <w:t>第一部分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年部门预算说明</w:t>
      </w:r>
    </w:p>
    <w:p>
      <w:pPr>
        <w:spacing w:before="0" w:beforeAutospacing="0" w:after="2" w:afterAutospacing="0"/>
        <w:rPr>
          <w:rFonts w:hint="default" w:ascii="Times New Roman" w:hAnsi="Times New Roman" w:eastAsia="宋体" w:cs="Times New Roman"/>
          <w:lang w:eastAsia="zh-CN"/>
        </w:rPr>
      </w:pPr>
      <w:r>
        <w:rPr>
          <w:rFonts w:hint="default" w:ascii="Times New Roman" w:hAnsi="Times New Roman" w:eastAsia="宋体" w:cs="Times New Roman"/>
          <w:b/>
          <w:color w:val="000000"/>
          <w:sz w:val="32"/>
          <w:szCs w:val="32"/>
        </w:rPr>
        <w:t> </w:t>
      </w:r>
    </w:p>
    <w:p>
      <w:pPr>
        <w:spacing w:before="0" w:beforeAutospacing="0" w:after="2" w:afterAutospacing="0"/>
        <w:ind w:left="0" w:firstLine="627"/>
        <w:rPr>
          <w:rFonts w:hint="default" w:ascii="Times New Roman" w:hAnsi="Times New Roman" w:eastAsia="宋体" w:cs="Times New Roman"/>
          <w:lang w:eastAsia="zh-CN"/>
        </w:rPr>
      </w:pPr>
      <w:r>
        <w:rPr>
          <w:rStyle w:val="12"/>
          <w:rFonts w:hint="default" w:ascii="Times New Roman" w:hAnsi="Times New Roman" w:eastAsia="宋体" w:cs="Times New Roman"/>
          <w:color w:val="000000"/>
          <w:sz w:val="32"/>
          <w:szCs w:val="32"/>
        </w:rPr>
        <w:t>一、部门基本概况</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本部门主要职责是：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default" w:ascii="Times New Roman" w:hAnsi="Times New Roman" w:eastAsia="Helvetica" w:cs="Times New Roman"/>
          <w:i w:val="0"/>
          <w:iCs w:val="0"/>
          <w:caps w:val="0"/>
          <w:color w:val="212529"/>
          <w:spacing w:val="0"/>
          <w:sz w:val="24"/>
          <w:szCs w:val="24"/>
        </w:rPr>
      </w:pPr>
      <w:r>
        <w:rPr>
          <w:rFonts w:hint="default" w:ascii="Times New Roman" w:hAnsi="Times New Roman" w:eastAsia="Helvetica" w:cs="Times New Roman"/>
          <w:i w:val="0"/>
          <w:iCs w:val="0"/>
          <w:caps w:val="0"/>
          <w:color w:val="212529"/>
          <w:spacing w:val="0"/>
          <w:kern w:val="0"/>
          <w:sz w:val="32"/>
          <w:szCs w:val="32"/>
          <w:shd w:val="clear" w:fill="FFFFFF"/>
          <w:lang w:val="en-US" w:eastAsia="zh-CN" w:bidi="ar"/>
        </w:rPr>
        <w:t>1、执行上级国家行政机关的决定、命令和国家制定的法令、法规，接受同级党委的领导，执行本级人民代表大会的各项决议，并报告执行决议、决定和命令的情况。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default" w:ascii="Times New Roman" w:hAnsi="Times New Roman" w:eastAsia="Helvetica" w:cs="Times New Roman"/>
          <w:i w:val="0"/>
          <w:iCs w:val="0"/>
          <w:caps w:val="0"/>
          <w:color w:val="212529"/>
          <w:spacing w:val="0"/>
          <w:sz w:val="24"/>
          <w:szCs w:val="24"/>
        </w:rPr>
      </w:pPr>
      <w:r>
        <w:rPr>
          <w:rFonts w:hint="default" w:ascii="Times New Roman" w:hAnsi="Times New Roman" w:eastAsia="Helvetica" w:cs="Times New Roman"/>
          <w:i w:val="0"/>
          <w:iCs w:val="0"/>
          <w:caps w:val="0"/>
          <w:color w:val="212529"/>
          <w:spacing w:val="0"/>
          <w:kern w:val="0"/>
          <w:sz w:val="32"/>
          <w:szCs w:val="32"/>
          <w:shd w:val="clear" w:fill="FFFFFF"/>
          <w:lang w:val="en-US" w:eastAsia="zh-CN" w:bidi="ar"/>
        </w:rPr>
        <w:t>2、制定并落实本行政区域的经济计划和措施，促进产业结构调整及其他经济保持平衡协调发展，全面提高人民群众的生活水平和生活质量。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default" w:ascii="Times New Roman" w:hAnsi="Times New Roman" w:eastAsia="Helvetica" w:cs="Times New Roman"/>
          <w:i w:val="0"/>
          <w:iCs w:val="0"/>
          <w:caps w:val="0"/>
          <w:color w:val="212529"/>
          <w:spacing w:val="0"/>
          <w:sz w:val="24"/>
          <w:szCs w:val="24"/>
        </w:rPr>
      </w:pPr>
      <w:r>
        <w:rPr>
          <w:rFonts w:hint="default" w:ascii="Times New Roman" w:hAnsi="Times New Roman" w:eastAsia="Helvetica" w:cs="Times New Roman"/>
          <w:i w:val="0"/>
          <w:iCs w:val="0"/>
          <w:caps w:val="0"/>
          <w:color w:val="212529"/>
          <w:spacing w:val="0"/>
          <w:kern w:val="0"/>
          <w:sz w:val="32"/>
          <w:szCs w:val="32"/>
          <w:shd w:val="clear" w:fill="FFFFFF"/>
          <w:lang w:val="en-US" w:eastAsia="zh-CN" w:bidi="ar"/>
        </w:rPr>
        <w:t>3、承担国有资产、集体资产管理、监督及增值保值责任；保护公民私人所有合法财产，保障集体经济组织应有的自主权；监督企业和各种经济联合体、个体户认真执行国家的法律、法令和政策，履行经济合同。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default" w:ascii="Times New Roman" w:hAnsi="Times New Roman" w:eastAsia="Helvetica" w:cs="Times New Roman"/>
          <w:i w:val="0"/>
          <w:iCs w:val="0"/>
          <w:caps w:val="0"/>
          <w:color w:val="212529"/>
          <w:spacing w:val="0"/>
          <w:sz w:val="24"/>
          <w:szCs w:val="24"/>
        </w:rPr>
      </w:pPr>
      <w:r>
        <w:rPr>
          <w:rFonts w:hint="default" w:ascii="Times New Roman" w:hAnsi="Times New Roman" w:eastAsia="Helvetica" w:cs="Times New Roman"/>
          <w:i w:val="0"/>
          <w:iCs w:val="0"/>
          <w:caps w:val="0"/>
          <w:color w:val="212529"/>
          <w:spacing w:val="0"/>
          <w:kern w:val="0"/>
          <w:sz w:val="32"/>
          <w:szCs w:val="32"/>
          <w:shd w:val="clear" w:fill="FFFFFF"/>
          <w:lang w:val="en-US" w:eastAsia="zh-CN" w:bidi="ar"/>
        </w:rPr>
        <w:t>4、开展社会主义民主和法制的宣传教育，保障公民的权利；制定社会治安综合治理工作规划并组织实施；加强社区管理工作，依法管理外来流动人口，处理人民来信来访，调解民间纠纷，打击违法犯罪，维护社会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default" w:ascii="Times New Roman" w:hAnsi="Times New Roman" w:eastAsia="Helvetica" w:cs="Times New Roman"/>
          <w:i w:val="0"/>
          <w:iCs w:val="0"/>
          <w:caps w:val="0"/>
          <w:color w:val="212529"/>
          <w:spacing w:val="0"/>
          <w:sz w:val="24"/>
          <w:szCs w:val="24"/>
        </w:rPr>
      </w:pPr>
      <w:r>
        <w:rPr>
          <w:rFonts w:hint="default" w:ascii="Times New Roman" w:hAnsi="Times New Roman" w:eastAsia="Helvetica" w:cs="Times New Roman"/>
          <w:i w:val="0"/>
          <w:iCs w:val="0"/>
          <w:caps w:val="0"/>
          <w:color w:val="212529"/>
          <w:spacing w:val="0"/>
          <w:kern w:val="0"/>
          <w:sz w:val="32"/>
          <w:szCs w:val="32"/>
          <w:shd w:val="clear" w:fill="FFFFFF"/>
          <w:lang w:val="en-US" w:eastAsia="zh-CN" w:bidi="ar"/>
        </w:rPr>
        <w:t>5、制定社会各项事业发展计划，发展教育、卫生、科技、民政、文化、体育事业；组织实施义务教育和其他各类教育；加强计划生育工作；推进社会保障、社会福利事业和养老保险工作；做好劳动管理、科普、老龄及宗教、侨务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default" w:ascii="Times New Roman" w:hAnsi="Times New Roman" w:eastAsia="Helvetica" w:cs="Times New Roman"/>
          <w:i w:val="0"/>
          <w:iCs w:val="0"/>
          <w:caps w:val="0"/>
          <w:color w:val="212529"/>
          <w:spacing w:val="0"/>
          <w:sz w:val="24"/>
          <w:szCs w:val="24"/>
        </w:rPr>
      </w:pPr>
      <w:r>
        <w:rPr>
          <w:rFonts w:hint="default" w:ascii="Times New Roman" w:hAnsi="Times New Roman" w:eastAsia="Helvetica" w:cs="Times New Roman"/>
          <w:i w:val="0"/>
          <w:iCs w:val="0"/>
          <w:caps w:val="0"/>
          <w:color w:val="212529"/>
          <w:spacing w:val="0"/>
          <w:kern w:val="0"/>
          <w:sz w:val="32"/>
          <w:szCs w:val="32"/>
          <w:shd w:val="clear" w:fill="FFFFFF"/>
          <w:lang w:val="en-US" w:eastAsia="zh-CN" w:bidi="ar"/>
        </w:rPr>
        <w:t>6、加强镇级财政的监督和管理，按计划组织、管理镇财政收入和支出，执行国家有关财经纪律和政策，保证国家财政收入的完成；做好统计工作。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default" w:ascii="Times New Roman" w:hAnsi="Times New Roman" w:eastAsia="Helvetica" w:cs="Times New Roman"/>
          <w:i w:val="0"/>
          <w:iCs w:val="0"/>
          <w:caps w:val="0"/>
          <w:color w:val="212529"/>
          <w:spacing w:val="0"/>
          <w:sz w:val="24"/>
          <w:szCs w:val="24"/>
        </w:rPr>
      </w:pPr>
      <w:r>
        <w:rPr>
          <w:rFonts w:hint="default" w:ascii="Times New Roman" w:hAnsi="Times New Roman" w:eastAsia="Helvetica" w:cs="Times New Roman"/>
          <w:i w:val="0"/>
          <w:iCs w:val="0"/>
          <w:caps w:val="0"/>
          <w:color w:val="212529"/>
          <w:spacing w:val="0"/>
          <w:kern w:val="0"/>
          <w:sz w:val="32"/>
          <w:szCs w:val="32"/>
          <w:shd w:val="clear" w:fill="FFFFFF"/>
          <w:lang w:val="en-US" w:eastAsia="zh-CN" w:bidi="ar"/>
        </w:rPr>
        <w:t>7、指导、支持、帮助村</w:t>
      </w:r>
      <w:r>
        <w:rPr>
          <w:rFonts w:hint="default" w:ascii="Times New Roman" w:hAnsi="Times New Roman" w:eastAsia="Helvetica" w:cs="Times New Roman"/>
          <w:i w:val="0"/>
          <w:iCs w:val="0"/>
          <w:caps w:val="0"/>
          <w:color w:val="212529"/>
          <w:spacing w:val="0"/>
          <w:kern w:val="0"/>
          <w:sz w:val="32"/>
          <w:szCs w:val="32"/>
          <w:shd w:val="clear" w:fill="FFFFFF"/>
          <w:lang w:val="en-US" w:eastAsia="zh-CN" w:bidi="ar"/>
        </w:rPr>
        <w:t>（</w:t>
      </w:r>
      <w:r>
        <w:rPr>
          <w:rFonts w:hint="default" w:ascii="Times New Roman" w:hAnsi="Times New Roman" w:eastAsia="Helvetica" w:cs="Times New Roman"/>
          <w:i w:val="0"/>
          <w:iCs w:val="0"/>
          <w:caps w:val="0"/>
          <w:color w:val="212529"/>
          <w:spacing w:val="0"/>
          <w:kern w:val="0"/>
          <w:sz w:val="32"/>
          <w:szCs w:val="32"/>
          <w:shd w:val="clear" w:fill="FFFFFF"/>
          <w:lang w:val="en-US" w:eastAsia="zh-CN" w:bidi="ar"/>
        </w:rPr>
        <w:t>居</w:t>
      </w:r>
      <w:r>
        <w:rPr>
          <w:rFonts w:hint="default" w:ascii="Times New Roman" w:hAnsi="Times New Roman" w:eastAsia="Helvetica" w:cs="Times New Roman"/>
          <w:i w:val="0"/>
          <w:iCs w:val="0"/>
          <w:caps w:val="0"/>
          <w:color w:val="212529"/>
          <w:spacing w:val="0"/>
          <w:kern w:val="0"/>
          <w:sz w:val="32"/>
          <w:szCs w:val="32"/>
          <w:shd w:val="clear" w:fill="FFFFFF"/>
          <w:lang w:val="en-US" w:eastAsia="zh-CN" w:bidi="ar"/>
        </w:rPr>
        <w:t>）</w:t>
      </w:r>
      <w:r>
        <w:rPr>
          <w:rFonts w:hint="default" w:ascii="Times New Roman" w:hAnsi="Times New Roman" w:eastAsia="Helvetica" w:cs="Times New Roman"/>
          <w:i w:val="0"/>
          <w:iCs w:val="0"/>
          <w:caps w:val="0"/>
          <w:color w:val="212529"/>
          <w:spacing w:val="0"/>
          <w:kern w:val="0"/>
          <w:sz w:val="32"/>
          <w:szCs w:val="32"/>
          <w:shd w:val="clear" w:fill="FFFFFF"/>
          <w:lang w:val="en-US" w:eastAsia="zh-CN" w:bidi="ar"/>
        </w:rPr>
        <w:t>民委员会的组织制度建设和业务建设，促进村（居）民委员会民主自治。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default" w:ascii="Times New Roman" w:hAnsi="Times New Roman" w:eastAsia="Helvetica" w:cs="Times New Roman"/>
          <w:i w:val="0"/>
          <w:iCs w:val="0"/>
          <w:caps w:val="0"/>
          <w:color w:val="212529"/>
          <w:spacing w:val="0"/>
          <w:sz w:val="24"/>
          <w:szCs w:val="24"/>
        </w:rPr>
      </w:pPr>
      <w:r>
        <w:rPr>
          <w:rFonts w:hint="default" w:ascii="Times New Roman" w:hAnsi="Times New Roman" w:eastAsia="Helvetica" w:cs="Times New Roman"/>
          <w:i w:val="0"/>
          <w:iCs w:val="0"/>
          <w:caps w:val="0"/>
          <w:color w:val="212529"/>
          <w:spacing w:val="0"/>
          <w:kern w:val="0"/>
          <w:sz w:val="32"/>
          <w:szCs w:val="32"/>
          <w:shd w:val="clear" w:fill="FFFFFF"/>
          <w:lang w:val="en-US" w:eastAsia="zh-CN" w:bidi="ar"/>
        </w:rPr>
        <w:t>8、制定和组织实施镇村建设规划；加强公用、市政设施、水利建设和管理以及房屋土地管理和环境综合整治工作，保护和改善生活环境和生态环境。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default" w:ascii="Times New Roman" w:hAnsi="Times New Roman" w:eastAsia="Helvetica" w:cs="Times New Roman"/>
          <w:i w:val="0"/>
          <w:iCs w:val="0"/>
          <w:caps w:val="0"/>
          <w:color w:val="212529"/>
          <w:spacing w:val="0"/>
          <w:sz w:val="24"/>
          <w:szCs w:val="24"/>
        </w:rPr>
      </w:pPr>
      <w:r>
        <w:rPr>
          <w:rFonts w:hint="default" w:ascii="Times New Roman" w:hAnsi="Times New Roman" w:eastAsia="Helvetica" w:cs="Times New Roman"/>
          <w:i w:val="0"/>
          <w:iCs w:val="0"/>
          <w:caps w:val="0"/>
          <w:color w:val="212529"/>
          <w:spacing w:val="0"/>
          <w:kern w:val="0"/>
          <w:sz w:val="32"/>
          <w:szCs w:val="32"/>
          <w:shd w:val="clear" w:fill="FFFFFF"/>
          <w:lang w:val="en-US" w:eastAsia="zh-CN" w:bidi="ar"/>
        </w:rPr>
        <w:t>9、协助和支持设置在本行政区域内不隶属于镇的国家机关和企事业单位工作，监督其遵守和执行国家的法律、法规和政策。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default" w:ascii="Times New Roman" w:hAnsi="Times New Roman" w:eastAsia="宋体" w:cs="Times New Roman"/>
          <w:lang w:eastAsia="zh-CN"/>
        </w:rPr>
      </w:pPr>
      <w:r>
        <w:rPr>
          <w:rFonts w:hint="default" w:ascii="Times New Roman" w:hAnsi="Times New Roman" w:eastAsia="Helvetica" w:cs="Times New Roman"/>
          <w:i w:val="0"/>
          <w:iCs w:val="0"/>
          <w:caps w:val="0"/>
          <w:color w:val="212529"/>
          <w:spacing w:val="0"/>
          <w:kern w:val="0"/>
          <w:sz w:val="32"/>
          <w:szCs w:val="32"/>
          <w:shd w:val="clear" w:fill="FFFFFF"/>
          <w:lang w:val="en-US" w:eastAsia="zh-CN" w:bidi="ar"/>
        </w:rPr>
        <w:t>10、承办县人民政府交办的其它事项</w:t>
      </w:r>
      <w:r>
        <w:rPr>
          <w:rFonts w:hint="default" w:ascii="Times New Roman" w:hAnsi="Times New Roman" w:eastAsia="宋体" w:cs="Times New Roman"/>
          <w:color w:val="000000"/>
          <w:sz w:val="32"/>
          <w:szCs w:val="32"/>
        </w:rPr>
        <w:t>。</w:t>
      </w:r>
    </w:p>
    <w:p>
      <w:pPr>
        <w:spacing w:before="0" w:beforeAutospacing="0" w:after="2" w:afterAutospacing="0"/>
        <w:ind w:left="0" w:firstLine="630"/>
        <w:rPr>
          <w:rFonts w:hint="default" w:ascii="Times New Roman" w:hAnsi="Times New Roman" w:eastAsia="宋体" w:cs="Times New Roman"/>
          <w:lang w:eastAsia="zh-CN"/>
        </w:rPr>
      </w:pPr>
      <w:r>
        <w:rPr>
          <w:rFonts w:hint="default" w:ascii="Times New Roman" w:hAnsi="Times New Roman" w:eastAsia="宋体" w:cs="Times New Roman"/>
          <w:b/>
          <w:color w:val="000000"/>
          <w:sz w:val="32"/>
          <w:szCs w:val="32"/>
        </w:rPr>
        <w:t>二、机构设置</w:t>
      </w:r>
    </w:p>
    <w:p>
      <w:pPr>
        <w:spacing w:before="0" w:beforeAutospacing="0" w:after="2" w:afterAutospacing="0"/>
        <w:ind w:left="0" w:firstLine="630"/>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攸县酒埠江镇人民政府内设机构包括：内设机构17个，分别为党政办、党建办、经济发展办、农业农村办、乡村振兴办、自然资源办、重点项目办、民政办、卫生健康办、生态环境办、社会治安办、应急管理办、财政所、党群服务中心、退役军人服务站、纪检监察办、三资办。本部门共有编制人数57人，实有人数62人</w:t>
      </w:r>
      <w:r>
        <w:rPr>
          <w:rFonts w:hint="default" w:ascii="Times New Roman" w:hAnsi="Times New Roman" w:eastAsia="宋体" w:cs="Times New Roman"/>
          <w:color w:val="auto"/>
          <w:sz w:val="32"/>
          <w:szCs w:val="32"/>
          <w:lang w:eastAsia="zh-CN"/>
        </w:rPr>
        <w:t>；离退休人数</w:t>
      </w:r>
      <w:r>
        <w:rPr>
          <w:rFonts w:hint="default" w:ascii="Times New Roman" w:hAnsi="Times New Roman" w:eastAsia="宋体" w:cs="Times New Roman"/>
          <w:color w:val="auto"/>
          <w:sz w:val="32"/>
          <w:szCs w:val="32"/>
          <w:lang w:val="en-US" w:eastAsia="zh-CN"/>
        </w:rPr>
        <w:t>40人，其中退休人员40人</w:t>
      </w:r>
      <w:r>
        <w:rPr>
          <w:rFonts w:hint="default" w:ascii="Times New Roman" w:hAnsi="Times New Roman" w:eastAsia="宋体" w:cs="Times New Roman"/>
          <w:color w:val="auto"/>
          <w:sz w:val="32"/>
          <w:szCs w:val="32"/>
        </w:rPr>
        <w:t>。</w:t>
      </w:r>
    </w:p>
    <w:p>
      <w:pPr>
        <w:spacing w:before="0" w:beforeAutospacing="0" w:after="2" w:afterAutospacing="0"/>
        <w:ind w:left="0" w:firstLine="627"/>
        <w:rPr>
          <w:rFonts w:hint="default" w:ascii="Times New Roman" w:hAnsi="Times New Roman" w:eastAsia="宋体" w:cs="Times New Roman"/>
          <w:lang w:eastAsia="zh-CN"/>
        </w:rPr>
      </w:pPr>
      <w:r>
        <w:rPr>
          <w:rStyle w:val="12"/>
          <w:rFonts w:hint="default" w:ascii="Times New Roman" w:hAnsi="Times New Roman" w:eastAsia="宋体" w:cs="Times New Roman"/>
          <w:color w:val="000000"/>
          <w:sz w:val="32"/>
          <w:szCs w:val="32"/>
        </w:rPr>
        <w:t>三、部门预算单位构成</w:t>
      </w:r>
    </w:p>
    <w:p>
      <w:pPr>
        <w:spacing w:before="0" w:beforeAutospacing="0" w:after="2" w:afterAutospacing="0"/>
        <w:ind w:left="0" w:firstLine="627"/>
        <w:rPr>
          <w:rFonts w:hint="default" w:ascii="Times New Roman" w:hAnsi="Times New Roman" w:eastAsia="等线" w:cs="Times New Roman"/>
          <w:lang w:eastAsia="zh-CN"/>
        </w:rPr>
      </w:pPr>
      <w:r>
        <w:rPr>
          <w:rFonts w:hint="default" w:ascii="Times New Roman" w:hAnsi="Times New Roman" w:eastAsia="宋体" w:cs="Times New Roman"/>
          <w:color w:val="000000"/>
          <w:sz w:val="32"/>
          <w:szCs w:val="32"/>
          <w:lang w:val="en-US" w:eastAsia="zh-CN"/>
        </w:rPr>
        <w:t>攸县酒埠江镇人民政府预算公开只有本级，没有其他预算单位，纳入编制范围的预算单位仅含攸县酒埠江镇人民政府本级。</w:t>
      </w:r>
    </w:p>
    <w:p>
      <w:pPr>
        <w:spacing w:before="0" w:beforeAutospacing="0" w:after="2" w:afterAutospacing="0"/>
        <w:ind w:left="0" w:firstLine="627"/>
        <w:rPr>
          <w:rFonts w:hint="default" w:ascii="Times New Roman" w:hAnsi="Times New Roman" w:eastAsia="宋体" w:cs="Times New Roman"/>
          <w:lang w:eastAsia="zh-CN"/>
        </w:rPr>
      </w:pPr>
      <w:r>
        <w:rPr>
          <w:rStyle w:val="12"/>
          <w:rFonts w:hint="default" w:ascii="Times New Roman" w:hAnsi="Times New Roman" w:eastAsia="宋体" w:cs="Times New Roman"/>
          <w:color w:val="000000"/>
          <w:sz w:val="32"/>
          <w:szCs w:val="32"/>
        </w:rPr>
        <w:t>四、部门收支总体情况</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年部门预算收入包括：一般公共预算拨款、其他收入；支出包括保障部门基本运行的经费：工资福利支出、商品和服务支出、对个人和家庭的补助。具体作如下安排：</w:t>
      </w:r>
    </w:p>
    <w:p>
      <w:pPr>
        <w:spacing w:before="0" w:beforeAutospacing="0" w:after="2" w:afterAutospacing="0"/>
        <w:ind w:left="0" w:firstLine="630"/>
        <w:rPr>
          <w:rFonts w:hint="default" w:ascii="Times New Roman" w:hAnsi="Times New Roman" w:eastAsia="宋体" w:cs="Times New Roman"/>
          <w:lang w:eastAsia="zh-CN"/>
        </w:rPr>
      </w:pPr>
      <w:r>
        <w:rPr>
          <w:rStyle w:val="12"/>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2904</w:t>
      </w:r>
      <w:r>
        <w:rPr>
          <w:rFonts w:hint="default" w:ascii="Times New Roman" w:hAnsi="Times New Roman" w:eastAsia="宋体" w:cs="Times New Roman"/>
          <w:color w:val="000000"/>
          <w:sz w:val="32"/>
          <w:szCs w:val="32"/>
        </w:rPr>
        <w:t>万元，其中，一般公共预算拨款</w:t>
      </w:r>
      <w:r>
        <w:rPr>
          <w:rFonts w:hint="default" w:ascii="Times New Roman" w:hAnsi="Times New Roman" w:eastAsia="宋体" w:cs="Times New Roman"/>
          <w:color w:val="000000"/>
          <w:sz w:val="32"/>
          <w:szCs w:val="32"/>
          <w:lang w:val="en-US" w:eastAsia="zh-CN"/>
        </w:rPr>
        <w:t>985</w:t>
      </w:r>
      <w:r>
        <w:rPr>
          <w:rFonts w:hint="default" w:ascii="Times New Roman" w:hAnsi="Times New Roman" w:eastAsia="宋体" w:cs="Times New Roman"/>
          <w:color w:val="000000"/>
          <w:sz w:val="32"/>
          <w:szCs w:val="32"/>
        </w:rPr>
        <w:t>万元，其他收入</w:t>
      </w:r>
      <w:r>
        <w:rPr>
          <w:rFonts w:hint="default" w:ascii="Times New Roman" w:hAnsi="Times New Roman" w:eastAsia="宋体" w:cs="Times New Roman"/>
          <w:color w:val="000000"/>
          <w:sz w:val="32"/>
          <w:szCs w:val="32"/>
          <w:lang w:val="en-US" w:eastAsia="zh-CN"/>
        </w:rPr>
        <w:t>1919</w:t>
      </w:r>
      <w:r>
        <w:rPr>
          <w:rFonts w:hint="default" w:ascii="Times New Roman" w:hAnsi="Times New Roman" w:eastAsia="宋体" w:cs="Times New Roman"/>
          <w:color w:val="000000"/>
          <w:sz w:val="32"/>
          <w:szCs w:val="32"/>
        </w:rPr>
        <w:t>万元；因上年结转数暂未最终确定，本年度收支预算中均不含上年结转数字。</w:t>
      </w:r>
    </w:p>
    <w:p>
      <w:pPr>
        <w:spacing w:before="0" w:beforeAutospacing="0" w:after="2" w:afterAutospacing="0"/>
        <w:ind w:left="0" w:firstLine="630"/>
        <w:rPr>
          <w:rFonts w:hint="default" w:ascii="Times New Roman" w:hAnsi="Times New Roman" w:eastAsia="宋体" w:cs="Times New Roman"/>
          <w:lang w:eastAsia="zh-CN"/>
        </w:rPr>
      </w:pPr>
      <w:r>
        <w:rPr>
          <w:rStyle w:val="12"/>
          <w:rFonts w:hint="default" w:ascii="Times New Roman" w:hAnsi="Times New Roman" w:eastAsia="宋体" w:cs="Times New Roman"/>
          <w:b/>
          <w:color w:val="000000"/>
          <w:sz w:val="32"/>
          <w:szCs w:val="32"/>
        </w:rPr>
        <w:t>（二）支出预算：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2904</w:t>
      </w:r>
      <w:r>
        <w:rPr>
          <w:rFonts w:hint="default" w:ascii="Times New Roman" w:hAnsi="Times New Roman" w:eastAsia="宋体" w:cs="Times New Roman"/>
          <w:color w:val="000000"/>
          <w:sz w:val="32"/>
          <w:szCs w:val="32"/>
        </w:rPr>
        <w:t>万元，其中：</w:t>
      </w:r>
      <w:r>
        <w:rPr>
          <w:rFonts w:hint="default" w:ascii="Times New Roman" w:hAnsi="Times New Roman" w:eastAsia="宋体" w:cs="Times New Roman"/>
          <w:color w:val="000000"/>
          <w:sz w:val="32"/>
          <w:szCs w:val="32"/>
        </w:rPr>
        <w:t>一般公共服务支出</w:t>
      </w:r>
      <w:r>
        <w:rPr>
          <w:rFonts w:hint="default" w:ascii="Times New Roman" w:hAnsi="Times New Roman" w:eastAsia="宋体" w:cs="Times New Roman"/>
          <w:color w:val="000000"/>
          <w:sz w:val="32"/>
          <w:szCs w:val="32"/>
          <w:lang w:val="en-US" w:eastAsia="zh-CN"/>
        </w:rPr>
        <w:t>1033</w:t>
      </w:r>
      <w:r>
        <w:rPr>
          <w:rFonts w:hint="default" w:ascii="Times New Roman" w:hAnsi="Times New Roman" w:eastAsia="宋体" w:cs="Times New Roman"/>
          <w:color w:val="000000"/>
          <w:sz w:val="32"/>
          <w:szCs w:val="32"/>
        </w:rPr>
        <w:t>万元，公共安全支出50万元，教育支出20万元，科学技术支出15万元，文化旅游体育与传媒支出60万元，社会保障和就业支出</w:t>
      </w:r>
      <w:r>
        <w:rPr>
          <w:rFonts w:hint="default" w:ascii="Times New Roman" w:hAnsi="Times New Roman" w:eastAsia="宋体" w:cs="Times New Roman"/>
          <w:color w:val="000000"/>
          <w:sz w:val="32"/>
          <w:szCs w:val="32"/>
          <w:lang w:val="en-US" w:eastAsia="zh-CN"/>
        </w:rPr>
        <w:t>162</w:t>
      </w:r>
      <w:r>
        <w:rPr>
          <w:rFonts w:hint="default" w:ascii="Times New Roman" w:hAnsi="Times New Roman" w:eastAsia="宋体" w:cs="Times New Roman"/>
          <w:color w:val="000000"/>
          <w:sz w:val="32"/>
          <w:szCs w:val="32"/>
        </w:rPr>
        <w:t>万元，卫生健康支出</w:t>
      </w:r>
      <w:r>
        <w:rPr>
          <w:rFonts w:hint="default" w:ascii="Times New Roman" w:hAnsi="Times New Roman" w:eastAsia="宋体" w:cs="Times New Roman"/>
          <w:color w:val="000000"/>
          <w:sz w:val="32"/>
          <w:szCs w:val="32"/>
          <w:lang w:val="en-US" w:eastAsia="zh-CN"/>
        </w:rPr>
        <w:t>98</w:t>
      </w:r>
      <w:r>
        <w:rPr>
          <w:rFonts w:hint="default" w:ascii="Times New Roman" w:hAnsi="Times New Roman" w:eastAsia="宋体" w:cs="Times New Roman"/>
          <w:color w:val="000000"/>
          <w:sz w:val="32"/>
          <w:szCs w:val="32"/>
        </w:rPr>
        <w:t>万元，节能环保支出455万元，城乡社区支出352万元，农林水支出450万元，交通运输支出40万元，商业服务业等支出10万元，住房保障支出</w:t>
      </w:r>
      <w:r>
        <w:rPr>
          <w:rFonts w:hint="default" w:ascii="Times New Roman" w:hAnsi="Times New Roman" w:eastAsia="宋体" w:cs="Times New Roman"/>
          <w:color w:val="000000"/>
          <w:sz w:val="32"/>
          <w:szCs w:val="32"/>
          <w:lang w:val="en-US" w:eastAsia="zh-CN"/>
        </w:rPr>
        <w:t>84</w:t>
      </w:r>
      <w:r>
        <w:rPr>
          <w:rFonts w:hint="default" w:ascii="Times New Roman" w:hAnsi="Times New Roman" w:eastAsia="宋体" w:cs="Times New Roman"/>
          <w:color w:val="000000"/>
          <w:sz w:val="32"/>
          <w:szCs w:val="32"/>
        </w:rPr>
        <w:t>万元，灾害防治及应急管理支出20万元，其他支出55万元</w:t>
      </w:r>
      <w:r>
        <w:rPr>
          <w:rFonts w:hint="default" w:ascii="Times New Roman" w:hAnsi="Times New Roman" w:eastAsia="宋体" w:cs="Times New Roman"/>
          <w:color w:val="000000"/>
          <w:sz w:val="32"/>
          <w:szCs w:val="32"/>
        </w:rPr>
        <w:t>。</w:t>
      </w:r>
    </w:p>
    <w:p>
      <w:pPr>
        <w:spacing w:before="0" w:beforeAutospacing="0" w:after="2" w:afterAutospacing="0"/>
        <w:ind w:left="0" w:firstLine="630"/>
        <w:rPr>
          <w:rFonts w:hint="default" w:ascii="Times New Roman" w:hAnsi="Times New Roman" w:eastAsia="宋体" w:cs="Times New Roman"/>
          <w:lang w:eastAsia="zh-CN"/>
        </w:rPr>
      </w:pPr>
      <w:r>
        <w:rPr>
          <w:rStyle w:val="12"/>
          <w:rFonts w:hint="default" w:ascii="Times New Roman" w:hAnsi="Times New Roman" w:eastAsia="宋体" w:cs="Times New Roman"/>
          <w:b/>
          <w:color w:val="000000"/>
          <w:sz w:val="32"/>
          <w:szCs w:val="32"/>
        </w:rPr>
        <w:t>（三）预算收支增减变化情况说明：</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年度本单位年初预算数为</w:t>
      </w:r>
      <w:r>
        <w:rPr>
          <w:rFonts w:hint="default" w:ascii="Times New Roman" w:hAnsi="Times New Roman" w:eastAsia="宋体" w:cs="Times New Roman"/>
          <w:color w:val="000000"/>
          <w:sz w:val="32"/>
          <w:szCs w:val="32"/>
          <w:lang w:val="en-US" w:eastAsia="zh-CN"/>
        </w:rPr>
        <w:t>2904</w:t>
      </w:r>
      <w:r>
        <w:rPr>
          <w:rFonts w:hint="default" w:ascii="Times New Roman" w:hAnsi="Times New Roman" w:eastAsia="宋体" w:cs="Times New Roman"/>
          <w:color w:val="000000"/>
          <w:sz w:val="32"/>
          <w:szCs w:val="32"/>
        </w:rPr>
        <w:t>万元，与上年相比增加</w:t>
      </w:r>
      <w:r>
        <w:rPr>
          <w:rFonts w:hint="default" w:ascii="Times New Roman" w:hAnsi="Times New Roman" w:eastAsia="宋体" w:cs="Times New Roman"/>
          <w:color w:val="000000"/>
          <w:sz w:val="32"/>
          <w:szCs w:val="32"/>
          <w:lang w:val="en-US" w:eastAsia="zh-CN"/>
        </w:rPr>
        <w:t>37</w:t>
      </w:r>
      <w:r>
        <w:rPr>
          <w:rFonts w:hint="default" w:ascii="Times New Roman" w:hAnsi="Times New Roman" w:eastAsia="宋体" w:cs="Times New Roman"/>
          <w:color w:val="000000"/>
          <w:sz w:val="32"/>
          <w:szCs w:val="32"/>
        </w:rPr>
        <w:t>万元，主要原因是</w:t>
      </w:r>
      <w:r>
        <w:rPr>
          <w:rFonts w:hint="default" w:ascii="Times New Roman" w:hAnsi="Times New Roman" w:eastAsia="宋体" w:cs="Times New Roman"/>
          <w:color w:val="000000"/>
          <w:sz w:val="32"/>
          <w:szCs w:val="32"/>
          <w:lang w:val="en-US" w:eastAsia="zh-CN"/>
        </w:rPr>
        <w:t>2025年预算增安人员经费支出</w:t>
      </w:r>
      <w:r>
        <w:rPr>
          <w:rFonts w:hint="default" w:ascii="Times New Roman" w:hAnsi="Times New Roman" w:eastAsia="宋体" w:cs="Times New Roman"/>
          <w:color w:val="000000"/>
          <w:sz w:val="32"/>
          <w:szCs w:val="32"/>
        </w:rPr>
        <w:t>。</w:t>
      </w:r>
    </w:p>
    <w:p>
      <w:pPr>
        <w:spacing w:before="0" w:beforeAutospacing="0" w:after="2" w:afterAutospacing="0"/>
        <w:ind w:left="0" w:firstLine="660"/>
        <w:rPr>
          <w:rFonts w:hint="default" w:ascii="Times New Roman" w:hAnsi="Times New Roman" w:eastAsia="宋体" w:cs="Times New Roman"/>
          <w:lang w:eastAsia="zh-CN"/>
        </w:rPr>
      </w:pPr>
      <w:r>
        <w:rPr>
          <w:rStyle w:val="12"/>
          <w:rFonts w:hint="default" w:ascii="Times New Roman" w:hAnsi="Times New Roman" w:eastAsia="宋体" w:cs="Times New Roman"/>
          <w:color w:val="000000"/>
          <w:sz w:val="32"/>
          <w:szCs w:val="32"/>
        </w:rPr>
        <w:t>五、一般公共预算拨款支出预算</w:t>
      </w:r>
    </w:p>
    <w:p>
      <w:pPr>
        <w:spacing w:before="0" w:beforeAutospacing="0" w:after="2" w:afterAutospacing="0"/>
        <w:ind w:left="0" w:firstLine="660"/>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w:t>
      </w:r>
      <w:r>
        <w:rPr>
          <w:rFonts w:hint="default" w:ascii="Times New Roman" w:hAnsi="Times New Roman" w:eastAsia="宋体" w:cs="Times New Roman"/>
          <w:color w:val="000000"/>
          <w:sz w:val="32"/>
          <w:szCs w:val="32"/>
          <w:lang w:eastAsia="zh-CN"/>
        </w:rPr>
        <w:t>支出预算</w:t>
      </w:r>
      <w:r>
        <w:rPr>
          <w:rFonts w:hint="default" w:ascii="Times New Roman" w:hAnsi="Times New Roman" w:eastAsia="宋体" w:cs="Times New Roman"/>
          <w:color w:val="000000"/>
          <w:sz w:val="32"/>
          <w:szCs w:val="32"/>
          <w:lang w:val="en-US" w:eastAsia="zh-CN"/>
        </w:rPr>
        <w:t>985</w:t>
      </w:r>
      <w:r>
        <w:rPr>
          <w:rFonts w:hint="default" w:ascii="Times New Roman" w:hAnsi="Times New Roman" w:eastAsia="宋体" w:cs="Times New Roman"/>
          <w:color w:val="000000"/>
          <w:sz w:val="32"/>
          <w:szCs w:val="32"/>
        </w:rPr>
        <w:t>万元，具体安排情况如下：</w:t>
      </w:r>
    </w:p>
    <w:p>
      <w:pPr>
        <w:spacing w:before="0" w:beforeAutospacing="0" w:after="2" w:afterAutospacing="0"/>
        <w:ind w:left="0" w:firstLine="660"/>
        <w:rPr>
          <w:rFonts w:hint="default" w:ascii="Times New Roman" w:hAnsi="Times New Roman" w:eastAsia="宋体" w:cs="Times New Roman"/>
          <w:lang w:eastAsia="zh-CN"/>
        </w:rPr>
      </w:pPr>
      <w:r>
        <w:rPr>
          <w:rFonts w:hint="default" w:ascii="Times New Roman" w:hAnsi="Times New Roman" w:eastAsia="宋体" w:cs="Times New Roman"/>
          <w:b/>
          <w:color w:val="000000"/>
          <w:sz w:val="32"/>
          <w:szCs w:val="32"/>
        </w:rPr>
        <w:t>（一）人员类支出：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年年初人员类预算数为</w:t>
      </w:r>
      <w:r>
        <w:rPr>
          <w:rFonts w:hint="default" w:ascii="Times New Roman" w:hAnsi="Times New Roman" w:eastAsia="宋体" w:cs="Times New Roman"/>
          <w:color w:val="000000"/>
          <w:sz w:val="32"/>
          <w:szCs w:val="32"/>
          <w:lang w:val="en-US" w:eastAsia="zh-CN"/>
        </w:rPr>
        <w:t>791.5</w:t>
      </w:r>
      <w:r>
        <w:rPr>
          <w:rFonts w:hint="default" w:ascii="Times New Roman" w:hAnsi="Times New Roman" w:eastAsia="宋体" w:cs="Times New Roman"/>
          <w:color w:val="000000"/>
          <w:sz w:val="32"/>
          <w:szCs w:val="32"/>
        </w:rPr>
        <w:t>万元，其中，工资福利支出：基本工资</w:t>
      </w:r>
      <w:r>
        <w:rPr>
          <w:rFonts w:hint="default" w:ascii="Times New Roman" w:hAnsi="Times New Roman" w:eastAsia="宋体" w:cs="Times New Roman"/>
          <w:color w:val="000000"/>
          <w:sz w:val="32"/>
          <w:szCs w:val="32"/>
          <w:lang w:val="en-US" w:eastAsia="zh-CN"/>
        </w:rPr>
        <w:t>214.86</w:t>
      </w:r>
      <w:r>
        <w:rPr>
          <w:rFonts w:hint="default" w:ascii="Times New Roman" w:hAnsi="Times New Roman" w:eastAsia="宋体" w:cs="Times New Roman"/>
          <w:color w:val="000000"/>
          <w:sz w:val="32"/>
          <w:szCs w:val="32"/>
        </w:rPr>
        <w:t>万元、津贴补贴</w:t>
      </w:r>
      <w:r>
        <w:rPr>
          <w:rFonts w:hint="default" w:ascii="Times New Roman" w:hAnsi="Times New Roman" w:eastAsia="宋体" w:cs="Times New Roman"/>
          <w:color w:val="000000"/>
          <w:sz w:val="32"/>
          <w:szCs w:val="32"/>
          <w:lang w:val="en-US" w:eastAsia="zh-CN"/>
        </w:rPr>
        <w:t>168.78</w:t>
      </w:r>
      <w:r>
        <w:rPr>
          <w:rFonts w:hint="default" w:ascii="Times New Roman" w:hAnsi="Times New Roman" w:eastAsia="宋体" w:cs="Times New Roman"/>
          <w:color w:val="000000"/>
          <w:sz w:val="32"/>
          <w:szCs w:val="32"/>
        </w:rPr>
        <w:t>万元、奖金</w:t>
      </w:r>
      <w:r>
        <w:rPr>
          <w:rFonts w:hint="default" w:ascii="Times New Roman" w:hAnsi="Times New Roman" w:eastAsia="宋体" w:cs="Times New Roman"/>
          <w:color w:val="000000"/>
          <w:sz w:val="32"/>
          <w:szCs w:val="32"/>
          <w:lang w:val="en-US" w:eastAsia="zh-CN"/>
        </w:rPr>
        <w:t>166.11</w:t>
      </w:r>
      <w:r>
        <w:rPr>
          <w:rFonts w:hint="default" w:ascii="Times New Roman" w:hAnsi="Times New Roman" w:eastAsia="宋体" w:cs="Times New Roman"/>
          <w:color w:val="000000"/>
          <w:sz w:val="32"/>
          <w:szCs w:val="32"/>
        </w:rPr>
        <w:t>万元、机关事业单位基本养老保险缴费</w:t>
      </w:r>
      <w:r>
        <w:rPr>
          <w:rFonts w:hint="default" w:ascii="Times New Roman" w:hAnsi="Times New Roman" w:eastAsia="宋体" w:cs="Times New Roman"/>
          <w:color w:val="000000"/>
          <w:sz w:val="32"/>
          <w:szCs w:val="32"/>
          <w:lang w:val="en-US" w:eastAsia="zh-CN"/>
        </w:rPr>
        <w:t>72.88</w:t>
      </w:r>
      <w:r>
        <w:rPr>
          <w:rFonts w:hint="default" w:ascii="Times New Roman" w:hAnsi="Times New Roman" w:eastAsia="宋体" w:cs="Times New Roman"/>
          <w:color w:val="000000"/>
          <w:sz w:val="32"/>
          <w:szCs w:val="32"/>
        </w:rPr>
        <w:t>万元、职工基本医疗保险缴费</w:t>
      </w:r>
      <w:r>
        <w:rPr>
          <w:rFonts w:hint="default" w:ascii="Times New Roman" w:hAnsi="Times New Roman" w:eastAsia="宋体" w:cs="Times New Roman"/>
          <w:color w:val="000000"/>
          <w:sz w:val="32"/>
          <w:szCs w:val="32"/>
          <w:lang w:val="en-US" w:eastAsia="zh-CN"/>
        </w:rPr>
        <w:t>33.35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其他社会保障缴费</w:t>
      </w:r>
      <w:r>
        <w:rPr>
          <w:rFonts w:hint="default" w:ascii="Times New Roman" w:hAnsi="Times New Roman" w:eastAsia="宋体" w:cs="Times New Roman"/>
          <w:color w:val="000000"/>
          <w:sz w:val="32"/>
          <w:szCs w:val="32"/>
          <w:lang w:val="en-US" w:eastAsia="zh-CN"/>
        </w:rPr>
        <w:t>4万元、</w:t>
      </w:r>
      <w:r>
        <w:rPr>
          <w:rFonts w:hint="default" w:ascii="Times New Roman" w:hAnsi="Times New Roman" w:eastAsia="宋体" w:cs="Times New Roman"/>
          <w:color w:val="000000"/>
          <w:sz w:val="32"/>
          <w:szCs w:val="32"/>
        </w:rPr>
        <w:t>住房公积金</w:t>
      </w:r>
      <w:r>
        <w:rPr>
          <w:rFonts w:hint="default" w:ascii="Times New Roman" w:hAnsi="Times New Roman" w:eastAsia="宋体" w:cs="Times New Roman"/>
          <w:color w:val="000000"/>
          <w:sz w:val="32"/>
          <w:szCs w:val="32"/>
          <w:lang w:val="en-US" w:eastAsia="zh-CN"/>
        </w:rPr>
        <w:t>65.52</w:t>
      </w:r>
      <w:r>
        <w:rPr>
          <w:rFonts w:hint="default" w:ascii="Times New Roman" w:hAnsi="Times New Roman" w:eastAsia="宋体" w:cs="Times New Roman"/>
          <w:color w:val="000000"/>
          <w:sz w:val="32"/>
          <w:szCs w:val="32"/>
        </w:rPr>
        <w:t>万元、其他工资福利支出</w:t>
      </w:r>
      <w:r>
        <w:rPr>
          <w:rFonts w:hint="default" w:ascii="Times New Roman" w:hAnsi="Times New Roman" w:eastAsia="宋体" w:cs="Times New Roman"/>
          <w:color w:val="000000"/>
          <w:sz w:val="32"/>
          <w:szCs w:val="32"/>
          <w:lang w:val="en-US" w:eastAsia="zh-CN"/>
        </w:rPr>
        <w:t>48</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w:t>
      </w:r>
    </w:p>
    <w:p>
      <w:pPr>
        <w:spacing w:before="0" w:beforeAutospacing="0" w:after="2" w:afterAutospacing="0"/>
        <w:ind w:left="0" w:firstLine="660"/>
        <w:rPr>
          <w:rFonts w:hint="default" w:ascii="Times New Roman" w:hAnsi="Times New Roman" w:eastAsia="宋体" w:cs="Times New Roman"/>
          <w:lang w:eastAsia="zh-C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年年初运转类预算数为</w:t>
      </w:r>
      <w:r>
        <w:rPr>
          <w:rFonts w:hint="default" w:ascii="Times New Roman" w:hAnsi="Times New Roman" w:eastAsia="宋体" w:cs="Times New Roman"/>
          <w:color w:val="000000"/>
          <w:sz w:val="32"/>
          <w:szCs w:val="32"/>
          <w:lang w:val="en-US" w:eastAsia="zh-CN"/>
        </w:rPr>
        <w:t>138.5</w:t>
      </w:r>
      <w:r>
        <w:rPr>
          <w:rFonts w:hint="default" w:ascii="Times New Roman" w:hAnsi="Times New Roman" w:eastAsia="宋体" w:cs="Times New Roman"/>
          <w:color w:val="000000"/>
          <w:sz w:val="32"/>
          <w:szCs w:val="32"/>
        </w:rPr>
        <w:t>万元，其中包括：</w:t>
      </w:r>
      <w:r>
        <w:rPr>
          <w:rFonts w:hint="default" w:ascii="Times New Roman" w:hAnsi="Times New Roman" w:eastAsia="宋体" w:cs="Times New Roman"/>
          <w:color w:val="000000"/>
          <w:sz w:val="32"/>
          <w:szCs w:val="32"/>
        </w:rPr>
        <w:t>办公费1</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万元、印刷费5万元、水费3万元、电费6.4万元、</w:t>
      </w:r>
      <w:r>
        <w:rPr>
          <w:rFonts w:hint="default" w:ascii="Times New Roman" w:hAnsi="Times New Roman" w:eastAsia="宋体" w:cs="Times New Roman"/>
          <w:color w:val="000000"/>
          <w:sz w:val="32"/>
          <w:szCs w:val="32"/>
          <w:lang w:eastAsia="zh-CN"/>
        </w:rPr>
        <w:t>邮电费</w:t>
      </w:r>
      <w:r>
        <w:rPr>
          <w:rFonts w:hint="default" w:ascii="Times New Roman" w:hAnsi="Times New Roman" w:eastAsia="宋体" w:cs="Times New Roman"/>
          <w:color w:val="000000"/>
          <w:sz w:val="32"/>
          <w:szCs w:val="32"/>
          <w:lang w:val="en-US" w:eastAsia="zh-CN"/>
        </w:rPr>
        <w:t>2.5万元</w:t>
      </w:r>
      <w:r>
        <w:rPr>
          <w:rFonts w:hint="default" w:ascii="Times New Roman" w:hAnsi="Times New Roman" w:eastAsia="宋体" w:cs="Times New Roman"/>
          <w:color w:val="000000"/>
          <w:sz w:val="32"/>
          <w:szCs w:val="32"/>
        </w:rPr>
        <w:t>、差旅费</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万元、维修(护)费2.5万元、会议费5万元、培训费2万元、公务接待费</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委托业务费</w:t>
      </w:r>
      <w:r>
        <w:rPr>
          <w:rFonts w:hint="default" w:ascii="Times New Roman" w:hAnsi="Times New Roman" w:eastAsia="宋体" w:cs="Times New Roman"/>
          <w:color w:val="000000"/>
          <w:sz w:val="32"/>
          <w:szCs w:val="32"/>
          <w:lang w:val="en-US" w:eastAsia="zh-CN"/>
        </w:rPr>
        <w:t>31.4万元、</w:t>
      </w:r>
      <w:r>
        <w:rPr>
          <w:rFonts w:hint="default" w:ascii="Times New Roman" w:hAnsi="Times New Roman" w:eastAsia="宋体" w:cs="Times New Roman"/>
          <w:color w:val="000000"/>
          <w:sz w:val="32"/>
          <w:szCs w:val="32"/>
        </w:rPr>
        <w:t>工会经费</w:t>
      </w:r>
      <w:r>
        <w:rPr>
          <w:rFonts w:hint="default" w:ascii="Times New Roman" w:hAnsi="Times New Roman" w:eastAsia="宋体" w:cs="Times New Roman"/>
          <w:color w:val="000000"/>
          <w:sz w:val="32"/>
          <w:szCs w:val="32"/>
          <w:lang w:val="en-US" w:eastAsia="zh-CN"/>
        </w:rPr>
        <w:t>7.14</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福利费</w:t>
      </w:r>
      <w:r>
        <w:rPr>
          <w:rFonts w:hint="default" w:ascii="Times New Roman" w:hAnsi="Times New Roman" w:eastAsia="宋体" w:cs="Times New Roman"/>
          <w:color w:val="000000"/>
          <w:sz w:val="32"/>
          <w:szCs w:val="32"/>
          <w:lang w:val="en-US" w:eastAsia="zh-CN"/>
        </w:rPr>
        <w:t>10.71万元、</w:t>
      </w:r>
      <w:r>
        <w:rPr>
          <w:rFonts w:hint="default" w:ascii="Times New Roman" w:hAnsi="Times New Roman" w:eastAsia="宋体" w:cs="Times New Roman"/>
          <w:color w:val="000000"/>
          <w:sz w:val="32"/>
          <w:szCs w:val="32"/>
        </w:rPr>
        <w:t>其他交通费用4</w:t>
      </w:r>
      <w:r>
        <w:rPr>
          <w:rFonts w:hint="default" w:ascii="Times New Roman" w:hAnsi="Times New Roman" w:eastAsia="宋体" w:cs="Times New Roman"/>
          <w:color w:val="000000"/>
          <w:sz w:val="32"/>
          <w:szCs w:val="32"/>
          <w:lang w:val="en-US" w:eastAsia="zh-CN"/>
        </w:rPr>
        <w:t>0.85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rPr>
        <w:t>。</w:t>
      </w:r>
    </w:p>
    <w:p>
      <w:pPr>
        <w:spacing w:before="0" w:beforeAutospacing="0" w:after="2" w:afterAutospacing="0"/>
        <w:ind w:left="0" w:firstLine="660"/>
        <w:rPr>
          <w:rFonts w:hint="default" w:ascii="Times New Roman" w:hAnsi="Times New Roman" w:eastAsia="宋体" w:cs="Times New Roman"/>
          <w:lang w:eastAsia="zh-C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年年初特定目标类预算数为</w:t>
      </w:r>
      <w:r>
        <w:rPr>
          <w:rFonts w:hint="default" w:ascii="Times New Roman" w:hAnsi="Times New Roman" w:eastAsia="宋体" w:cs="Times New Roman"/>
          <w:color w:val="000000"/>
          <w:sz w:val="32"/>
          <w:szCs w:val="32"/>
          <w:lang w:val="en-US" w:eastAsia="zh-CN"/>
        </w:rPr>
        <w:t>55</w:t>
      </w:r>
      <w:r>
        <w:rPr>
          <w:rFonts w:hint="default" w:ascii="Times New Roman" w:hAnsi="Times New Roman" w:eastAsia="宋体" w:cs="Times New Roman"/>
          <w:color w:val="000000"/>
          <w:sz w:val="32"/>
          <w:szCs w:val="32"/>
        </w:rPr>
        <w:t>万元，其中包括：</w:t>
      </w:r>
      <w:r>
        <w:rPr>
          <w:rFonts w:hint="default" w:ascii="Times New Roman" w:hAnsi="Times New Roman" w:eastAsia="宋体" w:cs="Times New Roman"/>
          <w:color w:val="000000"/>
          <w:sz w:val="32"/>
          <w:szCs w:val="32"/>
          <w:lang w:eastAsia="zh-CN"/>
        </w:rPr>
        <w:t>村级转移支付办公经费55万元</w:t>
      </w:r>
      <w:r>
        <w:rPr>
          <w:rFonts w:hint="default" w:ascii="Times New Roman" w:hAnsi="Times New Roman" w:eastAsia="宋体" w:cs="Times New Roman"/>
          <w:color w:val="000000"/>
          <w:sz w:val="32"/>
          <w:szCs w:val="32"/>
        </w:rPr>
        <w:t>。</w:t>
      </w:r>
    </w:p>
    <w:p>
      <w:pPr>
        <w:spacing w:before="0" w:beforeAutospacing="0" w:after="2" w:afterAutospacing="0"/>
        <w:ind w:left="0" w:firstLine="660"/>
        <w:rPr>
          <w:rFonts w:hint="default" w:ascii="Times New Roman" w:hAnsi="Times New Roman" w:eastAsia="宋体" w:cs="Times New Roman"/>
          <w:lang w:eastAsia="zh-CN"/>
        </w:rPr>
      </w:pPr>
      <w:r>
        <w:rPr>
          <w:rStyle w:val="12"/>
          <w:rFonts w:hint="default" w:ascii="Times New Roman" w:hAnsi="Times New Roman" w:eastAsia="宋体" w:cs="Times New Roman"/>
          <w:color w:val="000000"/>
          <w:sz w:val="32"/>
          <w:szCs w:val="32"/>
        </w:rPr>
        <w:t>六、政府性基金预算支出</w:t>
      </w:r>
    </w:p>
    <w:p>
      <w:pPr>
        <w:spacing w:before="0" w:beforeAutospacing="0" w:after="2" w:afterAutospacing="0"/>
        <w:ind w:left="0" w:firstLine="660"/>
        <w:rPr>
          <w:rFonts w:hint="default" w:ascii="Times New Roman" w:hAnsi="Times New Roman" w:eastAsia="宋体" w:cs="Times New Roman"/>
          <w:color w:val="000000"/>
          <w:lang w:eastAsia="zh-CN"/>
        </w:rPr>
      </w:pPr>
      <w:r>
        <w:rPr>
          <w:rFonts w:hint="default" w:ascii="Times New Roman" w:hAnsi="Times New Roman" w:eastAsia="宋体" w:cs="Times New Roman"/>
          <w:color w:val="000000"/>
          <w:sz w:val="32"/>
          <w:szCs w:val="32"/>
          <w:shd w:val="clear" w:fill="FFFFFF"/>
        </w:rPr>
        <w:t>本部门无政府性基金安排的支出。</w:t>
      </w:r>
    </w:p>
    <w:p>
      <w:pPr>
        <w:numPr>
          <w:ilvl w:val="0"/>
          <w:numId w:val="1"/>
        </w:num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Style w:val="12"/>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shd w:val="clear" w:fill="FFFFFF"/>
        </w:rPr>
        <w:t>本部门无政府性基金安排的支出。</w:t>
      </w:r>
    </w:p>
    <w:p>
      <w:pPr>
        <w:spacing w:before="0" w:beforeAutospacing="0" w:after="2" w:afterAutospacing="0"/>
        <w:ind w:left="0" w:firstLine="660"/>
        <w:rPr>
          <w:rFonts w:hint="default" w:ascii="Times New Roman" w:hAnsi="Times New Roman" w:eastAsia="宋体" w:cs="Times New Roman"/>
          <w:lang w:eastAsia="zh-CN"/>
        </w:rPr>
      </w:pPr>
      <w:r>
        <w:rPr>
          <w:rStyle w:val="12"/>
          <w:rFonts w:hint="default" w:ascii="Times New Roman" w:hAnsi="Times New Roman" w:eastAsia="宋体" w:cs="Times New Roman"/>
          <w:color w:val="000000"/>
          <w:sz w:val="32"/>
          <w:szCs w:val="32"/>
          <w:lang w:eastAsia="zh-CN"/>
        </w:rPr>
        <w:t>八</w:t>
      </w:r>
      <w:r>
        <w:rPr>
          <w:rStyle w:val="12"/>
          <w:rFonts w:hint="default" w:ascii="Times New Roman" w:hAnsi="Times New Roman" w:eastAsia="宋体" w:cs="Times New Roman"/>
          <w:color w:val="000000"/>
          <w:sz w:val="32"/>
          <w:szCs w:val="32"/>
        </w:rPr>
        <w:t>、其他重要事项的情况说明</w:t>
      </w:r>
    </w:p>
    <w:p>
      <w:pPr>
        <w:spacing w:before="0" w:beforeAutospacing="0" w:after="2" w:afterAutospacing="0"/>
        <w:ind w:left="0" w:firstLine="660"/>
        <w:rPr>
          <w:rFonts w:hint="default" w:ascii="Times New Roman" w:hAnsi="Times New Roman" w:eastAsia="宋体" w:cs="Times New Roman"/>
          <w:lang w:eastAsia="zh-C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年本部门机关运行经费</w:t>
      </w:r>
      <w:r>
        <w:rPr>
          <w:rFonts w:hint="default" w:ascii="Times New Roman" w:hAnsi="Times New Roman" w:eastAsia="宋体" w:cs="Times New Roman"/>
          <w:color w:val="000000"/>
          <w:sz w:val="32"/>
          <w:szCs w:val="32"/>
          <w:lang w:val="en-US" w:eastAsia="zh-CN"/>
        </w:rPr>
        <w:t>138.5</w:t>
      </w:r>
      <w:r>
        <w:rPr>
          <w:rFonts w:hint="default" w:ascii="Times New Roman" w:hAnsi="Times New Roman" w:eastAsia="宋体" w:cs="Times New Roman"/>
          <w:color w:val="000000"/>
          <w:sz w:val="32"/>
          <w:szCs w:val="32"/>
        </w:rPr>
        <w:t>万元，预算</w:t>
      </w:r>
      <w:r>
        <w:rPr>
          <w:rFonts w:hint="default" w:ascii="Times New Roman" w:hAnsi="Times New Roman" w:eastAsia="宋体" w:cs="Times New Roman"/>
          <w:color w:val="000000"/>
          <w:sz w:val="32"/>
          <w:szCs w:val="32"/>
          <w:lang w:val="en-US" w:eastAsia="zh-CN"/>
        </w:rPr>
        <w:t>比上年预算增加40.22万元，主要原因是：2025年预算机关运行经费增安委托业务费及福利费</w:t>
      </w:r>
      <w:r>
        <w:rPr>
          <w:rFonts w:hint="default" w:ascii="Times New Roman" w:hAnsi="Times New Roman" w:eastAsia="宋体" w:cs="Times New Roman"/>
          <w:color w:val="000000"/>
          <w:sz w:val="32"/>
          <w:szCs w:val="32"/>
        </w:rPr>
        <w:t>。</w:t>
      </w:r>
    </w:p>
    <w:p>
      <w:pPr>
        <w:spacing w:before="0" w:beforeAutospacing="0" w:after="2" w:afterAutospacing="0"/>
        <w:ind w:left="0" w:firstLine="660"/>
        <w:rPr>
          <w:rFonts w:hint="default" w:ascii="Times New Roman" w:hAnsi="Times New Roman" w:eastAsia="宋体" w:cs="Times New Roman"/>
          <w:lang w:eastAsia="zh-C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年本部门政府采购预算总额</w:t>
      </w:r>
      <w:r>
        <w:rPr>
          <w:rFonts w:hint="default" w:ascii="Times New Roman" w:hAnsi="Times New Roman" w:eastAsia="宋体" w:cs="Times New Roman"/>
          <w:color w:val="000000"/>
          <w:sz w:val="32"/>
          <w:szCs w:val="32"/>
          <w:lang w:val="en-US" w:eastAsia="zh-CN"/>
        </w:rPr>
        <w:t>50.5</w:t>
      </w:r>
      <w:r>
        <w:rPr>
          <w:rFonts w:hint="default" w:ascii="Times New Roman" w:hAnsi="Times New Roman" w:eastAsia="宋体" w:cs="Times New Roman"/>
          <w:color w:val="000000"/>
          <w:sz w:val="32"/>
          <w:szCs w:val="32"/>
        </w:rPr>
        <w:t>万元，其中，服务类采购预算</w:t>
      </w:r>
      <w:r>
        <w:rPr>
          <w:rFonts w:hint="default" w:ascii="Times New Roman" w:hAnsi="Times New Roman" w:eastAsia="宋体" w:cs="Times New Roman"/>
          <w:color w:val="000000"/>
          <w:sz w:val="32"/>
          <w:szCs w:val="32"/>
          <w:lang w:val="en-US" w:eastAsia="zh-CN"/>
        </w:rPr>
        <w:t>50.5</w:t>
      </w:r>
      <w:r>
        <w:rPr>
          <w:rFonts w:hint="default" w:ascii="Times New Roman" w:hAnsi="Times New Roman" w:eastAsia="宋体" w:cs="Times New Roman"/>
          <w:color w:val="000000"/>
          <w:sz w:val="32"/>
          <w:szCs w:val="32"/>
        </w:rPr>
        <w:t>万元。</w:t>
      </w:r>
    </w:p>
    <w:p>
      <w:pPr>
        <w:spacing w:before="0" w:beforeAutospacing="0" w:after="2" w:afterAutospacing="0"/>
        <w:ind w:left="0" w:firstLine="660"/>
        <w:rPr>
          <w:rFonts w:hint="default" w:ascii="Times New Roman" w:hAnsi="Times New Roman" w:eastAsia="宋体" w:cs="Times New Roman"/>
          <w:lang w:eastAsia="zh-C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年12月底，本部门共有公务用车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年拟新增配置公务用车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辆；新增配备单位价值50万元以上通用设备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w:t>
      </w:r>
    </w:p>
    <w:p>
      <w:pPr>
        <w:spacing w:before="0" w:beforeAutospacing="0" w:after="2" w:afterAutospacing="0"/>
        <w:ind w:left="0" w:firstLine="660"/>
        <w:rPr>
          <w:rFonts w:hint="default" w:ascii="Times New Roman" w:hAnsi="Times New Roman" w:eastAsia="宋体" w:cs="Times New Roman"/>
          <w:lang w:eastAsia="zh-C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年部门整体支出绩效目标的金额为</w:t>
      </w:r>
      <w:r>
        <w:rPr>
          <w:rFonts w:hint="default" w:ascii="Times New Roman" w:hAnsi="Times New Roman" w:eastAsia="宋体" w:cs="Times New Roman"/>
          <w:color w:val="000000"/>
          <w:sz w:val="32"/>
          <w:szCs w:val="32"/>
          <w:lang w:val="en-US" w:eastAsia="zh-CN"/>
        </w:rPr>
        <w:t>2904</w:t>
      </w:r>
      <w:r>
        <w:rPr>
          <w:rFonts w:hint="default" w:ascii="Times New Roman" w:hAnsi="Times New Roman" w:eastAsia="宋体" w:cs="Times New Roman"/>
          <w:color w:val="000000"/>
          <w:sz w:val="32"/>
          <w:szCs w:val="32"/>
        </w:rPr>
        <w:t>万元，基本支出</w:t>
      </w:r>
      <w:r>
        <w:rPr>
          <w:rFonts w:hint="default" w:ascii="Times New Roman" w:hAnsi="Times New Roman" w:eastAsia="宋体" w:cs="Times New Roman"/>
          <w:color w:val="000000"/>
          <w:sz w:val="32"/>
          <w:szCs w:val="32"/>
          <w:lang w:val="en-US" w:eastAsia="zh-CN"/>
        </w:rPr>
        <w:t>1240</w:t>
      </w:r>
      <w:r>
        <w:rPr>
          <w:rFonts w:hint="default" w:ascii="Times New Roman" w:hAnsi="Times New Roman" w:eastAsia="宋体" w:cs="Times New Roman"/>
          <w:color w:val="000000"/>
          <w:sz w:val="32"/>
          <w:szCs w:val="32"/>
        </w:rPr>
        <w:t>万元，项目支出</w:t>
      </w:r>
      <w:r>
        <w:rPr>
          <w:rFonts w:hint="default" w:ascii="Times New Roman" w:hAnsi="Times New Roman" w:eastAsia="宋体" w:cs="Times New Roman"/>
          <w:color w:val="000000"/>
          <w:sz w:val="32"/>
          <w:szCs w:val="32"/>
          <w:lang w:val="en-US" w:eastAsia="zh-CN"/>
        </w:rPr>
        <w:t>1664</w:t>
      </w:r>
      <w:r>
        <w:rPr>
          <w:rFonts w:hint="default" w:ascii="Times New Roman" w:hAnsi="Times New Roman" w:eastAsia="宋体" w:cs="Times New Roman"/>
          <w:color w:val="000000"/>
          <w:sz w:val="32"/>
          <w:szCs w:val="32"/>
        </w:rPr>
        <w:t>万元。具体绩效目标详见附表。</w:t>
      </w:r>
    </w:p>
    <w:p>
      <w:pPr>
        <w:spacing w:before="0" w:beforeAutospacing="0" w:after="2" w:afterAutospacing="0"/>
        <w:ind w:left="0" w:firstLine="660"/>
        <w:rPr>
          <w:rFonts w:hint="default" w:ascii="Times New Roman" w:hAnsi="Times New Roman" w:eastAsia="宋体" w:cs="Times New Roman"/>
          <w:lang w:eastAsia="zh-C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年一般公共预算拨款“三公”经费预算数为</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万元，其中，公务接待费</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万元，公务用车购置及运行费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万元（其中，公务用车购置费0万元，公务用车运行费0万元），因公出国（境）费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年“三公”经费预算较202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年减少</w:t>
      </w:r>
      <w:r>
        <w:rPr>
          <w:rFonts w:hint="default" w:ascii="Times New Roman" w:hAnsi="Times New Roman" w:eastAsia="宋体" w:cs="Times New Roman"/>
          <w:color w:val="000000"/>
          <w:sz w:val="32"/>
          <w:szCs w:val="32"/>
          <w:lang w:val="en-US" w:eastAsia="zh-CN"/>
        </w:rPr>
        <w:t>7</w:t>
      </w:r>
      <w:r>
        <w:rPr>
          <w:rFonts w:hint="default" w:ascii="Times New Roman" w:hAnsi="Times New Roman" w:eastAsia="宋体" w:cs="Times New Roman"/>
          <w:color w:val="000000"/>
          <w:sz w:val="32"/>
          <w:szCs w:val="32"/>
        </w:rPr>
        <w:t>万元，主要</w:t>
      </w:r>
      <w:r>
        <w:rPr>
          <w:rFonts w:hint="default" w:ascii="Times New Roman" w:hAnsi="Times New Roman" w:eastAsia="宋体" w:cs="Times New Roman"/>
          <w:color w:val="000000"/>
          <w:sz w:val="32"/>
          <w:szCs w:val="32"/>
          <w:lang w:eastAsia="zh-CN"/>
        </w:rPr>
        <w:t>原因</w:t>
      </w:r>
      <w:r>
        <w:rPr>
          <w:rFonts w:hint="default" w:ascii="Times New Roman" w:hAnsi="Times New Roman" w:eastAsia="宋体" w:cs="Times New Roman"/>
          <w:color w:val="000000"/>
          <w:sz w:val="32"/>
          <w:szCs w:val="32"/>
        </w:rPr>
        <w:t>是</w:t>
      </w:r>
      <w:r>
        <w:rPr>
          <w:rFonts w:hint="default" w:ascii="Times New Roman" w:hAnsi="Times New Roman" w:eastAsia="宋体" w:cs="Times New Roman"/>
          <w:color w:val="000000"/>
          <w:sz w:val="32"/>
          <w:szCs w:val="32"/>
          <w:lang w:val="en-US" w:eastAsia="zh-CN"/>
        </w:rPr>
        <w:t>：遵照中央、省、市、县关于严格落实八项规定的指示精神，严控公务接待支出</w:t>
      </w:r>
      <w:r>
        <w:rPr>
          <w:rFonts w:hint="default" w:ascii="Times New Roman" w:hAnsi="Times New Roman" w:eastAsia="宋体" w:cs="Times New Roman"/>
          <w:color w:val="000000"/>
          <w:sz w:val="32"/>
          <w:szCs w:val="32"/>
        </w:rPr>
        <w:t>。</w:t>
      </w:r>
    </w:p>
    <w:p>
      <w:pPr>
        <w:spacing w:before="0" w:beforeAutospacing="0" w:after="2" w:afterAutospacing="0"/>
        <w:ind w:left="0" w:firstLine="660"/>
        <w:rPr>
          <w:rFonts w:hint="default" w:ascii="Times New Roman" w:hAnsi="Times New Roman" w:eastAsia="宋体" w:cs="Times New Roman"/>
          <w:lang w:eastAsia="zh-CN"/>
        </w:rPr>
      </w:pPr>
      <w:r>
        <w:rPr>
          <w:rFonts w:hint="default" w:ascii="Times New Roman" w:hAnsi="Times New Roman" w:eastAsia="宋体" w:cs="Times New Roman"/>
          <w:b/>
          <w:color w:val="000000"/>
          <w:sz w:val="32"/>
          <w:szCs w:val="32"/>
        </w:rPr>
        <w:t>（六）一般性支出情况：</w:t>
      </w:r>
    </w:p>
    <w:p>
      <w:pPr>
        <w:spacing w:before="0" w:beforeAutospacing="0" w:after="2" w:afterAutospacing="0"/>
        <w:ind w:left="0" w:firstLine="660"/>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年预算安排会议费</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万元，</w:t>
      </w:r>
      <w:r>
        <w:rPr>
          <w:rFonts w:hint="default" w:ascii="Times New Roman" w:hAnsi="Times New Roman" w:eastAsia="Helvetica" w:cs="Times New Roman"/>
          <w:i w:val="0"/>
          <w:iCs w:val="0"/>
          <w:caps w:val="0"/>
          <w:color w:val="212529"/>
          <w:spacing w:val="0"/>
          <w:sz w:val="32"/>
          <w:szCs w:val="32"/>
          <w:shd w:val="clear" w:fill="FFFFFF"/>
        </w:rPr>
        <w:t>拟召开镇人民代表大会、经济工作会、政府日常工作会议、安全生产会议、主题党日会议，人数2000人，内容为人民代表大会、部署相关工作安排等；</w:t>
      </w:r>
    </w:p>
    <w:p>
      <w:pPr>
        <w:spacing w:before="0" w:beforeAutospacing="0" w:after="2" w:afterAutospacing="0"/>
        <w:ind w:left="0" w:firstLine="660"/>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年预算安排培训费2万元</w:t>
      </w:r>
      <w:r>
        <w:rPr>
          <w:rFonts w:hint="default" w:ascii="Times New Roman" w:hAnsi="Times New Roman" w:eastAsia="宋体" w:cs="Times New Roman"/>
          <w:color w:val="000000"/>
          <w:sz w:val="32"/>
          <w:szCs w:val="32"/>
        </w:rPr>
        <w:t>，拟召开村级各项政策业务培训、乡村振兴政策培训、青年干部素质培训，人数600人，内容为培训村干部各项政策业务、青年干部素质提升等</w:t>
      </w:r>
      <w:r>
        <w:rPr>
          <w:rFonts w:hint="default" w:ascii="Times New Roman" w:hAnsi="Times New Roman" w:eastAsia="宋体" w:cs="Times New Roman"/>
          <w:color w:val="000000"/>
          <w:sz w:val="32"/>
          <w:szCs w:val="32"/>
          <w:lang w:eastAsia="zh-CN"/>
        </w:rPr>
        <w:t>；</w:t>
      </w:r>
    </w:p>
    <w:p>
      <w:pPr>
        <w:spacing w:before="0" w:beforeAutospacing="0" w:after="2" w:afterAutospacing="0"/>
        <w:ind w:left="0" w:firstLine="660"/>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val="en-US" w:eastAsia="zh-CN"/>
        </w:rPr>
        <w:t>未举办节庆、晚会、论坛、赛事活动，经费预算0万元。</w:t>
      </w:r>
    </w:p>
    <w:p>
      <w:pPr>
        <w:spacing w:before="0" w:beforeAutospacing="0" w:after="2" w:afterAutospacing="0"/>
        <w:ind w:left="0" w:firstLine="660"/>
        <w:rPr>
          <w:rFonts w:hint="default" w:ascii="Times New Roman" w:hAnsi="Times New Roman" w:eastAsia="宋体" w:cs="Times New Roman"/>
          <w:lang w:eastAsia="zh-C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w:t>
      </w:r>
      <w:r>
        <w:rPr>
          <w:rFonts w:hint="default" w:ascii="Times New Roman" w:hAnsi="Times New Roman" w:eastAsia="宋体" w:cs="Times New Roman"/>
          <w:color w:val="000000"/>
          <w:sz w:val="32"/>
          <w:szCs w:val="32"/>
          <w:lang w:eastAsia="zh-CN"/>
        </w:rPr>
        <w:t>人民</w:t>
      </w:r>
      <w:r>
        <w:rPr>
          <w:rFonts w:hint="default" w:ascii="Times New Roman" w:hAnsi="Times New Roman" w:eastAsia="宋体" w:cs="Times New Roman"/>
          <w:color w:val="000000"/>
          <w:sz w:val="32"/>
          <w:szCs w:val="32"/>
        </w:rPr>
        <w:t>政府门户网站公开。</w:t>
      </w:r>
    </w:p>
    <w:p>
      <w:pPr>
        <w:spacing w:before="0" w:beforeAutospacing="0" w:after="2" w:afterAutospacing="0"/>
        <w:ind w:left="0" w:firstLine="660"/>
        <w:rPr>
          <w:rFonts w:hint="default" w:ascii="Times New Roman" w:hAnsi="Times New Roman" w:eastAsia="宋体" w:cs="Times New Roman"/>
          <w:lang w:eastAsia="zh-CN"/>
        </w:rPr>
      </w:pPr>
      <w:r>
        <w:rPr>
          <w:rStyle w:val="12"/>
          <w:rFonts w:hint="default" w:ascii="Times New Roman" w:hAnsi="Times New Roman" w:eastAsia="宋体" w:cs="Times New Roman"/>
          <w:color w:val="000000"/>
          <w:sz w:val="32"/>
          <w:szCs w:val="32"/>
          <w:lang w:eastAsia="zh-CN"/>
        </w:rPr>
        <w:t>九</w:t>
      </w:r>
      <w:r>
        <w:rPr>
          <w:rStyle w:val="12"/>
          <w:rFonts w:hint="default" w:ascii="Times New Roman" w:hAnsi="Times New Roman" w:eastAsia="宋体" w:cs="Times New Roman"/>
          <w:color w:val="000000"/>
          <w:sz w:val="32"/>
          <w:szCs w:val="32"/>
        </w:rPr>
        <w:t>、名词解释</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jc w:val="center"/>
        <w:rPr>
          <w:rFonts w:hint="default" w:ascii="Times New Roman" w:hAnsi="Times New Roman" w:eastAsia="宋体" w:cs="Times New Roman"/>
          <w:lang w:eastAsia="zh-CN"/>
        </w:rPr>
      </w:pPr>
      <w:r>
        <w:rPr>
          <w:rStyle w:val="12"/>
          <w:rFonts w:hint="default" w:ascii="Times New Roman" w:hAnsi="Times New Roman" w:eastAsia="宋体" w:cs="Times New Roman"/>
          <w:color w:val="000000"/>
          <w:sz w:val="40"/>
          <w:szCs w:val="40"/>
        </w:rPr>
        <w:t>第二部分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年部门预算表</w:t>
      </w:r>
    </w:p>
    <w:p>
      <w:pPr>
        <w:spacing w:before="0" w:beforeAutospacing="0" w:after="2" w:afterAutospacing="0"/>
        <w:jc w:val="center"/>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（具体见附件）</w:t>
      </w:r>
    </w:p>
    <w:p>
      <w:pPr>
        <w:spacing w:before="0" w:beforeAutospacing="0" w:after="2" w:afterAutospacing="0"/>
        <w:jc w:val="center"/>
        <w:rPr>
          <w:rFonts w:hint="default" w:ascii="Times New Roman" w:hAnsi="Times New Roman" w:cs="Times New Roman"/>
        </w:rPr>
      </w:pPr>
    </w:p>
    <w:bookmarkEnd w:id="0"/>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Helvetica">
    <w:panose1 w:val="020B0504020202030204"/>
    <w:charset w:val="00"/>
    <w:family w:val="auto"/>
    <w:pitch w:val="default"/>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2ZThmNDAxNDkwNDU0ZjE4MWZmNGVlMzMxZjM4MDAifQ=="/>
    <w:docVar w:name="KSO_WPS_MARK_KEY" w:val="088ed08e-40d3-4249-9486-bef68dc6f042"/>
  </w:docVars>
  <w:rsids>
    <w:rsidRoot w:val="00000000"/>
    <w:rsid w:val="019C1745"/>
    <w:rsid w:val="077B68BF"/>
    <w:rsid w:val="0AB55AC9"/>
    <w:rsid w:val="0D3C4F80"/>
    <w:rsid w:val="0EE130CF"/>
    <w:rsid w:val="0F6956C4"/>
    <w:rsid w:val="115E60CE"/>
    <w:rsid w:val="141146D3"/>
    <w:rsid w:val="14784A5D"/>
    <w:rsid w:val="17A67AC2"/>
    <w:rsid w:val="1823790B"/>
    <w:rsid w:val="18355884"/>
    <w:rsid w:val="1D550E29"/>
    <w:rsid w:val="1EAF1A31"/>
    <w:rsid w:val="1FED1EC6"/>
    <w:rsid w:val="2063467B"/>
    <w:rsid w:val="21B85CFD"/>
    <w:rsid w:val="22E04F40"/>
    <w:rsid w:val="23C23970"/>
    <w:rsid w:val="24FC1DF2"/>
    <w:rsid w:val="25645916"/>
    <w:rsid w:val="25A21694"/>
    <w:rsid w:val="26DA02D7"/>
    <w:rsid w:val="26E55F15"/>
    <w:rsid w:val="27E623AC"/>
    <w:rsid w:val="282052BC"/>
    <w:rsid w:val="2B795054"/>
    <w:rsid w:val="30195425"/>
    <w:rsid w:val="30380FAE"/>
    <w:rsid w:val="31D93E11"/>
    <w:rsid w:val="32357615"/>
    <w:rsid w:val="33295289"/>
    <w:rsid w:val="342D7D62"/>
    <w:rsid w:val="358125B2"/>
    <w:rsid w:val="3B91694A"/>
    <w:rsid w:val="3E3451B3"/>
    <w:rsid w:val="3E7A1A0D"/>
    <w:rsid w:val="410D2834"/>
    <w:rsid w:val="450B5C90"/>
    <w:rsid w:val="452655C6"/>
    <w:rsid w:val="49707C70"/>
    <w:rsid w:val="4A7F176D"/>
    <w:rsid w:val="4B5D574B"/>
    <w:rsid w:val="4BD94BB6"/>
    <w:rsid w:val="4C0A58AA"/>
    <w:rsid w:val="4C5C3A28"/>
    <w:rsid w:val="4C7E7903"/>
    <w:rsid w:val="4D801F4B"/>
    <w:rsid w:val="50F04351"/>
    <w:rsid w:val="51202704"/>
    <w:rsid w:val="536461B4"/>
    <w:rsid w:val="55870ECF"/>
    <w:rsid w:val="564F73D8"/>
    <w:rsid w:val="56BC015E"/>
    <w:rsid w:val="579A1E95"/>
    <w:rsid w:val="5A0510BB"/>
    <w:rsid w:val="5B791423"/>
    <w:rsid w:val="5EBD76F3"/>
    <w:rsid w:val="61EB714F"/>
    <w:rsid w:val="6A2E5C82"/>
    <w:rsid w:val="6DE86669"/>
    <w:rsid w:val="71C64208"/>
    <w:rsid w:val="72C5321B"/>
    <w:rsid w:val="74B742EE"/>
    <w:rsid w:val="76CF33C0"/>
    <w:rsid w:val="77EE03ED"/>
    <w:rsid w:val="7959640F"/>
    <w:rsid w:val="7A394809"/>
    <w:rsid w:val="7A806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4205</Words>
  <Characters>4515</Characters>
  <TotalTime>4</TotalTime>
  <ScaleCrop>false</ScaleCrop>
  <LinksUpToDate>false</LinksUpToDate>
  <CharactersWithSpaces>4520</CharactersWithSpaces>
  <Application>WPS Office_11.1.0.10168_F1E327BC-269C-435d-A152-05C5408002CA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2025-06-23T03:02:32Z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y fmtid="{D5CDD505-2E9C-101B-9397-08002B2CF9AE}" pid="4" name="KSOTemplateDocerSaveRecord">
    <vt:lpwstr>eyJoZGlkIjoiYzYwNTUzM2Q4ZTJhZDNjYjY5OWNiOGY2NDBkYWExMGUifQ==</vt:lpwstr>
  </property>
</Properties>
</file>